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版本号：ZHJ-2026-01920260727002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病原微生物分析工作站采购项目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ZHJ-2026-019</w:t>
      </w:r>
      <w:r>
        <w:br/>
      </w:r>
      <w:r>
        <w:br/>
      </w:r>
      <w:r>
        <w:br/>
      </w:r>
    </w:p>
    <w:p>
      <w:pPr>
        <w:pStyle w:val="null3"/>
        <w:jc w:val="center"/>
        <w:outlineLvl w:val="2"/>
      </w:pPr>
      <w:r>
        <w:rPr>
          <w:rFonts w:ascii="仿宋_GB2312" w:hAnsi="仿宋_GB2312" w:cs="仿宋_GB2312" w:eastAsia="仿宋_GB2312"/>
          <w:sz w:val="28"/>
          <w:b/>
        </w:rPr>
        <w:t>商洛市疾病预防控制中心</w:t>
      </w:r>
    </w:p>
    <w:p>
      <w:pPr>
        <w:pStyle w:val="null3"/>
        <w:jc w:val="center"/>
        <w:outlineLvl w:val="2"/>
      </w:pPr>
      <w:r>
        <w:rPr>
          <w:rFonts w:ascii="仿宋_GB2312" w:hAnsi="仿宋_GB2312" w:cs="仿宋_GB2312" w:eastAsia="仿宋_GB2312"/>
          <w:sz w:val="28"/>
          <w:b/>
        </w:rPr>
        <w:t>中鸿建（陕西）建设项目管理有限公司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中鸿建（陕西）建设项目管理有限公司</w:t>
      </w:r>
      <w:r>
        <w:rPr>
          <w:rFonts w:ascii="仿宋_GB2312" w:hAnsi="仿宋_GB2312" w:cs="仿宋_GB2312" w:eastAsia="仿宋_GB2312"/>
        </w:rPr>
        <w:t>（以下简称“代理机构”）受</w:t>
      </w:r>
      <w:r>
        <w:rPr>
          <w:rFonts w:ascii="仿宋_GB2312" w:hAnsi="仿宋_GB2312" w:cs="仿宋_GB2312" w:eastAsia="仿宋_GB2312"/>
        </w:rPr>
        <w:t>商洛市疾病预防控制中心</w:t>
      </w:r>
      <w:r>
        <w:rPr>
          <w:rFonts w:ascii="仿宋_GB2312" w:hAnsi="仿宋_GB2312" w:cs="仿宋_GB2312" w:eastAsia="仿宋_GB2312"/>
        </w:rPr>
        <w:t>委托，拟对</w:t>
      </w:r>
      <w:r>
        <w:rPr>
          <w:rFonts w:ascii="仿宋_GB2312" w:hAnsi="仿宋_GB2312" w:cs="仿宋_GB2312" w:eastAsia="仿宋_GB2312"/>
        </w:rPr>
        <w:t>病原微生物分析工作站采购项目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ZHJ-2026-019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病原微生物分析工作站采购项目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用于对细菌、病毒、宏基因组等测序数据管理、分析及基因组学研究。软硬一体化的模式，实现本地化数据管理和分析。支持从原始测序数据开始，一站式完成样本的测序数据分析;并能够完成进化树构建及可视化展示，辅助进行溯源分析;不限制测序平台，如华大智造、因美纳、纳米孔、pacbio等，一代拼接数据、二代、三代测序数据均可自动化分析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采购包1（病原微生物分析工作站采购项目）：属于专门面向中小企业采购。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审查：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或信用担保机构出具的投标担保函（以上三种形式的资料提供任何一种即可）；</w:t>
      </w:r>
    </w:p>
    <w:p>
      <w:pPr>
        <w:pStyle w:val="null3"/>
      </w:pPr>
      <w:r>
        <w:rPr>
          <w:rFonts w:ascii="仿宋_GB2312" w:hAnsi="仿宋_GB2312" w:cs="仿宋_GB2312" w:eastAsia="仿宋_GB2312"/>
        </w:rPr>
        <w:t>3、社保缴纳审查：提供递交投标文件截止之日前一年内任意一个月的社会保障资金缴存单据或社保机构开具的社会保险参保缴费情况证明。依法不需要缴纳社会保障资金的供应商应提供相关证明文件；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4、税收缴纳审查：提供递交投标文件截止之日前一年内任意一个月的依法缴纳税收的相关凭据，凭据应有税务机关或代收机关的公章或业务专用章。依法免税或无须缴纳税收的供应商，应提供相应证明文件；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5、法定代表人授权委托书审查：法定代表人直接参加投标的，须出具法定代表人身份证复印件及法定代表人身份证明，法定代表人授权代表参加投标的，须出具法定代表人授权书及授权代表身份证复印件；</w:t>
      </w:r>
    </w:p>
    <w:p>
      <w:pPr>
        <w:pStyle w:val="null3"/>
      </w:pPr>
      <w:r>
        <w:rPr>
          <w:rFonts w:ascii="仿宋_GB2312" w:hAnsi="仿宋_GB2312" w:cs="仿宋_GB2312" w:eastAsia="仿宋_GB2312"/>
        </w:rPr>
        <w:t>6、无重大违法记录：供应商参加政府采购活动前3年内在经营活动中没有重大违法记录的书面声明；</w:t>
      </w:r>
    </w:p>
    <w:p>
      <w:pPr>
        <w:pStyle w:val="null3"/>
      </w:pPr>
      <w:r>
        <w:rPr>
          <w:rFonts w:ascii="仿宋_GB2312" w:hAnsi="仿宋_GB2312" w:cs="仿宋_GB2312" w:eastAsia="仿宋_GB2312"/>
        </w:rPr>
        <w:t>7、信用主体查询：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8、其他承诺响应：具有履行合同所必需的设备和专业技术能力的承诺书；未为本项目提供整体设计、规范编制或者项目管理、监理、检测等服务的承诺书；</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9、控股管理关系：单位负责人为同一人或者存在直接控股、管理关系的供应商，不得参加同一合同下的政府采购活动的承诺书；</w:t>
      </w:r>
    </w:p>
    <w:p>
      <w:pPr>
        <w:pStyle w:val="null3"/>
      </w:pPr>
      <w:r>
        <w:rPr>
          <w:rFonts w:ascii="仿宋_GB2312" w:hAnsi="仿宋_GB2312" w:cs="仿宋_GB2312" w:eastAsia="仿宋_GB2312"/>
        </w:rPr>
        <w:t>10、联合体：本项目不接受联合体投标的承诺书；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商洛市通信路信息巷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0914-2313563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中鸿建（陕西）建设项目管理有限公司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陕西省西安市浐灞生态区欧亚大道666号欧亚国际一期A座0917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闫玉蕊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029-89878539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代理服务费收费标准：本项目采购招标代理服务费参照国家发改委文件计价格(2002)1980号及发改价格(2011)534号文件规定计取，若结算成交服务费不足人民币5000元的则按伍仟元（¥5000元）收取。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商洛市疾病预防控制中心</w:t>
      </w:r>
      <w:r>
        <w:rPr>
          <w:rFonts w:ascii="仿宋_GB2312" w:hAnsi="仿宋_GB2312" w:cs="仿宋_GB2312" w:eastAsia="仿宋_GB2312"/>
        </w:rPr>
        <w:t>和</w:t>
      </w:r>
      <w:r>
        <w:rPr>
          <w:rFonts w:ascii="仿宋_GB2312" w:hAnsi="仿宋_GB2312" w:cs="仿宋_GB2312" w:eastAsia="仿宋_GB2312"/>
        </w:rPr>
        <w:t>中鸿建（陕西）建设项目管理有限公司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中鸿建（陕西）建设项目管理有限公司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中鸿建（陕西）建设项目管理有限公司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联系人：闫玉蕊</w:t>
      </w:r>
    </w:p>
    <w:p>
      <w:pPr>
        <w:pStyle w:val="null3"/>
      </w:pPr>
      <w:r>
        <w:rPr>
          <w:rFonts w:ascii="仿宋_GB2312" w:hAnsi="仿宋_GB2312" w:cs="仿宋_GB2312" w:eastAsia="仿宋_GB2312"/>
        </w:rPr>
        <w:t>联系电话：029-89878539</w:t>
      </w:r>
    </w:p>
    <w:p>
      <w:pPr>
        <w:pStyle w:val="null3"/>
      </w:pPr>
      <w:r>
        <w:rPr>
          <w:rFonts w:ascii="仿宋_GB2312" w:hAnsi="仿宋_GB2312" w:cs="仿宋_GB2312" w:eastAsia="仿宋_GB2312"/>
        </w:rPr>
        <w:t>地址：陕西省西安市浐灞生态区欧亚大道666号欧亚国际一期A座0917</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用于对细菌、病毒、宏基因组等测序数据管理、分析及基因组学研究。软硬一体化的模式，实现本地化数据管理和分析。支持从原始测序数据开始，一站式完成样本的测序数据分析;并能够完成进化树构建及可视化展示，辅助进行溯源分析;不限制测序平台，如华大智造、因美纳、纳米孔、pacbio等，一代拼接数据、二代、三代测序数据均可自动化分析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病原微生物分析工作站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标的名称：病原微生物分析工作站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75"/>
              <w:ind w:firstLine="603"/>
              <w:jc w:val="center"/>
            </w:pPr>
            <w:r>
              <w:rPr>
                <w:rFonts w:ascii="仿宋_GB2312" w:hAnsi="仿宋_GB2312" w:cs="仿宋_GB2312" w:eastAsia="仿宋_GB2312"/>
                <w:sz w:val="32"/>
                <w:b/>
              </w:rPr>
              <w:t>病原微生物基因组分析工作站</w:t>
            </w:r>
          </w:p>
          <w:p>
            <w:pPr>
              <w:pStyle w:val="null3"/>
              <w:ind w:firstLine="480"/>
              <w:jc w:val="both"/>
            </w:pPr>
            <w:r>
              <w:rPr>
                <w:rFonts w:ascii="仿宋_GB2312" w:hAnsi="仿宋_GB2312" w:cs="仿宋_GB2312" w:eastAsia="仿宋_GB2312"/>
                <w:sz w:val="24"/>
              </w:rPr>
              <w:t>一、基本概况</w:t>
            </w:r>
          </w:p>
          <w:p>
            <w:pPr>
              <w:pStyle w:val="null3"/>
              <w:ind w:firstLine="480"/>
              <w:jc w:val="both"/>
            </w:pPr>
            <w:r>
              <w:rPr>
                <w:rFonts w:ascii="仿宋_GB2312" w:hAnsi="仿宋_GB2312" w:cs="仿宋_GB2312" w:eastAsia="仿宋_GB2312"/>
                <w:sz w:val="24"/>
              </w:rPr>
              <w:t>用于对细菌、病毒、宏基因组等测序数据管理、分析及基因组学研究。软硬一体化的模式，实现本地化数据管理和分析。支持从原始测序数据开始，一站式完成样本的测序数据分析；并能够完成进化树构建及可视化展示，辅助进行溯源分析；不限制测序平台，如华大智造、因美纳、纳米孔、</w:t>
            </w:r>
            <w:r>
              <w:rPr>
                <w:rFonts w:ascii="仿宋_GB2312" w:hAnsi="仿宋_GB2312" w:cs="仿宋_GB2312" w:eastAsia="仿宋_GB2312"/>
                <w:sz w:val="24"/>
              </w:rPr>
              <w:t>pacbio等，一代拼接数据、二代、三代测序数据均可自动化分析系统。</w:t>
            </w:r>
          </w:p>
          <w:p>
            <w:pPr>
              <w:pStyle w:val="null3"/>
              <w:ind w:firstLine="480"/>
              <w:jc w:val="both"/>
            </w:pPr>
            <w:r>
              <w:rPr>
                <w:rFonts w:ascii="仿宋_GB2312" w:hAnsi="仿宋_GB2312" w:cs="仿宋_GB2312" w:eastAsia="仿宋_GB2312"/>
                <w:sz w:val="24"/>
              </w:rPr>
              <w:t>二、技术参数</w:t>
            </w:r>
          </w:p>
          <w:p>
            <w:pPr>
              <w:pStyle w:val="null3"/>
              <w:ind w:firstLine="480"/>
              <w:jc w:val="both"/>
            </w:pPr>
            <w:r>
              <w:rPr>
                <w:rFonts w:ascii="仿宋_GB2312" w:hAnsi="仿宋_GB2312" w:cs="仿宋_GB2312" w:eastAsia="仿宋_GB2312"/>
                <w:sz w:val="24"/>
              </w:rPr>
              <w:t>（一）第一部分</w:t>
            </w:r>
          </w:p>
          <w:p>
            <w:pPr>
              <w:pStyle w:val="null3"/>
              <w:ind w:firstLine="480"/>
              <w:jc w:val="both"/>
            </w:pPr>
            <w:r>
              <w:rPr>
                <w:rFonts w:ascii="仿宋_GB2312" w:hAnsi="仿宋_GB2312" w:cs="仿宋_GB2312" w:eastAsia="仿宋_GB2312"/>
                <w:sz w:val="24"/>
              </w:rPr>
              <w:t>1.软件均提供图形操作界面，一键可完成所有分析；用于二代测序，三代测序等测序平台产生的数据，支持单样本、多样本测序数据自动化导入分析。支持样本数据的统一维护，包括样本信息的录入、编辑、删除，支持批量样本导入；支持基因组文件的批量导入，包含原始下机数据及组装基因组文件；根据不同模块筛选条件，批量导出样本基本数据及分析结果信息。</w:t>
            </w:r>
          </w:p>
          <w:p>
            <w:pPr>
              <w:pStyle w:val="null3"/>
              <w:ind w:firstLine="480"/>
              <w:jc w:val="both"/>
            </w:pPr>
            <w:r>
              <w:rPr>
                <w:rFonts w:ascii="仿宋_GB2312" w:hAnsi="仿宋_GB2312" w:cs="仿宋_GB2312" w:eastAsia="仿宋_GB2312"/>
                <w:sz w:val="24"/>
              </w:rPr>
              <w:t>2.可以进行病原菌的菌株基因组测序全流程分析、宏基因组、分箱分析、基于reads的未知病原识别分析。</w:t>
            </w:r>
          </w:p>
          <w:p>
            <w:pPr>
              <w:pStyle w:val="null3"/>
              <w:ind w:firstLine="480"/>
              <w:jc w:val="both"/>
            </w:pPr>
            <w:r>
              <w:rPr>
                <w:rFonts w:ascii="仿宋_GB2312" w:hAnsi="仿宋_GB2312" w:cs="仿宋_GB2312" w:eastAsia="仿宋_GB2312"/>
                <w:sz w:val="24"/>
              </w:rPr>
              <w:t>模块一：细菌基因组分析与监测系统</w:t>
            </w:r>
          </w:p>
          <w:p>
            <w:pPr>
              <w:pStyle w:val="null3"/>
              <w:ind w:firstLine="480"/>
              <w:jc w:val="both"/>
            </w:pPr>
            <w:r>
              <w:rPr>
                <w:rFonts w:ascii="仿宋_GB2312" w:hAnsi="仿宋_GB2312" w:cs="仿宋_GB2312" w:eastAsia="仿宋_GB2312"/>
                <w:sz w:val="24"/>
              </w:rPr>
              <w:t>3.提供细菌数据管理及自主产权研发的分析流程，支持从原始测序数据开始，一键完成数据质控、基因组拼接、物种鉴定、血清型分型、MLST分型、cgMLST分型、SNP分析、耐药与毒力基因组注释、移动元件分析及相关耐药毒力基因注释，并根据样品及病原学鉴定结果进行物种溯源，生成可视化监测和预警图形。</w:t>
            </w:r>
          </w:p>
          <w:p>
            <w:pPr>
              <w:pStyle w:val="null3"/>
              <w:ind w:firstLine="480"/>
              <w:jc w:val="both"/>
            </w:pPr>
            <w:r>
              <w:rPr>
                <w:rFonts w:ascii="仿宋_GB2312" w:hAnsi="仿宋_GB2312" w:cs="仿宋_GB2312" w:eastAsia="仿宋_GB2312"/>
                <w:sz w:val="24"/>
              </w:rPr>
              <w:t>4.病原比对参比数据库为国家级病原鉴定基因组数据库，要求 550种以上有明确感染史的病原菌，提供针对参比数据库的BLAST比对功能；MLST分型支持200种以上物种；自建cgMLST分型体系支持不少于 110 种物种，血清型覆盖沙门氏菌、肺炎克雷伯菌、大肠杆菌、肺炎链球菌、副溶血性弧菌、霍乱弧菌、志贺菌、猪链球菌、流感嗜血杆菌、布鲁氏菌等10 个物种。（提供分析软件截图、cgMLST数据库、提供10份不同物种测试报告）</w:t>
            </w:r>
          </w:p>
          <w:p>
            <w:pPr>
              <w:pStyle w:val="null3"/>
              <w:ind w:firstLine="480"/>
              <w:jc w:val="both"/>
            </w:pPr>
            <w:r>
              <w:rPr>
                <w:rFonts w:ascii="仿宋_GB2312" w:hAnsi="仿宋_GB2312" w:cs="仿宋_GB2312" w:eastAsia="仿宋_GB2312"/>
                <w:sz w:val="24"/>
              </w:rPr>
              <w:t>5.支持多组数据同时进行cgMLST、cgSNP、wgSNP分析时自动构建系统发育进化树，包含至少4种树图可视化方式；进化树图支持自定义可视化显示的内容，以及相关样式的修改，并且能够直接查看进化树上各数据之间的差异基因矩阵，并导出图谱及统计数据。</w:t>
            </w:r>
          </w:p>
          <w:p>
            <w:pPr>
              <w:pStyle w:val="null3"/>
              <w:ind w:firstLine="480"/>
              <w:jc w:val="both"/>
            </w:pPr>
            <w:r>
              <w:rPr>
                <w:rFonts w:ascii="仿宋_GB2312" w:hAnsi="仿宋_GB2312" w:cs="仿宋_GB2312" w:eastAsia="仿宋_GB2312"/>
                <w:sz w:val="24"/>
              </w:rPr>
              <w:t>模块二：宏基因组分析系统</w:t>
            </w:r>
          </w:p>
          <w:p>
            <w:pPr>
              <w:pStyle w:val="null3"/>
              <w:ind w:firstLine="480"/>
              <w:jc w:val="both"/>
            </w:pPr>
            <w:r>
              <w:rPr>
                <w:rFonts w:ascii="仿宋_GB2312" w:hAnsi="仿宋_GB2312" w:cs="仿宋_GB2312" w:eastAsia="仿宋_GB2312"/>
                <w:sz w:val="24"/>
              </w:rPr>
              <w:t>6.宏基因组模块利用自主研发流程，实现一步对宏基因组测序数据质控、物种分类、宏基因组序列组装、序列分箱、序列注释（对VF、Pfam、Swissprot、COG、KEGG-KO、CARD等数据库进行功能注释）；可对16S、18S、ITS扩增子测序数据的单样本物种分类，以及多组样本进行微生物多样性和差异化分析。比对数据库为国家级病原鉴定基因组数据库，可同时检测≥80000种物种信息条目。</w:t>
            </w:r>
          </w:p>
          <w:p>
            <w:pPr>
              <w:pStyle w:val="null3"/>
              <w:ind w:firstLine="480"/>
              <w:jc w:val="both"/>
            </w:pPr>
            <w:r>
              <w:rPr>
                <w:rFonts w:ascii="仿宋_GB2312" w:hAnsi="仿宋_GB2312" w:cs="仿宋_GB2312" w:eastAsia="仿宋_GB2312"/>
                <w:sz w:val="24"/>
              </w:rPr>
              <w:t>模块三：未知病原分析与监测系统（</w:t>
            </w:r>
            <w:r>
              <w:rPr>
                <w:rFonts w:ascii="仿宋_GB2312" w:hAnsi="仿宋_GB2312" w:cs="仿宋_GB2312" w:eastAsia="仿宋_GB2312"/>
                <w:sz w:val="24"/>
              </w:rPr>
              <w:t>mNGS）</w:t>
            </w:r>
          </w:p>
          <w:p>
            <w:pPr>
              <w:pStyle w:val="null3"/>
              <w:ind w:firstLine="480"/>
              <w:jc w:val="both"/>
            </w:pPr>
            <w:r>
              <w:rPr>
                <w:rFonts w:ascii="仿宋_GB2312" w:hAnsi="仿宋_GB2312" w:cs="仿宋_GB2312" w:eastAsia="仿宋_GB2312"/>
                <w:sz w:val="24"/>
              </w:rPr>
              <w:t>7.未知病原鉴定分析与监测系统要求比对国家级病原鉴定基因组数据库，排除非感染相关微生物及定植菌进行病原鉴定，分析结果以细菌、真菌、DNA病毒、RNA病毒、其他病毒、寄生虫进行物种分类，并计算出每个属相对丰度、序列数，以及每个种的序列数、相对丰度、基因组覆盖度，根据人间感染名录及不同的感染部位，在报告中报出相应的可疑致病微生物；同时基于至少两个数据库注释出耐药基因，至少一个数据库注释出毒力基因；以上分析结果可直接导出excel及word格式报告。系统自动将全库的样本信息与病原微生物检出结果结合，生成血液、呼吸道等不同症候群的监测图谱，包括病原谱、抗生素谱、耐药谱，并自动对高危病原物种进行预警，监测预警至少包括地图、树图、饼图、桑基图、热图等。（提供分析软件截图、分析流程相关截图）。</w:t>
            </w:r>
          </w:p>
          <w:p>
            <w:pPr>
              <w:pStyle w:val="null3"/>
              <w:ind w:firstLine="480"/>
              <w:jc w:val="both"/>
            </w:pPr>
            <w:r>
              <w:rPr>
                <w:rFonts w:ascii="仿宋_GB2312" w:hAnsi="仿宋_GB2312" w:cs="仿宋_GB2312" w:eastAsia="仿宋_GB2312"/>
                <w:sz w:val="24"/>
              </w:rPr>
              <w:t>通用功能：样本数据管理</w:t>
            </w:r>
          </w:p>
          <w:p>
            <w:pPr>
              <w:pStyle w:val="null3"/>
              <w:ind w:firstLine="480"/>
              <w:jc w:val="both"/>
            </w:pPr>
            <w:r>
              <w:rPr>
                <w:rFonts w:ascii="仿宋_GB2312" w:hAnsi="仿宋_GB2312" w:cs="仿宋_GB2312" w:eastAsia="仿宋_GB2312"/>
                <w:sz w:val="24"/>
              </w:rPr>
              <w:t>8.每个分析系统模块要求都要有样本数据管理模块，要求支持样本数据的统一维护，包括样本相关基本信息的录入、编辑、删除，并且支持批量样本导入；支持基因组文件的批量导入，包含原始下机数据及组装基因组文件，不限测序平台类型，并与样本信息自动化建立关联关系；根据不同模块筛选条件，批量导出样本基本数据及分析结果信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第二部分</w:t>
            </w:r>
            <w:r>
              <w:rPr>
                <w:rFonts w:ascii="仿宋_GB2312" w:hAnsi="仿宋_GB2312" w:cs="仿宋_GB2312" w:eastAsia="仿宋_GB2312"/>
                <w:sz w:val="24"/>
              </w:rPr>
              <w:t>--</w:t>
            </w:r>
            <w:r>
              <w:rPr>
                <w:rFonts w:ascii="仿宋_GB2312" w:hAnsi="仿宋_GB2312" w:cs="仿宋_GB2312" w:eastAsia="仿宋_GB2312"/>
                <w:sz w:val="24"/>
              </w:rPr>
              <w:t>生信分析系统插件参数</w:t>
            </w:r>
          </w:p>
          <w:p>
            <w:pPr>
              <w:pStyle w:val="null3"/>
              <w:ind w:firstLine="480"/>
              <w:jc w:val="both"/>
            </w:pPr>
            <w:r>
              <w:rPr>
                <w:rFonts w:ascii="仿宋_GB2312" w:hAnsi="仿宋_GB2312" w:cs="仿宋_GB2312" w:eastAsia="仿宋_GB2312"/>
                <w:sz w:val="24"/>
              </w:rPr>
              <w:t>★1.信息接口：支持从外部导入并且自定义参考基因组信息和数据库，支持软件内下载NCBI和UniProt序列，支持软件内下载SRA数据库中的公共数据，支持软件内下载PDB蛋白结构文件。同时提供人的参考基因组hg19和hg38、鸡、狗、猪、马、牛、兔、食蟹猴、猕猴、大小鼠、蜥蜴、线虫、斑马鱼、虹鳟鱼、果蝇、斑胸草雀、拟南芥、水稻、玉米、芜青、小米、番茄、高梁、酵母、大肠杆菌、新冠病毒等其他生物的参考序列及注释信息。提供QMM-H微生物数据库</w:t>
            </w:r>
            <w:r>
              <w:rPr>
                <w:rFonts w:ascii="仿宋_GB2312" w:hAnsi="仿宋_GB2312" w:cs="仿宋_GB2312" w:eastAsia="仿宋_GB2312"/>
                <w:sz w:val="24"/>
              </w:rPr>
              <w:t>、</w:t>
            </w:r>
            <w:r>
              <w:rPr>
                <w:rFonts w:ascii="仿宋_GB2312" w:hAnsi="仿宋_GB2312" w:cs="仿宋_GB2312" w:eastAsia="仿宋_GB2312"/>
                <w:sz w:val="24"/>
              </w:rPr>
              <w:t>PTDB细菌数据库、RVDB病毒数据库、segmented influenza流感病毒数据库、UHGG数据库等数据库，提供CARD、ResFinder、PointFinder等耐药基因数据库，提供VFDB等毒力因子数据库，提供结核分枝杆菌WHO 2023耐药位点信息。提供UniProt、SwissProt、COG等蛋白数据库，提供GO数据库、EC number数据库，提供MetaCyc数据库。</w:t>
            </w:r>
          </w:p>
          <w:p>
            <w:pPr>
              <w:pStyle w:val="null3"/>
              <w:ind w:firstLine="480"/>
              <w:jc w:val="both"/>
            </w:pPr>
            <w:r>
              <w:rPr>
                <w:rFonts w:ascii="仿宋_GB2312" w:hAnsi="仿宋_GB2312" w:cs="仿宋_GB2312" w:eastAsia="仿宋_GB2312"/>
                <w:sz w:val="24"/>
              </w:rPr>
              <w:t>★2.分析流程：支持流程化一键式操作，支持创建和修改workflow，实现拓展或自定义分析流程，流程可以导出并且安装在其他电脑上。支持分布式操作，实现从中间数据分析并且自定义结果保存形式。可以监控、暂停和终止分析过程，记录并且导出分析日志。</w:t>
            </w:r>
          </w:p>
          <w:p>
            <w:pPr>
              <w:pStyle w:val="null3"/>
              <w:ind w:firstLine="480"/>
              <w:jc w:val="both"/>
            </w:pPr>
            <w:r>
              <w:rPr>
                <w:rFonts w:ascii="仿宋_GB2312" w:hAnsi="仿宋_GB2312" w:cs="仿宋_GB2312" w:eastAsia="仿宋_GB2312"/>
                <w:sz w:val="24"/>
              </w:rPr>
              <w:t>3.功能模块：可以进行SARS-CoV-2、single cell RNA-seq、single cell ATAC-seq、single cell TCR-seq、single cell BCR-seq、DNA-seq、bulk RNA-seq、ChIP-seq、Bisulfite DNA-seq、miRNA-seq、Microarray、MLST等分析、核心基因组分析、16S/18S/ITS数据分析、宏基因组/宏转录组数据分析、序列比对、从头拼接、多重序列比对、二三代数据混合组装、系统发育树分析、变异分析、突变注释和比较、功能基因注释、微生物耐药基因和毒性因子分析、结核分枝杆菌的耐药分析、微生物代谢通路分析、BLAST比对等数据分析。可以进行猴痘病毒相关测序的结果拼接，变异分析，变异位点注释和比较，功能基因的变异注解。同时可以完成HIV病毒测序结果的数据拼接和注释。实现了传统分子生物学分析工具的功能，如引物设计、sanger序列比对和拼接、分子克隆载体构建等。</w:t>
            </w:r>
          </w:p>
          <w:p>
            <w:pPr>
              <w:pStyle w:val="null3"/>
              <w:ind w:firstLine="480"/>
              <w:jc w:val="both"/>
            </w:pPr>
            <w:r>
              <w:rPr>
                <w:rFonts w:ascii="仿宋_GB2312" w:hAnsi="仿宋_GB2312" w:cs="仿宋_GB2312" w:eastAsia="仿宋_GB2312"/>
                <w:sz w:val="24"/>
              </w:rPr>
              <w:t>4.结果展示：可视化查看分析结果，支持多种结果展示方式，包括报告、表格、韦恩图、热图、柱状图、面积图、散点图、折线图、PCA图、环形图、代谢通路图、基因组示意图、序列示意图等，支持自定义结果保存形式。支持自定义图片样式，支持更改图片的颜色、字体、图注等信息。可以创建Genome Browser Track，同时展示多个分析结果，支持动态查看。</w:t>
            </w:r>
          </w:p>
          <w:p>
            <w:pPr>
              <w:pStyle w:val="null3"/>
              <w:ind w:firstLine="480"/>
              <w:jc w:val="both"/>
            </w:pPr>
            <w:r>
              <w:rPr>
                <w:rFonts w:ascii="仿宋_GB2312" w:hAnsi="仿宋_GB2312" w:cs="仿宋_GB2312" w:eastAsia="仿宋_GB2312"/>
                <w:sz w:val="24"/>
              </w:rPr>
              <w:t>5.插件更新：插件和插件内的数据库可实现定期进行更新。</w:t>
            </w:r>
          </w:p>
          <w:p>
            <w:pPr>
              <w:pStyle w:val="null3"/>
              <w:ind w:firstLine="480"/>
              <w:jc w:val="both"/>
            </w:pPr>
            <w:r>
              <w:rPr>
                <w:rFonts w:ascii="仿宋_GB2312" w:hAnsi="仿宋_GB2312" w:cs="仿宋_GB2312" w:eastAsia="仿宋_GB2312"/>
                <w:sz w:val="24"/>
              </w:rPr>
              <w:t>6.数据导出：支持多种格式的数据导出，包括fasta、sam、vcf、bed、genbank、newick、nexus、csv表格、txt表格、excel表格、pdf文件、jpg图片、png图片、eps图片等。</w:t>
            </w:r>
          </w:p>
          <w:p>
            <w:pPr>
              <w:pStyle w:val="null3"/>
              <w:ind w:firstLine="480"/>
              <w:jc w:val="both"/>
            </w:pPr>
            <w:r>
              <w:rPr>
                <w:rFonts w:ascii="仿宋_GB2312" w:hAnsi="仿宋_GB2312" w:cs="仿宋_GB2312" w:eastAsia="仿宋_GB2312"/>
                <w:sz w:val="24"/>
              </w:rPr>
              <w:t>7.服务周期≥2年。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第三部分</w:t>
            </w:r>
            <w:r>
              <w:rPr>
                <w:rFonts w:ascii="仿宋_GB2312" w:hAnsi="仿宋_GB2312" w:cs="仿宋_GB2312" w:eastAsia="仿宋_GB2312"/>
                <w:sz w:val="24"/>
              </w:rPr>
              <w:t>---</w:t>
            </w:r>
            <w:r>
              <w:rPr>
                <w:rFonts w:ascii="仿宋_GB2312" w:hAnsi="仿宋_GB2312" w:cs="仿宋_GB2312" w:eastAsia="仿宋_GB2312"/>
                <w:sz w:val="24"/>
              </w:rPr>
              <w:t>病原微生物分析服务器：</w:t>
            </w:r>
          </w:p>
          <w:p>
            <w:pPr>
              <w:pStyle w:val="null3"/>
              <w:ind w:firstLine="480"/>
              <w:jc w:val="both"/>
            </w:pPr>
            <w:r>
              <w:rPr>
                <w:rFonts w:ascii="仿宋_GB2312" w:hAnsi="仿宋_GB2312" w:cs="仿宋_GB2312" w:eastAsia="仿宋_GB2312"/>
                <w:sz w:val="24"/>
              </w:rPr>
              <w:t>1.电源：TW C621 1400W 92%；</w:t>
            </w:r>
          </w:p>
          <w:p>
            <w:pPr>
              <w:pStyle w:val="null3"/>
              <w:ind w:firstLine="480"/>
              <w:jc w:val="both"/>
            </w:pPr>
            <w:r>
              <w:rPr>
                <w:rFonts w:ascii="仿宋_GB2312" w:hAnsi="仿宋_GB2312" w:cs="仿宋_GB2312" w:eastAsia="仿宋_GB2312"/>
                <w:sz w:val="24"/>
              </w:rPr>
              <w:t>2.主板：P920 MB Intel Purley Dual CPU；</w:t>
            </w:r>
          </w:p>
          <w:p>
            <w:pPr>
              <w:pStyle w:val="null3"/>
              <w:ind w:firstLine="480"/>
              <w:jc w:val="both"/>
            </w:pPr>
            <w:r>
              <w:rPr>
                <w:rFonts w:ascii="仿宋_GB2312" w:hAnsi="仿宋_GB2312" w:cs="仿宋_GB2312" w:eastAsia="仿宋_GB2312"/>
                <w:sz w:val="24"/>
              </w:rPr>
              <w:t>3.内存：512 GB DDR4 2933 ECC RDIMM；</w:t>
            </w:r>
          </w:p>
          <w:p>
            <w:pPr>
              <w:pStyle w:val="null3"/>
              <w:ind w:firstLine="480"/>
              <w:jc w:val="both"/>
            </w:pPr>
            <w:r>
              <w:rPr>
                <w:rFonts w:ascii="仿宋_GB2312" w:hAnsi="仿宋_GB2312" w:cs="仿宋_GB2312" w:eastAsia="仿宋_GB2312"/>
                <w:sz w:val="24"/>
              </w:rPr>
              <w:t>4.CPU：2颗Intel Xeon Gold 6248  2.5GHz 20核 150W；</w:t>
            </w:r>
          </w:p>
          <w:p>
            <w:pPr>
              <w:pStyle w:val="null3"/>
              <w:ind w:firstLine="480"/>
              <w:jc w:val="both"/>
            </w:pPr>
            <w:r>
              <w:rPr>
                <w:rFonts w:ascii="仿宋_GB2312" w:hAnsi="仿宋_GB2312" w:cs="仿宋_GB2312" w:eastAsia="仿宋_GB2312"/>
                <w:sz w:val="24"/>
              </w:rPr>
              <w:t>5.硬盘1：2*4TGB SSD M.2 PCIe（SAS RAID硬盘适配器）；</w:t>
            </w:r>
          </w:p>
          <w:p>
            <w:pPr>
              <w:pStyle w:val="null3"/>
              <w:ind w:firstLine="480"/>
              <w:jc w:val="both"/>
            </w:pPr>
            <w:r>
              <w:rPr>
                <w:rFonts w:ascii="仿宋_GB2312" w:hAnsi="仿宋_GB2312" w:cs="仿宋_GB2312" w:eastAsia="仿宋_GB2312"/>
                <w:sz w:val="24"/>
              </w:rPr>
              <w:t>6.硬盘2：4*6TB HD 7200RPM 3.5" SATA；</w:t>
            </w:r>
          </w:p>
          <w:p>
            <w:pPr>
              <w:pStyle w:val="null3"/>
              <w:ind w:firstLine="480"/>
              <w:jc w:val="both"/>
            </w:pPr>
            <w:r>
              <w:rPr>
                <w:rFonts w:ascii="仿宋_GB2312" w:hAnsi="仿宋_GB2312" w:cs="仿宋_GB2312" w:eastAsia="仿宋_GB2312"/>
                <w:sz w:val="24"/>
              </w:rPr>
              <w:t>7.显卡：T400 4GB 3mDP；</w:t>
            </w:r>
          </w:p>
          <w:p>
            <w:pPr>
              <w:pStyle w:val="null3"/>
              <w:ind w:firstLine="480"/>
              <w:jc w:val="both"/>
            </w:pPr>
            <w:r>
              <w:rPr>
                <w:rFonts w:ascii="仿宋_GB2312" w:hAnsi="仿宋_GB2312" w:cs="仿宋_GB2312" w:eastAsia="仿宋_GB2312"/>
                <w:sz w:val="24"/>
              </w:rPr>
              <w:t>8.高清显示器≥ 32英寸、键鼠套装等。</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设备软硬件配置清单</w:t>
            </w:r>
          </w:p>
          <w:p>
            <w:pPr>
              <w:pStyle w:val="null3"/>
              <w:ind w:firstLine="480"/>
              <w:jc w:val="both"/>
            </w:pPr>
            <w:r>
              <w:rPr>
                <w:rFonts w:ascii="仿宋_GB2312" w:hAnsi="仿宋_GB2312" w:cs="仿宋_GB2312" w:eastAsia="仿宋_GB2312"/>
                <w:sz w:val="24"/>
              </w:rPr>
              <w:t>1、满足招标参数的病原微生物分析服务器：1台；</w:t>
            </w:r>
          </w:p>
          <w:p>
            <w:pPr>
              <w:pStyle w:val="null3"/>
              <w:ind w:firstLine="480"/>
              <w:jc w:val="both"/>
            </w:pPr>
            <w:r>
              <w:rPr>
                <w:rFonts w:ascii="仿宋_GB2312" w:hAnsi="仿宋_GB2312" w:cs="仿宋_GB2312" w:eastAsia="仿宋_GB2312"/>
                <w:sz w:val="24"/>
              </w:rPr>
              <w:t>2、满足招标参数的细菌基因组分析与监测系统：1 套；</w:t>
            </w:r>
          </w:p>
          <w:p>
            <w:pPr>
              <w:pStyle w:val="null3"/>
              <w:ind w:firstLine="480"/>
              <w:jc w:val="both"/>
            </w:pPr>
            <w:r>
              <w:rPr>
                <w:rFonts w:ascii="仿宋_GB2312" w:hAnsi="仿宋_GB2312" w:cs="仿宋_GB2312" w:eastAsia="仿宋_GB2312"/>
                <w:sz w:val="24"/>
              </w:rPr>
              <w:t>3、满足招标参数的宏基因组多样性和差异化分析系统： 1套；</w:t>
            </w:r>
          </w:p>
          <w:p>
            <w:pPr>
              <w:pStyle w:val="null3"/>
              <w:ind w:firstLine="480"/>
              <w:jc w:val="both"/>
            </w:pPr>
            <w:r>
              <w:rPr>
                <w:rFonts w:ascii="仿宋_GB2312" w:hAnsi="仿宋_GB2312" w:cs="仿宋_GB2312" w:eastAsia="仿宋_GB2312"/>
                <w:sz w:val="24"/>
              </w:rPr>
              <w:t>4、满足招标参数的未知病原分析与监测系统（mNGS）：1套；</w:t>
            </w:r>
          </w:p>
          <w:p>
            <w:pPr>
              <w:pStyle w:val="null3"/>
              <w:ind w:firstLine="480"/>
              <w:jc w:val="both"/>
            </w:pPr>
            <w:r>
              <w:rPr>
                <w:rFonts w:ascii="仿宋_GB2312" w:hAnsi="仿宋_GB2312" w:cs="仿宋_GB2312" w:eastAsia="仿宋_GB2312"/>
                <w:sz w:val="24"/>
              </w:rPr>
              <w:t>5、满足招标参数的生信分析系统插件 ：1套</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技术服务要求</w:t>
            </w:r>
          </w:p>
          <w:p>
            <w:pPr>
              <w:pStyle w:val="null3"/>
              <w:ind w:firstLine="480"/>
              <w:jc w:val="both"/>
            </w:pPr>
            <w:r>
              <w:rPr>
                <w:rFonts w:ascii="仿宋_GB2312" w:hAnsi="仿宋_GB2312" w:cs="仿宋_GB2312" w:eastAsia="仿宋_GB2312"/>
                <w:sz w:val="24"/>
              </w:rPr>
              <w:t>1、供应商应提供全套、完整的技术资料，包括产品应用说明书、操作手册、维护保养说明等；</w:t>
            </w:r>
          </w:p>
          <w:p>
            <w:pPr>
              <w:pStyle w:val="null3"/>
              <w:ind w:firstLine="480"/>
              <w:jc w:val="both"/>
            </w:pPr>
            <w:r>
              <w:rPr>
                <w:rFonts w:ascii="仿宋_GB2312" w:hAnsi="仿宋_GB2312" w:cs="仿宋_GB2312" w:eastAsia="仿宋_GB2312"/>
                <w:sz w:val="24"/>
              </w:rPr>
              <w:t>2、设备安装、调试和验收要求：设备到达最终采购人现场并且实验室条件合格后，在接到采购人通知后需安排有经验的工程技术人员到采购人现场安装、调试设备，设备安装调试需在10日内完成。安装前，提供安装条件、用水、用电条件说明；</w:t>
            </w:r>
          </w:p>
          <w:p>
            <w:pPr>
              <w:pStyle w:val="null3"/>
              <w:ind w:firstLine="480"/>
              <w:jc w:val="both"/>
            </w:pPr>
            <w:r>
              <w:rPr>
                <w:rFonts w:ascii="仿宋_GB2312" w:hAnsi="仿宋_GB2312" w:cs="仿宋_GB2312" w:eastAsia="仿宋_GB2312"/>
                <w:sz w:val="24"/>
              </w:rPr>
              <w:t>3、培训要求：安装验收后，供应商在采购人所在地或采购人指定在线会议方式对采购人进行设备操作和日常维护的培训，包括设备使用方法和维护方法等；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售后要求：主机及相关配套设备质保</w:t>
            </w:r>
            <w:r>
              <w:rPr>
                <w:rFonts w:ascii="仿宋_GB2312" w:hAnsi="仿宋_GB2312" w:cs="仿宋_GB2312" w:eastAsia="仿宋_GB2312"/>
                <w:sz w:val="24"/>
              </w:rPr>
              <w:t>1年，软件及数据库终生免费升级与维护。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合同签订后30个日历天内完成所有货物交付及通过最终验收并合格。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其他，（1）本次采购无预付款。（2）经项目管理单位验收合格，一次性支付合同总价款的 100%。（3）结算单位：由甲方负责结算，乙方开具合同总价数的全额发票交采购人，达到付款条件起5个工作日内，支付合同总金额的100.0%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主机及相关配套设备质保1年，软件及数据库终生免费升级与维护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协商，法律途径解决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投标文件，同时，线下提交投标文件正本一份、副本两份;电子版两份(U盘两份标明供应商名称，随正本密封)。若系统电子投标文件与纸质投标文件不一致的，以系统电子投标文件为准。 提交纸质版投标文件密封要求:投标文件正本、所有副本分开密封装在单独的文件袋中(封袋不得有破损)，且在文件袋上标明"正本”、“副本"字样。封袋应加贴封条，并在封线处加盖投标单位公章，封袋正面要粘贴响应单位名称、项目名称、项目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法定代表人直接参加投标的，须出具法定代表人身份证复印件及法定代表人身份证明，法定代表人授权代表参加投标的，须出具法定代表人授权书及授权代表身份证复印件；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具有履行合同所必需的设备和专业技术能力的承诺书；未为本项目提供整体设计、规范编制或者项目管理、监理、检测等服务的承诺书；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本项目不接受联合体投标的承诺书；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供应商应提交的相关资格证明材料.docx 投标函 中小企业声明函 残疾人福利性单位声明函 商务应答表 分项报价明细表.docx 标的清单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产品技术参数表 供应商应提交的相关资格证明材料.docx 投标函 中小企业声明函 残疾人福利性单位声明函 商务应答表 分项报价明细表.docx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1、带“★”的参数需求为实质性要求供应商必须响应并满足的参数需求。 2、非★一般参数（30分）完全满足招标文件技术参数要求的，得30分。以招标文件技术参数中每个带编号的条目为一项， 每负偏离一项扣0.5分，扣完为止。 注：未按招标文件要求提供相关检验报告或者证明的都视为负偏离（如应答时缺项，则视同负偏离处理）。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投标人针对本项目提供项目实施方案，包含实施计划、供货安装调试方案、验收措施、物力调配保障措施四项内容，每项满分3分，共12分。根据方案内容的详实程度、可操作性及与项目的匹配度，进行打分： ①实施计划：内容详实、节点清晰、分工明确、风险预判到位得3分；内容基本完整、有进度安排但细节不足得1.5分；内容简单、缺乏具体安排得0.5分；未提供得0分。 ②供货、安装、调试方案：流程清晰、工艺规范、方法科学、质量控制完善得3分；有基本流程但关键环节笼统得1.5分；仅罗列步骤、缺乏工艺说明得0.5分；未提供得0分。 ③验收措施：标准明确、手段科学、判定清晰、文档齐全得3分；有流程但标准不细化得1.5分；措施简单、缺乏执行依据得0.5分；未提供得0分。 ④物力调配保障措施：配置充足、调度高效、保障有力得3分；有安排但保障力度一般得1.5分；措施简单、缺乏实质支撑得0.5分；未提供得0分。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承诺提供 ≥5天：现场培训，内容涵盖设备操作、日常维护、软件使用及数据分析全流程，并提供完整培训资料及视频教程的，得3分； 承诺提供 3–4天：现场培训，内容涵盖主要操作和日常维护的，得2分； 承诺提供 1–2天：现场培训，内容基本覆盖主要操作的，得1分； 未提供培训方案或承诺的，得0分。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①质保期限：承诺主机及配套设备质保期≥3年得4分；≥2年得3分；≥1年得2分；低于1年或未提供的得0分。 ②软件及数据库升级：承诺软件及数据库终生免费升级与维护得3分；提供5年及以上免费升级得2分；提供3年及以上免费升级得1分；低于3年或未提供的得0分。 ③承诺接到故障报修后≤2小时响应、≤24小时到达现场得2分；≤4小时响应、≤48小时到达现场得1分；超过上述标准或未提供的得0分。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投标人针对本项目提供应急预案，包含系统故障处理流程、数据备份与恢复方案、备品备件保障措施、应急联系人及响应机制四项内容，每项满分1分，共4分。根据方案的完整性、合理性和可操作性进行打分： ①系统故障处理流程：分级科学、流程闭环、时限明确、责任到人得1分；有分级和流程但环节不清晰得0.5分；仅有原则性描述、缺乏可操作性得0.2分；未提供得0分。 ②数据备份与恢复方案：策略合理、恢复可验证、有演练机制得1分；有方案但缺乏验证安排得0.5分；仅提及备份概念、无操作细节得0.2分；未提供得0分。 ③备品备件保障措施：清单完整、储备充足、渠道稳定、调拨高效得1分；有清单和渠道但储备或调拨不明确得0.5分；仅承诺保障、无实质内容得0.2分；未提供得0分。 ④应急联系人及响应机制：信息完整、层级清晰、7×24小时响应机制健全得1分；有信息但机制不具体得0.5分；信息不全或无响应承诺得0.2分；未提供得0分。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分项报价明细表.docx</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投标人每提供一份2023年1月1日至今的同类项目业绩计2分，最高得10分。 注：①业绩以合同为准，时间以合同签订时间为准； ②需提供完整合同复印件并加盖投标人公章，否则不计分； ③未提供的得0分。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软件著作权</w:t>
            </w:r>
          </w:p>
        </w:tc>
        <w:tc>
          <w:tcPr>
            <w:tcW w:type="dxa" w:w="2492"/>
          </w:tcPr>
          <w:p>
            <w:pPr>
              <w:pStyle w:val="null3"/>
            </w:pPr>
            <w:r>
              <w:rPr>
                <w:rFonts w:ascii="仿宋_GB2312" w:hAnsi="仿宋_GB2312" w:cs="仿宋_GB2312" w:eastAsia="仿宋_GB2312"/>
              </w:rPr>
              <w:t>提供与本项目采购需求相关的病原微生物分析软件（含细菌基因组分析系统、宏基因组分析系统、mNGS未知病原分析与监测系统、生信分析系统插件）对应的《计算机软件著作权登记证书》复印件并加盖公章，每提供1份与前述模块功能相对应的有效软件著作权登记证书得0.5分，最高得2分（须提供4份不同功能模块的软著，满分2分）。 注：软件著作权证书名称可与上述模块名称不完全一致，经评标委员会认定其功能与所投产品对应模块相符的，视同有效。未提供或提供无效的不得分。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