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版本号：SXJR-ZC-2026-00120260527001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略阳县2026年度中央财政林业草原改革发展资金林木良种培育项目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SXJR-ZC-2026-001</w:t>
      </w:r>
      <w:r>
        <w:br/>
      </w:r>
      <w:r>
        <w:br/>
      </w:r>
      <w:r>
        <w:br/>
      </w:r>
    </w:p>
    <w:p>
      <w:pPr>
        <w:pStyle w:val="null3"/>
        <w:jc w:val="center"/>
        <w:outlineLvl w:val="2"/>
      </w:pPr>
      <w:r>
        <w:rPr>
          <w:rFonts w:ascii="仿宋_GB2312" w:hAnsi="仿宋_GB2312" w:cs="仿宋_GB2312" w:eastAsia="仿宋_GB2312"/>
          <w:sz w:val="28"/>
          <w:b/>
        </w:rPr>
        <w:t>略阳县国有金池院林场</w:t>
      </w:r>
    </w:p>
    <w:p>
      <w:pPr>
        <w:pStyle w:val="null3"/>
        <w:jc w:val="center"/>
        <w:outlineLvl w:val="2"/>
      </w:pPr>
      <w:r>
        <w:rPr>
          <w:rFonts w:ascii="仿宋_GB2312" w:hAnsi="仿宋_GB2312" w:cs="仿宋_GB2312" w:eastAsia="仿宋_GB2312"/>
          <w:sz w:val="28"/>
          <w:b/>
        </w:rPr>
        <w:t>陕西嘉润工程项目管理有限公司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陕西嘉润工程项目管理有限公司</w:t>
      </w:r>
      <w:r>
        <w:rPr>
          <w:rFonts w:ascii="仿宋_GB2312" w:hAnsi="仿宋_GB2312" w:cs="仿宋_GB2312" w:eastAsia="仿宋_GB2312"/>
        </w:rPr>
        <w:t>（以下简称“代理机构”）受</w:t>
      </w:r>
      <w:r>
        <w:rPr>
          <w:rFonts w:ascii="仿宋_GB2312" w:hAnsi="仿宋_GB2312" w:cs="仿宋_GB2312" w:eastAsia="仿宋_GB2312"/>
        </w:rPr>
        <w:t>略阳县国有金池院林场</w:t>
      </w:r>
      <w:r>
        <w:rPr>
          <w:rFonts w:ascii="仿宋_GB2312" w:hAnsi="仿宋_GB2312" w:cs="仿宋_GB2312" w:eastAsia="仿宋_GB2312"/>
        </w:rPr>
        <w:t>委托，拟对</w:t>
      </w:r>
      <w:r>
        <w:rPr>
          <w:rFonts w:ascii="仿宋_GB2312" w:hAnsi="仿宋_GB2312" w:cs="仿宋_GB2312" w:eastAsia="仿宋_GB2312"/>
        </w:rPr>
        <w:t>略阳县2026年度中央财政林业草原改革发展资金林木良种培育项目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SXJR-ZC-2026-001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略阳县2026年度中央财政林业草原改革发展资金林木良种培育项目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在略阳县五龙洞镇中川坝村培育优良高山杜鹃苗木3.5亩，生产高山杜鹃1年生苗木200万株。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采购包1（略阳县2026年度中央财政林业草原改革发展资金林木良种培育项目）：属于专门面向中小企业采购。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有效的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或被授权委托代理人身份：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3、企业资格要求：供应商须提供相关部门颁发的《林草种子生产经营许可证》或《林木种子生产经营许可证》</w:t>
      </w:r>
    </w:p>
    <w:p>
      <w:pPr>
        <w:pStyle w:val="null3"/>
      </w:pPr>
      <w:r>
        <w:rPr>
          <w:rFonts w:ascii="仿宋_GB2312" w:hAnsi="仿宋_GB2312" w:cs="仿宋_GB2312" w:eastAsia="仿宋_GB2312"/>
        </w:rPr>
        <w:t>4、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5、中小企业声明函：本项目专门面向中小企业采购（提供中小企业声明函）</w:t>
      </w:r>
    </w:p>
    <w:p>
      <w:pPr>
        <w:pStyle w:val="null3"/>
      </w:pPr>
      <w:r>
        <w:rPr>
          <w:rFonts w:ascii="仿宋_GB2312" w:hAnsi="仿宋_GB2312" w:cs="仿宋_GB2312" w:eastAsia="仿宋_GB2312"/>
        </w:rPr>
        <w:t>6、本项目不接受联合体磋商：本项目不接受联合体磋商（提供非联合体声明）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略阳县国有金池院林场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五龙洞镇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略阳县金池院林场经办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0916-4958239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陕西嘉润工程项目管理有限公司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陕西省汉中市汉台区陕西省汉中市汉台区七里办事处烈火社区二组31号2层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18691603801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略阳县国有金池院林场</w:t>
      </w:r>
      <w:r>
        <w:rPr>
          <w:rFonts w:ascii="仿宋_GB2312" w:hAnsi="仿宋_GB2312" w:cs="仿宋_GB2312" w:eastAsia="仿宋_GB2312"/>
        </w:rPr>
        <w:t>和</w:t>
      </w:r>
      <w:r>
        <w:rPr>
          <w:rFonts w:ascii="仿宋_GB2312" w:hAnsi="仿宋_GB2312" w:cs="仿宋_GB2312" w:eastAsia="仿宋_GB2312"/>
        </w:rPr>
        <w:t>陕西嘉润工程项目管理有限公司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略阳县国有金池院林场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陕西嘉润工程项目管理有限公司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略阳县国有金池院林场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陕西嘉润工程项目管理有限公司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陕西嘉润工程项目管理有限公司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陕西嘉润工程项目管理有限公司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陕西嘉润工程项目管理有限公司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联系电话：18691603801</w:t>
      </w:r>
    </w:p>
    <w:p>
      <w:pPr>
        <w:pStyle w:val="null3"/>
      </w:pPr>
      <w:r>
        <w:rPr>
          <w:rFonts w:ascii="仿宋_GB2312" w:hAnsi="仿宋_GB2312" w:cs="仿宋_GB2312" w:eastAsia="仿宋_GB2312"/>
        </w:rPr>
        <w:t>地址：陕西省汉中市汉台区陕西省汉中市汉台区七里办事处烈火社区二组31号2层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在略阳县五龙洞镇中川坝村培育优良高山杜鹃苗木3.5亩，生产高山杜鹃1年生苗木200万株。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林木良种培育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标的名称：林木良种培育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略阳县2026年度中央财政林业草原改革发展资金林木良种培育项目</w:t>
            </w:r>
          </w:p>
          <w:p>
            <w:pPr>
              <w:pStyle w:val="null3"/>
              <w:jc w:val="center"/>
            </w:pPr>
            <w:r>
              <w:rPr>
                <w:rFonts w:ascii="仿宋_GB2312" w:hAnsi="仿宋_GB2312" w:cs="仿宋_GB2312" w:eastAsia="仿宋_GB2312"/>
                <w:sz w:val="21"/>
                <w:b/>
              </w:rPr>
              <w:t>采购需求</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项目概况：</w:t>
            </w:r>
          </w:p>
          <w:p>
            <w:pPr>
              <w:pStyle w:val="null3"/>
              <w:ind w:firstLine="480"/>
              <w:jc w:val="both"/>
            </w:pPr>
            <w:r>
              <w:rPr>
                <w:rFonts w:ascii="仿宋_GB2312" w:hAnsi="仿宋_GB2312" w:cs="仿宋_GB2312" w:eastAsia="仿宋_GB2312"/>
                <w:sz w:val="21"/>
              </w:rPr>
              <w:t>在略阳县五龙洞镇中川坝村培育优良高山杜鹃苗木</w:t>
            </w:r>
            <w:r>
              <w:rPr>
                <w:rFonts w:ascii="仿宋_GB2312" w:hAnsi="仿宋_GB2312" w:cs="仿宋_GB2312" w:eastAsia="仿宋_GB2312"/>
                <w:sz w:val="21"/>
              </w:rPr>
              <w:t>3.5亩，生产高山杜鹃1年生苗木200万株。略阳县2026年中央财政资金高山杜鹃苗木培育项目位于陕西省汉中市略阳县五龙洞镇中川坝和五龙洞村，海拔1000米，属北亚热带北缘山地暖温带气候区，为适生于不同气候带的多种植物提供了生存环境，雨热同季，四季分明。距离县城以北36公里，土壤整体类型为壤质黄土，土层厚度80厘米以上，呈微酸性，表层含有较多的有机质，一般耕层有机质含量0.9%～1.2％，含氮0.0677％，碱解氮40ppm，速效磷10.3ppm，耕层质地疏松多孔，透水透气，口松性暖，耕作方便，排水良好，符合高山杜鹃生长条件，满足苗木培育气候条件。</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服务期限：</w:t>
            </w:r>
          </w:p>
          <w:p>
            <w:pPr>
              <w:pStyle w:val="null3"/>
              <w:ind w:firstLine="480"/>
              <w:jc w:val="both"/>
            </w:pPr>
            <w:r>
              <w:rPr>
                <w:rFonts w:ascii="仿宋_GB2312" w:hAnsi="仿宋_GB2312" w:cs="仿宋_GB2312" w:eastAsia="仿宋_GB2312"/>
                <w:sz w:val="21"/>
              </w:rPr>
              <w:t>合同签订后至</w:t>
            </w:r>
            <w:r>
              <w:rPr>
                <w:rFonts w:ascii="仿宋_GB2312" w:hAnsi="仿宋_GB2312" w:cs="仿宋_GB2312" w:eastAsia="仿宋_GB2312"/>
                <w:sz w:val="21"/>
              </w:rPr>
              <w:t>2026年</w:t>
            </w:r>
            <w:r>
              <w:rPr>
                <w:rFonts w:ascii="仿宋_GB2312" w:hAnsi="仿宋_GB2312" w:cs="仿宋_GB2312" w:eastAsia="仿宋_GB2312"/>
                <w:sz w:val="21"/>
              </w:rPr>
              <w:t>11</w:t>
            </w:r>
            <w:r>
              <w:rPr>
                <w:rFonts w:ascii="仿宋_GB2312" w:hAnsi="仿宋_GB2312" w:cs="仿宋_GB2312" w:eastAsia="仿宋_GB2312"/>
                <w:sz w:val="21"/>
              </w:rPr>
              <w:t>月</w:t>
            </w:r>
            <w:r>
              <w:rPr>
                <w:rFonts w:ascii="仿宋_GB2312" w:hAnsi="仿宋_GB2312" w:cs="仿宋_GB2312" w:eastAsia="仿宋_GB2312"/>
                <w:sz w:val="21"/>
              </w:rPr>
              <w:t>30日</w:t>
            </w:r>
            <w:r>
              <w:rPr>
                <w:rFonts w:ascii="仿宋_GB2312" w:hAnsi="仿宋_GB2312" w:cs="仿宋_GB2312" w:eastAsia="仿宋_GB2312"/>
                <w:sz w:val="21"/>
              </w:rPr>
              <w:t>完成。</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苗木培育方案</w:t>
            </w:r>
          </w:p>
          <w:p>
            <w:pPr>
              <w:pStyle w:val="null3"/>
              <w:ind w:firstLine="480"/>
              <w:jc w:val="both"/>
            </w:pPr>
            <w:r>
              <w:rPr>
                <w:rFonts w:ascii="仿宋_GB2312" w:hAnsi="仿宋_GB2312" w:cs="仿宋_GB2312" w:eastAsia="仿宋_GB2312"/>
                <w:sz w:val="21"/>
              </w:rPr>
              <w:t>1、种子采购及贮藏</w:t>
            </w:r>
          </w:p>
          <w:p>
            <w:pPr>
              <w:pStyle w:val="null3"/>
              <w:ind w:firstLine="480"/>
              <w:jc w:val="both"/>
            </w:pPr>
            <w:r>
              <w:rPr>
                <w:rFonts w:ascii="仿宋_GB2312" w:hAnsi="仿宋_GB2312" w:cs="仿宋_GB2312" w:eastAsia="仿宋_GB2312"/>
                <w:sz w:val="21"/>
              </w:rPr>
              <w:t>通过计量测算，</w:t>
            </w:r>
            <w:r>
              <w:rPr>
                <w:rFonts w:ascii="仿宋_GB2312" w:hAnsi="仿宋_GB2312" w:cs="仿宋_GB2312" w:eastAsia="仿宋_GB2312"/>
                <w:sz w:val="21"/>
              </w:rPr>
              <w:t>500g种子约3.50万粒，预估净种率≧90%、发芽率≧50%、保存率≧50%，为确保留床200万株苗木，需采购Ⅱ级以上杜鹃种子60kg。种子来源为林场国有林区高山杜鹃母树采摘，质量为种粒饱满，无病虫害，无损伤。贮藏条件为室内常温环境，注意日常通风，防潮防霉防腐。</w:t>
            </w:r>
          </w:p>
          <w:p>
            <w:pPr>
              <w:pStyle w:val="null3"/>
              <w:jc w:val="both"/>
            </w:pPr>
            <w:r>
              <w:rPr>
                <w:rFonts w:ascii="仿宋_GB2312" w:hAnsi="仿宋_GB2312" w:cs="仿宋_GB2312" w:eastAsia="仿宋_GB2312"/>
                <w:sz w:val="21"/>
              </w:rPr>
              <w:t>2、苗圃地选择</w:t>
            </w:r>
          </w:p>
          <w:p>
            <w:pPr>
              <w:pStyle w:val="null3"/>
              <w:ind w:firstLine="480"/>
              <w:jc w:val="both"/>
            </w:pPr>
            <w:r>
              <w:rPr>
                <w:rFonts w:ascii="仿宋_GB2312" w:hAnsi="仿宋_GB2312" w:cs="仿宋_GB2312" w:eastAsia="仿宋_GB2312"/>
                <w:sz w:val="21"/>
              </w:rPr>
              <w:t>播种按照</w:t>
            </w:r>
            <w:r>
              <w:rPr>
                <w:rFonts w:ascii="仿宋_GB2312" w:hAnsi="仿宋_GB2312" w:cs="仿宋_GB2312" w:eastAsia="仿宋_GB2312"/>
                <w:sz w:val="21"/>
              </w:rPr>
              <w:t>870株/平方米确定地块面积2300平方米（利用五龙洞镇中川坝村闲置温棚），该区域位于五龙洞镇中川坝村城区规划生产建设用地。所选苗木培育区域地势平坦，自动化排灌良好，苗木培育土壤为专用培养土，PH值为5.5--6.5范围内，透气性和排水性强，并具有良好的保水能力，适宜高山杜鹃苗木培育。</w:t>
            </w:r>
          </w:p>
          <w:p>
            <w:pPr>
              <w:pStyle w:val="null3"/>
              <w:jc w:val="both"/>
            </w:pPr>
            <w:r>
              <w:rPr>
                <w:rFonts w:ascii="仿宋_GB2312" w:hAnsi="仿宋_GB2312" w:cs="仿宋_GB2312" w:eastAsia="仿宋_GB2312"/>
                <w:sz w:val="21"/>
              </w:rPr>
              <w:t>3、整地</w:t>
            </w:r>
          </w:p>
          <w:p>
            <w:pPr>
              <w:pStyle w:val="null3"/>
              <w:ind w:firstLine="480"/>
              <w:jc w:val="both"/>
            </w:pPr>
            <w:r>
              <w:rPr>
                <w:rFonts w:ascii="仿宋_GB2312" w:hAnsi="仿宋_GB2312" w:cs="仿宋_GB2312" w:eastAsia="仿宋_GB2312"/>
                <w:sz w:val="21"/>
              </w:rPr>
              <w:t>高山杜鹃培育整地面积</w:t>
            </w:r>
            <w:r>
              <w:rPr>
                <w:rFonts w:ascii="仿宋_GB2312" w:hAnsi="仿宋_GB2312" w:cs="仿宋_GB2312" w:eastAsia="仿宋_GB2312"/>
                <w:sz w:val="21"/>
              </w:rPr>
              <w:t>3.50亩，采用人工方式全面整地，进行平整碾压，清除草根石块等杂质，确保地面平整。</w:t>
            </w:r>
          </w:p>
          <w:p>
            <w:pPr>
              <w:pStyle w:val="null3"/>
              <w:jc w:val="both"/>
            </w:pPr>
            <w:r>
              <w:rPr>
                <w:rFonts w:ascii="仿宋_GB2312" w:hAnsi="仿宋_GB2312" w:cs="仿宋_GB2312" w:eastAsia="仿宋_GB2312"/>
                <w:sz w:val="21"/>
              </w:rPr>
              <w:t>4、圃地作床</w:t>
            </w:r>
          </w:p>
          <w:p>
            <w:pPr>
              <w:pStyle w:val="null3"/>
              <w:ind w:firstLine="480"/>
              <w:jc w:val="both"/>
            </w:pPr>
            <w:r>
              <w:rPr>
                <w:rFonts w:ascii="仿宋_GB2312" w:hAnsi="仿宋_GB2312" w:cs="仿宋_GB2312" w:eastAsia="仿宋_GB2312"/>
                <w:sz w:val="21"/>
              </w:rPr>
              <w:t>以高床为主（高于地面</w:t>
            </w:r>
            <w:r>
              <w:rPr>
                <w:rFonts w:ascii="仿宋_GB2312" w:hAnsi="仿宋_GB2312" w:cs="仿宋_GB2312" w:eastAsia="仿宋_GB2312"/>
                <w:sz w:val="21"/>
              </w:rPr>
              <w:t>15cm以上），床面宽1.20m，地面先放置防菌隔离蓝，预防细菌感染和杂草生长；然后放置穴孔育苗盘，最后铺15cm厚高山杜鹃专用培养土。</w:t>
            </w:r>
          </w:p>
          <w:p>
            <w:pPr>
              <w:pStyle w:val="null3"/>
              <w:jc w:val="both"/>
            </w:pPr>
            <w:r>
              <w:rPr>
                <w:rFonts w:ascii="仿宋_GB2312" w:hAnsi="仿宋_GB2312" w:cs="仿宋_GB2312" w:eastAsia="仿宋_GB2312"/>
                <w:sz w:val="21"/>
              </w:rPr>
              <w:t>5、播种</w:t>
            </w:r>
          </w:p>
          <w:p>
            <w:pPr>
              <w:pStyle w:val="null3"/>
              <w:ind w:firstLine="480"/>
              <w:jc w:val="both"/>
            </w:pPr>
            <w:r>
              <w:rPr>
                <w:rFonts w:ascii="仿宋_GB2312" w:hAnsi="仿宋_GB2312" w:cs="仿宋_GB2312" w:eastAsia="仿宋_GB2312"/>
                <w:sz w:val="21"/>
              </w:rPr>
              <w:t>种子提前采用水选法浸泡</w:t>
            </w:r>
            <w:r>
              <w:rPr>
                <w:rFonts w:ascii="仿宋_GB2312" w:hAnsi="仿宋_GB2312" w:cs="仿宋_GB2312" w:eastAsia="仿宋_GB2312"/>
                <w:sz w:val="21"/>
              </w:rPr>
              <w:t>3～5天，每天换水，滤出空粒及其他杂质后，用高锰酸钾800-1000倍液浸泡12小时进行脱毒处理。播种在现有温室大棚内进行，计划在2月下旬当气温日均稳定在10℃以上时播种，每亩播种量约17kg，播种用地3.5亩，播种前苗床土壤要进行消毒，苗床做好后再进行消毒，下种后最后再消毒，确保苗床没有杂菌感染。</w:t>
            </w:r>
          </w:p>
          <w:p>
            <w:pPr>
              <w:pStyle w:val="null3"/>
              <w:jc w:val="both"/>
            </w:pPr>
            <w:r>
              <w:rPr>
                <w:rFonts w:ascii="仿宋_GB2312" w:hAnsi="仿宋_GB2312" w:cs="仿宋_GB2312" w:eastAsia="仿宋_GB2312"/>
                <w:sz w:val="21"/>
              </w:rPr>
              <w:t>6、浇水</w:t>
            </w:r>
          </w:p>
          <w:p>
            <w:pPr>
              <w:pStyle w:val="null3"/>
              <w:ind w:firstLine="480"/>
              <w:jc w:val="both"/>
            </w:pPr>
            <w:r>
              <w:rPr>
                <w:rFonts w:ascii="仿宋_GB2312" w:hAnsi="仿宋_GB2312" w:cs="仿宋_GB2312" w:eastAsia="仿宋_GB2312"/>
                <w:sz w:val="21"/>
              </w:rPr>
              <w:t>用喷雾方式灌溉苗床土壤，严禁滴灌或喷灌，第一次把土浇透，后边保持苗床湿润即可。</w:t>
            </w:r>
          </w:p>
          <w:p>
            <w:pPr>
              <w:pStyle w:val="null3"/>
              <w:jc w:val="both"/>
            </w:pPr>
            <w:r>
              <w:rPr>
                <w:rFonts w:ascii="仿宋_GB2312" w:hAnsi="仿宋_GB2312" w:cs="仿宋_GB2312" w:eastAsia="仿宋_GB2312"/>
                <w:sz w:val="21"/>
              </w:rPr>
              <w:t>7、苗床管理</w:t>
            </w:r>
          </w:p>
          <w:p>
            <w:pPr>
              <w:pStyle w:val="null3"/>
              <w:ind w:firstLine="480"/>
              <w:jc w:val="both"/>
            </w:pPr>
            <w:r>
              <w:rPr>
                <w:rFonts w:ascii="仿宋_GB2312" w:hAnsi="仿宋_GB2312" w:cs="仿宋_GB2312" w:eastAsia="仿宋_GB2312"/>
                <w:sz w:val="21"/>
              </w:rPr>
              <w:t>出苗期温棚调控到遮阴</w:t>
            </w:r>
            <w:r>
              <w:rPr>
                <w:rFonts w:ascii="仿宋_GB2312" w:hAnsi="仿宋_GB2312" w:cs="仿宋_GB2312" w:eastAsia="仿宋_GB2312"/>
                <w:sz w:val="21"/>
              </w:rPr>
              <w:t>70%模式，防止正午日光温度过高灼伤幼苗。做好日常管护，苗期除草坚持“除早、除小、除了”原则，可采用人工和药物相结合的方式。人工除草要防止苗根松动，适时灌水。</w:t>
            </w:r>
          </w:p>
          <w:p>
            <w:pPr>
              <w:pStyle w:val="null3"/>
              <w:jc w:val="both"/>
            </w:pPr>
            <w:r>
              <w:rPr>
                <w:rFonts w:ascii="仿宋_GB2312" w:hAnsi="仿宋_GB2312" w:cs="仿宋_GB2312" w:eastAsia="仿宋_GB2312"/>
                <w:sz w:val="21"/>
              </w:rPr>
              <w:t>8、病虫害防治</w:t>
            </w:r>
          </w:p>
          <w:p>
            <w:pPr>
              <w:pStyle w:val="null3"/>
              <w:ind w:firstLine="480"/>
              <w:jc w:val="both"/>
            </w:pPr>
            <w:r>
              <w:rPr>
                <w:rFonts w:ascii="仿宋_GB2312" w:hAnsi="仿宋_GB2312" w:cs="仿宋_GB2312" w:eastAsia="仿宋_GB2312"/>
                <w:sz w:val="21"/>
              </w:rPr>
              <w:t>建立病虫害监测体系，定期巡查，及时发现问题。采用生物防治和物理防治方法，如释放天敌、设置诱捕器等，减少化学农药的使用。</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苗木培育成果</w:t>
            </w:r>
          </w:p>
          <w:p>
            <w:pPr>
              <w:pStyle w:val="null3"/>
              <w:ind w:firstLine="480"/>
              <w:jc w:val="both"/>
            </w:pPr>
            <w:r>
              <w:rPr>
                <w:rFonts w:ascii="仿宋_GB2312" w:hAnsi="仿宋_GB2312" w:cs="仿宋_GB2312" w:eastAsia="仿宋_GB2312"/>
                <w:sz w:val="21"/>
              </w:rPr>
              <w:t>培育优良高山杜鹃苗共</w:t>
            </w:r>
            <w:r>
              <w:rPr>
                <w:rFonts w:ascii="仿宋_GB2312" w:hAnsi="仿宋_GB2312" w:cs="仿宋_GB2312" w:eastAsia="仿宋_GB2312"/>
                <w:sz w:val="21"/>
              </w:rPr>
              <w:t>200万株，苗木规格：高山杜鹃1年龄苗高6cm-8cm。</w:t>
            </w:r>
          </w:p>
          <w:p>
            <w:pPr>
              <w:pStyle w:val="null3"/>
              <w:jc w:val="both"/>
            </w:pPr>
            <w:r>
              <w:rPr>
                <w:rFonts w:ascii="仿宋_GB2312" w:hAnsi="仿宋_GB2312" w:cs="仿宋_GB2312" w:eastAsia="仿宋_GB2312"/>
                <w:sz w:val="21"/>
                <w:b/>
              </w:rPr>
              <w:t>五、采购清单</w:t>
            </w:r>
          </w:p>
          <w:tbl>
            <w:tblPr>
              <w:tblInd w:type="dxa" w:w="135"/>
              <w:tblBorders>
                <w:top w:val="none" w:color="000000" w:sz="4"/>
                <w:left w:val="none" w:color="000000" w:sz="4"/>
                <w:bottom w:val="none" w:color="000000" w:sz="4"/>
                <w:right w:val="none" w:color="000000" w:sz="4"/>
                <w:insideH w:val="none"/>
                <w:insideV w:val="none"/>
              </w:tblBorders>
            </w:tblPr>
            <w:tblGrid>
              <w:gridCol w:w="255"/>
              <w:gridCol w:w="1708"/>
              <w:gridCol w:w="654"/>
              <w:gridCol w:w="566"/>
            </w:tblGrid>
            <w:tr>
              <w:tc>
                <w:tcPr>
                  <w:tcW w:type="dxa" w:w="255"/>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序号</w:t>
                  </w:r>
                </w:p>
              </w:tc>
              <w:tc>
                <w:tcPr>
                  <w:tcW w:type="dxa" w:w="170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建设内容</w:t>
                  </w:r>
                </w:p>
              </w:tc>
              <w:tc>
                <w:tcPr>
                  <w:tcW w:type="dxa" w:w="654"/>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单位</w:t>
                  </w:r>
                </w:p>
              </w:tc>
              <w:tc>
                <w:tcPr>
                  <w:tcW w:type="dxa" w:w="566"/>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数量</w:t>
                  </w:r>
                </w:p>
              </w:tc>
            </w:tr>
            <w:tr>
              <w:tc>
                <w:tcPr>
                  <w:tcW w:type="dxa" w:w="255"/>
                  <w:vMerge/>
                  <w:tcBorders>
                    <w:top w:val="single" w:color="000000" w:sz="4"/>
                    <w:left w:val="single" w:color="000000" w:sz="4"/>
                    <w:bottom w:val="single" w:color="000000" w:sz="4"/>
                    <w:right w:val="single" w:color="000000" w:sz="4"/>
                  </w:tcBorders>
                </w:tcPr>
                <w:p/>
              </w:tc>
              <w:tc>
                <w:tcPr>
                  <w:tcW w:type="dxa" w:w="1708"/>
                  <w:vMerge/>
                  <w:tcBorders>
                    <w:top w:val="single" w:color="000000" w:sz="4"/>
                    <w:left w:val="none" w:color="000000" w:sz="4"/>
                    <w:bottom w:val="single" w:color="000000" w:sz="4"/>
                    <w:right w:val="single" w:color="000000" w:sz="4"/>
                  </w:tcBorders>
                </w:tcPr>
                <w:p/>
              </w:tc>
              <w:tc>
                <w:tcPr>
                  <w:tcW w:type="dxa" w:w="654"/>
                  <w:vMerge/>
                  <w:tcBorders>
                    <w:top w:val="single" w:color="000000" w:sz="4"/>
                    <w:left w:val="none" w:color="000000" w:sz="4"/>
                    <w:bottom w:val="single" w:color="000000" w:sz="4"/>
                    <w:right w:val="single" w:color="000000" w:sz="4"/>
                  </w:tcBorders>
                </w:tcPr>
                <w:p/>
              </w:tc>
              <w:tc>
                <w:tcPr>
                  <w:tcW w:type="dxa" w:w="566"/>
                  <w:vMerge/>
                  <w:tcBorders>
                    <w:top w:val="single" w:color="000000" w:sz="4"/>
                    <w:left w:val="none" w:color="000000" w:sz="4"/>
                    <w:bottom w:val="single" w:color="000000" w:sz="4"/>
                    <w:right w:val="single" w:color="000000" w:sz="4"/>
                  </w:tcBorders>
                </w:tcPr>
                <w:p/>
              </w:tc>
            </w:tr>
            <w:tr>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w:t>
                  </w:r>
                </w:p>
              </w:tc>
              <w:tc>
                <w:tcPr>
                  <w:tcW w:type="dxa" w:w="17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种苗培育用工</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项</w:t>
                  </w:r>
                </w:p>
              </w:tc>
              <w:tc>
                <w:tcPr>
                  <w:tcW w:type="dxa" w:w="5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w:t>
                  </w:r>
                </w:p>
              </w:tc>
            </w:tr>
            <w:tr>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2</w:t>
                  </w:r>
                </w:p>
              </w:tc>
              <w:tc>
                <w:tcPr>
                  <w:tcW w:type="dxa" w:w="17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种子</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公斤</w:t>
                  </w:r>
                </w:p>
              </w:tc>
              <w:tc>
                <w:tcPr>
                  <w:tcW w:type="dxa" w:w="5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60kg</w:t>
                  </w:r>
                </w:p>
              </w:tc>
            </w:tr>
            <w:tr>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3</w:t>
                  </w:r>
                </w:p>
              </w:tc>
              <w:tc>
                <w:tcPr>
                  <w:tcW w:type="dxa" w:w="17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专用培养土</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立方</w:t>
                  </w:r>
                </w:p>
              </w:tc>
              <w:tc>
                <w:tcPr>
                  <w:tcW w:type="dxa" w:w="5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345</w:t>
                  </w:r>
                </w:p>
              </w:tc>
            </w:tr>
            <w:tr>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w:t>
                  </w:r>
                </w:p>
              </w:tc>
              <w:tc>
                <w:tcPr>
                  <w:tcW w:type="dxa" w:w="17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杜鹃穴孔育苗盘</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套</w:t>
                  </w:r>
                </w:p>
              </w:tc>
              <w:tc>
                <w:tcPr>
                  <w:tcW w:type="dxa" w:w="5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40000</w:t>
                  </w:r>
                </w:p>
              </w:tc>
            </w:tr>
            <w:tr>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5</w:t>
                  </w:r>
                </w:p>
              </w:tc>
              <w:tc>
                <w:tcPr>
                  <w:tcW w:type="dxa" w:w="17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防菌隔离栏</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个</w:t>
                  </w:r>
                </w:p>
              </w:tc>
              <w:tc>
                <w:tcPr>
                  <w:tcW w:type="dxa" w:w="5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30000</w:t>
                  </w:r>
                </w:p>
              </w:tc>
            </w:tr>
            <w:tr>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6</w:t>
                  </w:r>
                </w:p>
              </w:tc>
              <w:tc>
                <w:tcPr>
                  <w:tcW w:type="dxa" w:w="17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病虫害防治</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项</w:t>
                  </w:r>
                </w:p>
              </w:tc>
              <w:tc>
                <w:tcPr>
                  <w:tcW w:type="dxa" w:w="5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w:t>
                  </w:r>
                </w:p>
              </w:tc>
            </w:tr>
            <w:tr>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7</w:t>
                  </w:r>
                </w:p>
              </w:tc>
              <w:tc>
                <w:tcPr>
                  <w:tcW w:type="dxa" w:w="17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喷水系统提升改造</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平方米</w:t>
                  </w:r>
                </w:p>
              </w:tc>
              <w:tc>
                <w:tcPr>
                  <w:tcW w:type="dxa" w:w="5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2300</w:t>
                  </w:r>
                </w:p>
              </w:tc>
            </w:tr>
            <w:tr>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8</w:t>
                  </w:r>
                </w:p>
              </w:tc>
              <w:tc>
                <w:tcPr>
                  <w:tcW w:type="dxa" w:w="17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雾化设备</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台</w:t>
                  </w:r>
                </w:p>
              </w:tc>
              <w:tc>
                <w:tcPr>
                  <w:tcW w:type="dxa" w:w="5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4</w:t>
                  </w:r>
                </w:p>
              </w:tc>
            </w:tr>
            <w:tr>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9</w:t>
                  </w:r>
                </w:p>
              </w:tc>
              <w:tc>
                <w:tcPr>
                  <w:tcW w:type="dxa" w:w="17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电费</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项</w:t>
                  </w:r>
                </w:p>
              </w:tc>
              <w:tc>
                <w:tcPr>
                  <w:tcW w:type="dxa" w:w="5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w:t>
                  </w:r>
                </w:p>
              </w:tc>
            </w:tr>
            <w:tr>
              <w:tc>
                <w:tcPr>
                  <w:tcW w:type="dxa" w:w="25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10</w:t>
                  </w:r>
                </w:p>
              </w:tc>
              <w:tc>
                <w:tcPr>
                  <w:tcW w:type="dxa" w:w="17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水费</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项</w:t>
                  </w:r>
                </w:p>
              </w:tc>
              <w:tc>
                <w:tcPr>
                  <w:tcW w:type="dxa" w:w="5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rPr>
                    <w:t>1</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合同签订后至2026年11月30日前完工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进度款，项⽬进度达到70%，达到付款条件起15个工作日内，支付合同总金额的40.0%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成本补偿，项⽬竣⼯验收合格后，达到付款条件起15个工作日内，支付合同总金额的30.0%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商务应答表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具有有效的营业执照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企业资格要求</w:t>
            </w:r>
          </w:p>
        </w:tc>
        <w:tc>
          <w:tcPr>
            <w:tcW w:type="dxa" w:w="3322"/>
          </w:tcPr>
          <w:p>
            <w:pPr>
              <w:pStyle w:val="null3"/>
            </w:pPr>
            <w:r>
              <w:rPr>
                <w:rFonts w:ascii="仿宋_GB2312" w:hAnsi="仿宋_GB2312" w:cs="仿宋_GB2312" w:eastAsia="仿宋_GB2312"/>
              </w:rPr>
              <w:t>供应商须提供相关部门颁发的《林草种子生产经营许可证》或《林木种子生产经营许可证》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商务应答表 服务方案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供货及实施方案</w:t>
            </w:r>
          </w:p>
        </w:tc>
        <w:tc>
          <w:tcPr>
            <w:tcW w:type="dxa" w:w="2492"/>
          </w:tcPr>
          <w:p>
            <w:pPr>
              <w:pStyle w:val="null3"/>
            </w:pPr>
            <w:r>
              <w:rPr>
                <w:rFonts w:ascii="仿宋_GB2312" w:hAnsi="仿宋_GB2312" w:cs="仿宋_GB2312" w:eastAsia="仿宋_GB2312"/>
              </w:rPr>
              <w:t>评审范围：种子储备、供货保证措施方案、配送方案、人员安排、车辆安排、运输时间、货物交接措施 ①内容详细、完整、合理、可行，计12分； ②内容明确且基本完整，合理、可行，计8分； ③内容明确但不完整，有一定合理性及可行性计6分； ④内容明确但不完整，合理性及可行性不足，得3分； ⑤内容含糊且合理性及可行性不足，得1分； ⑥未提供有关内容的不计分。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项目整体理解与培育目标策划</w:t>
            </w:r>
          </w:p>
        </w:tc>
        <w:tc>
          <w:tcPr>
            <w:tcW w:type="dxa" w:w="2492"/>
          </w:tcPr>
          <w:p>
            <w:pPr>
              <w:pStyle w:val="null3"/>
            </w:pPr>
            <w:r>
              <w:rPr>
                <w:rFonts w:ascii="仿宋_GB2312" w:hAnsi="仿宋_GB2312" w:cs="仿宋_GB2312" w:eastAsia="仿宋_GB2312"/>
              </w:rPr>
              <w:t>评审范围：高山杜鹃生长习性、培育规模、周期、成活率、出圃标准等内容 ①内容详细、完整、合理、可行，计12分； ②内容明确且基本完整，合理、可行，计8分； ③内容明确但不完整，有一定合理性及可行性，计6分； ④内容明确但不完整，合理性及可行性不足，计3分； ⑤内容含糊且合理性及可行性不足，计1分； ⑥未提供有关内容的不计分.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高山杜鹃苗木繁育技术方案</w:t>
            </w:r>
          </w:p>
        </w:tc>
        <w:tc>
          <w:tcPr>
            <w:tcW w:type="dxa" w:w="2492"/>
          </w:tcPr>
          <w:p>
            <w:pPr>
              <w:pStyle w:val="null3"/>
            </w:pPr>
            <w:r>
              <w:rPr>
                <w:rFonts w:ascii="仿宋_GB2312" w:hAnsi="仿宋_GB2312" w:cs="仿宋_GB2312" w:eastAsia="仿宋_GB2312"/>
              </w:rPr>
              <w:t>评审范围：采种处理、基质配比、播种扦插、生根促萌、炼苗、分级育苗全流程技术方案 ①内容详细、完整、合理、可行，计10分； ②内容明确且基本完整，合理、可行，计7分； ③内容明确但不完整，有一定合理性及可行性，计4分； ④内容明确但不完整，合理性及可行性不足，计2分； ⑤内容含糊且合理性及可行性不足，计1分； ⑥未提供有关内容的不计分.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苗期精细化养护管理方案</w:t>
            </w:r>
          </w:p>
        </w:tc>
        <w:tc>
          <w:tcPr>
            <w:tcW w:type="dxa" w:w="2492"/>
          </w:tcPr>
          <w:p>
            <w:pPr>
              <w:pStyle w:val="null3"/>
            </w:pPr>
            <w:r>
              <w:rPr>
                <w:rFonts w:ascii="仿宋_GB2312" w:hAnsi="仿宋_GB2312" w:cs="仿宋_GB2312" w:eastAsia="仿宋_GB2312"/>
              </w:rPr>
              <w:t>评审范围：水肥、光照温控、湿度、除草松土、修剪、病虫害绿色防控等内容 ①内容详细、完整、合理、可行，计10分； ②内容明确且基本完整，合理、可行，计7分； ③内容明确但不完整，有一定合理性及可行性，计4分； ④内容明确但不完整，合理性及可行性不足，计2分； ⑤内容含糊且合理性及可行性不足，计1分； ⑥未提供有关内容的不计分。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质量管控与成活率保障方案</w:t>
            </w:r>
          </w:p>
        </w:tc>
        <w:tc>
          <w:tcPr>
            <w:tcW w:type="dxa" w:w="2492"/>
          </w:tcPr>
          <w:p>
            <w:pPr>
              <w:pStyle w:val="null3"/>
            </w:pPr>
            <w:r>
              <w:rPr>
                <w:rFonts w:ascii="仿宋_GB2312" w:hAnsi="仿宋_GB2312" w:cs="仿宋_GB2312" w:eastAsia="仿宋_GB2312"/>
              </w:rPr>
              <w:t>评审范围：日常巡检、周期测评、出圃复检、成活率、壮苗率、不合格苗处置机制 ①内容详细、完整、合理、可行，计10分； ②内容明确且基本完整，合理、可行，计7分； ③内容明确但不完整，有一定合理性及可行性，计4分； ④内容明确但不完整，合理性及可行性不足，计2分； ⑤内容含糊且合理性及可行性不足，计1分； ⑥未提供有关内容的不计分。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项目进度与实施计划</w:t>
            </w:r>
          </w:p>
        </w:tc>
        <w:tc>
          <w:tcPr>
            <w:tcW w:type="dxa" w:w="2492"/>
          </w:tcPr>
          <w:p>
            <w:pPr>
              <w:pStyle w:val="null3"/>
            </w:pPr>
            <w:r>
              <w:rPr>
                <w:rFonts w:ascii="仿宋_GB2312" w:hAnsi="仿宋_GB2312" w:cs="仿宋_GB2312" w:eastAsia="仿宋_GB2312"/>
              </w:rPr>
              <w:t>评审范围：备料、育苗、定植、养护、炼苗、出圃、移交等工期节点安排 ①内容详细、完整、合理、可行，计5分； ②内容明确且基本完整，合理、可行，计3分； ③内容明确但不完整，有一定合理性及可行性，计2分； ④内容含糊且合理性及可行性不足，计1分； ⑤未提供有关内容的不计分。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安全文明与环保措施</w:t>
            </w:r>
          </w:p>
        </w:tc>
        <w:tc>
          <w:tcPr>
            <w:tcW w:type="dxa" w:w="2492"/>
          </w:tcPr>
          <w:p>
            <w:pPr>
              <w:pStyle w:val="null3"/>
            </w:pPr>
            <w:r>
              <w:rPr>
                <w:rFonts w:ascii="仿宋_GB2312" w:hAnsi="仿宋_GB2312" w:cs="仿宋_GB2312" w:eastAsia="仿宋_GB2312"/>
              </w:rPr>
              <w:t>评审范围：基质无害化、水肥回收、环保防虫、作业安全、防寒防汛、防火防护等 ①内容详细、完整、合理、可行，计5分； ②内容明确且基本完整，合理、可行，计3分； ③内容明确但不完整，有一定合理性及可行性，计2分； ④内容含糊且合理性及可行性不足，计1分； ⑤未提供有关内容的不计分。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培育场地与设施保障</w:t>
            </w:r>
          </w:p>
        </w:tc>
        <w:tc>
          <w:tcPr>
            <w:tcW w:type="dxa" w:w="2492"/>
          </w:tcPr>
          <w:p>
            <w:pPr>
              <w:pStyle w:val="null3"/>
            </w:pPr>
            <w:r>
              <w:rPr>
                <w:rFonts w:ascii="仿宋_GB2312" w:hAnsi="仿宋_GB2312" w:cs="仿宋_GB2312" w:eastAsia="仿宋_GB2312"/>
              </w:rPr>
              <w:t>评审范围：圃地、大棚、遮阳、灌溉、排水、炼苗区等育苗配套设施 ①内容详细、完整、合理、可行，计5分； ②内容明确且基本完整，合理、可行，计3分； ③内容明确但不完整，有一定合理性及可行性，计2分； ④内容含糊且合理性及可行性不足，计1分； ⑤未提供有关内容的不计分。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物资与应急保障</w:t>
            </w:r>
          </w:p>
        </w:tc>
        <w:tc>
          <w:tcPr>
            <w:tcW w:type="dxa" w:w="2492"/>
          </w:tcPr>
          <w:p>
            <w:pPr>
              <w:pStyle w:val="null3"/>
            </w:pPr>
            <w:r>
              <w:rPr>
                <w:rFonts w:ascii="仿宋_GB2312" w:hAnsi="仿宋_GB2312" w:cs="仿宋_GB2312" w:eastAsia="仿宋_GB2312"/>
              </w:rPr>
              <w:t>评审范围：基质、肥料、药剂等物资储备、极端天气、苗木损耗、断供应急处置 ①内容详细、完整、合理、可行，计5分； ②内容明确且基本完整，合理、可行，计3分； ③内容明确但不完整，有一定合理性及可行性，计2分； ④内容含糊且合理性及可行性不足，计1分； ⑤未提供有关内容的不计分。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苗木成活率、质保期承诺</w:t>
            </w:r>
          </w:p>
        </w:tc>
        <w:tc>
          <w:tcPr>
            <w:tcW w:type="dxa" w:w="2492"/>
          </w:tcPr>
          <w:p>
            <w:pPr>
              <w:pStyle w:val="null3"/>
            </w:pPr>
            <w:r>
              <w:rPr>
                <w:rFonts w:ascii="仿宋_GB2312" w:hAnsi="仿宋_GB2312" w:cs="仿宋_GB2312" w:eastAsia="仿宋_GB2312"/>
              </w:rPr>
              <w:t>评审范围：成活率指标、质保期限、补种规则、赔付标准等承诺</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售后技术指导服务承诺</w:t>
            </w:r>
          </w:p>
        </w:tc>
        <w:tc>
          <w:tcPr>
            <w:tcW w:type="dxa" w:w="2492"/>
          </w:tcPr>
          <w:p>
            <w:pPr>
              <w:pStyle w:val="null3"/>
            </w:pPr>
            <w:r>
              <w:rPr>
                <w:rFonts w:ascii="仿宋_GB2312" w:hAnsi="仿宋_GB2312" w:cs="仿宋_GB2312" w:eastAsia="仿宋_GB2312"/>
              </w:rPr>
              <w:t>评审范围：养护培训、技术咨询、问题处置、定期回访等服务承诺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评审范围：项目负责人具有相关专业中级及以上职称的得 2分，其他不得分。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评审范围：供应商提供近三年（2023年5月-至今）完成类似业绩证明材料，每提供1个业绩得1分，此项最高得2分；（注：以响应文件中提供的中标通知书及合同复印件为准）。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