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3C4BD">
      <w:pPr>
        <w:pStyle w:val="2"/>
        <w:tabs>
          <w:tab w:val="left" w:pos="425"/>
        </w:tabs>
        <w:ind w:left="0" w:firstLine="0"/>
        <w:rPr>
          <w:rFonts w:ascii="仿宋" w:hAnsi="仿宋" w:eastAsia="仿宋" w:cs="仿宋"/>
          <w:color w:val="000000"/>
          <w:sz w:val="22"/>
          <w:szCs w:val="22"/>
        </w:rPr>
      </w:pPr>
      <w:r>
        <w:rPr>
          <w:rFonts w:hint="eastAsia" w:ascii="仿宋" w:hAnsi="仿宋" w:eastAsia="仿宋" w:cs="仿宋"/>
          <w:color w:val="000000"/>
          <w:sz w:val="22"/>
          <w:szCs w:val="22"/>
        </w:rPr>
        <w:t>合同主要条款</w:t>
      </w:r>
    </w:p>
    <w:p w14:paraId="28D17C91">
      <w:pPr>
        <w:spacing w:line="480" w:lineRule="exact"/>
        <w:jc w:val="center"/>
        <w:rPr>
          <w:rFonts w:ascii="仿宋" w:hAnsi="仿宋" w:eastAsia="仿宋" w:cs="仿宋"/>
          <w:b/>
          <w:bCs/>
          <w:color w:val="000000"/>
          <w:sz w:val="22"/>
          <w:szCs w:val="22"/>
        </w:rPr>
      </w:pPr>
      <w:r>
        <w:rPr>
          <w:rFonts w:hint="eastAsia" w:ascii="仿宋" w:hAnsi="仿宋" w:eastAsia="仿宋" w:cs="仿宋"/>
          <w:b/>
          <w:bCs/>
          <w:color w:val="000000"/>
          <w:sz w:val="22"/>
          <w:szCs w:val="22"/>
        </w:rPr>
        <w:t>供货合同格式</w:t>
      </w:r>
    </w:p>
    <w:p w14:paraId="02FEC876">
      <w:pPr>
        <w:spacing w:line="480" w:lineRule="exact"/>
        <w:jc w:val="center"/>
        <w:rPr>
          <w:rFonts w:ascii="仿宋" w:hAnsi="仿宋" w:eastAsia="仿宋" w:cs="仿宋"/>
          <w:b/>
          <w:bCs/>
          <w:color w:val="000000"/>
          <w:sz w:val="20"/>
          <w:szCs w:val="20"/>
        </w:rPr>
      </w:pPr>
    </w:p>
    <w:p w14:paraId="1F6E4533">
      <w:pPr>
        <w:ind w:firstLine="392" w:firstLineChars="200"/>
        <w:jc w:val="left"/>
        <w:rPr>
          <w:rFonts w:ascii="仿宋" w:hAnsi="仿宋" w:eastAsia="仿宋" w:cs="仿宋"/>
          <w:color w:val="000000"/>
          <w:spacing w:val="-2"/>
          <w:kern w:val="0"/>
          <w:sz w:val="20"/>
          <w:szCs w:val="20"/>
        </w:rPr>
      </w:pPr>
      <w:r>
        <w:rPr>
          <w:rFonts w:hint="eastAsia" w:ascii="仿宋" w:hAnsi="仿宋" w:eastAsia="仿宋" w:cs="仿宋"/>
          <w:color w:val="000000"/>
          <w:spacing w:val="-2"/>
          <w:kern w:val="0"/>
          <w:sz w:val="20"/>
          <w:szCs w:val="20"/>
        </w:rPr>
        <w:t>陕西省图书馆（陕西省古籍保护中心）2027年中文邮发期刊采购(项</w:t>
      </w:r>
      <w:r>
        <w:rPr>
          <w:rFonts w:hint="eastAsia" w:ascii="仿宋" w:hAnsi="仿宋" w:eastAsia="仿宋" w:cs="仿宋"/>
          <w:color w:val="000000"/>
          <w:kern w:val="0"/>
          <w:sz w:val="20"/>
          <w:szCs w:val="20"/>
        </w:rPr>
        <w:t>目编号：ZJZBSX-260503-0072)</w:t>
      </w:r>
      <w:r>
        <w:rPr>
          <w:rFonts w:hint="eastAsia" w:ascii="仿宋" w:hAnsi="仿宋" w:eastAsia="仿宋" w:cs="仿宋"/>
          <w:color w:val="000000"/>
          <w:spacing w:val="-2"/>
          <w:kern w:val="0"/>
          <w:sz w:val="20"/>
          <w:szCs w:val="20"/>
        </w:rPr>
        <w:t>，在陕西省财政厅政府采购管理处的监督管理下，由陕西中经招标有限公司组织公开招标。</w:t>
      </w:r>
      <w:r>
        <w:rPr>
          <w:rFonts w:hint="eastAsia" w:ascii="仿宋" w:hAnsi="仿宋" w:eastAsia="仿宋" w:cs="仿宋"/>
          <w:color w:val="000000"/>
          <w:sz w:val="20"/>
          <w:szCs w:val="20"/>
        </w:rPr>
        <w:t>陕西省图书馆（陕西省古籍保护中心）</w:t>
      </w:r>
      <w:r>
        <w:rPr>
          <w:rFonts w:hint="eastAsia" w:ascii="仿宋" w:hAnsi="仿宋" w:eastAsia="仿宋" w:cs="仿宋"/>
          <w:color w:val="000000"/>
          <w:spacing w:val="-2"/>
          <w:kern w:val="0"/>
          <w:sz w:val="20"/>
          <w:szCs w:val="20"/>
        </w:rPr>
        <w:t>(以下简称“买方”)确定</w:t>
      </w:r>
      <w:r>
        <w:rPr>
          <w:rFonts w:hint="eastAsia" w:ascii="仿宋" w:hAnsi="仿宋" w:eastAsia="仿宋" w:cs="仿宋"/>
          <w:color w:val="000000"/>
          <w:spacing w:val="-2"/>
          <w:kern w:val="0"/>
          <w:sz w:val="20"/>
          <w:szCs w:val="20"/>
          <w:u w:val="single"/>
        </w:rPr>
        <w:t xml:space="preserve">      </w:t>
      </w:r>
      <w:r>
        <w:rPr>
          <w:rFonts w:hint="eastAsia" w:ascii="仿宋" w:hAnsi="仿宋" w:eastAsia="仿宋" w:cs="仿宋"/>
          <w:color w:val="000000"/>
          <w:spacing w:val="-2"/>
          <w:kern w:val="0"/>
          <w:sz w:val="20"/>
          <w:szCs w:val="20"/>
        </w:rPr>
        <w:t>(成交供应商名称（以下简称“卖方”）为成交供应商。</w:t>
      </w:r>
    </w:p>
    <w:p w14:paraId="6A40801C">
      <w:pPr>
        <w:ind w:firstLine="392" w:firstLineChars="200"/>
        <w:rPr>
          <w:rFonts w:ascii="仿宋" w:hAnsi="仿宋" w:eastAsia="仿宋" w:cs="仿宋"/>
          <w:color w:val="000000"/>
          <w:spacing w:val="-2"/>
          <w:kern w:val="0"/>
          <w:sz w:val="20"/>
          <w:szCs w:val="20"/>
        </w:rPr>
      </w:pPr>
      <w:r>
        <w:rPr>
          <w:rFonts w:hint="eastAsia" w:ascii="仿宋" w:hAnsi="仿宋" w:eastAsia="仿宋" w:cs="仿宋"/>
          <w:color w:val="000000"/>
          <w:spacing w:val="-2"/>
          <w:kern w:val="0"/>
          <w:sz w:val="20"/>
          <w:szCs w:val="20"/>
        </w:rPr>
        <w:t>依据《中华人民共和国民法典》和《中华人民共和国政府采购法》，买方通过公开招标采购</w:t>
      </w:r>
      <w:r>
        <w:rPr>
          <w:rFonts w:hint="eastAsia" w:ascii="仿宋" w:hAnsi="仿宋" w:eastAsia="仿宋" w:cs="仿宋"/>
          <w:color w:val="000000"/>
          <w:spacing w:val="-2"/>
          <w:kern w:val="0"/>
          <w:sz w:val="20"/>
          <w:szCs w:val="20"/>
          <w:u w:val="single"/>
        </w:rPr>
        <w:t xml:space="preserve">   （采购内容）    </w:t>
      </w:r>
      <w:r>
        <w:rPr>
          <w:rFonts w:hint="eastAsia" w:ascii="仿宋" w:hAnsi="仿宋" w:eastAsia="仿宋" w:cs="仿宋"/>
          <w:color w:val="000000"/>
          <w:spacing w:val="-2"/>
          <w:kern w:val="0"/>
          <w:sz w:val="20"/>
          <w:szCs w:val="20"/>
        </w:rPr>
        <w:t>，并接受了卖方以折扣（1-下浮率）</w:t>
      </w:r>
      <w:r>
        <w:rPr>
          <w:rFonts w:hint="eastAsia" w:ascii="仿宋" w:hAnsi="仿宋" w:eastAsia="仿宋" w:cs="仿宋"/>
          <w:color w:val="000000"/>
          <w:spacing w:val="-2"/>
          <w:kern w:val="0"/>
          <w:sz w:val="20"/>
          <w:szCs w:val="20"/>
          <w:u w:val="single"/>
        </w:rPr>
        <w:t xml:space="preserve">   （折扣大写)   </w:t>
      </w:r>
      <w:r>
        <w:rPr>
          <w:rFonts w:hint="eastAsia" w:ascii="仿宋" w:hAnsi="仿宋" w:eastAsia="仿宋" w:cs="仿宋"/>
          <w:color w:val="000000"/>
          <w:spacing w:val="-2"/>
          <w:kern w:val="0"/>
          <w:sz w:val="20"/>
          <w:szCs w:val="20"/>
        </w:rPr>
        <w:t>(以下简称“合同价”)提供的货物和服务。</w:t>
      </w:r>
    </w:p>
    <w:p w14:paraId="3AD7C613">
      <w:pPr>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一、</w:t>
      </w:r>
      <w:r>
        <w:rPr>
          <w:rFonts w:hint="eastAsia" w:ascii="仿宋" w:hAnsi="仿宋" w:eastAsia="仿宋" w:cs="仿宋"/>
          <w:color w:val="000000"/>
          <w:sz w:val="20"/>
          <w:szCs w:val="20"/>
        </w:rPr>
        <w:t>本合同中的词语和术语的含义与合同条款中定义的相同。</w:t>
      </w:r>
    </w:p>
    <w:p w14:paraId="151AB8FF">
      <w:pPr>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二、</w:t>
      </w:r>
      <w:r>
        <w:rPr>
          <w:rFonts w:hint="eastAsia" w:ascii="仿宋" w:hAnsi="仿宋" w:eastAsia="仿宋" w:cs="仿宋"/>
          <w:color w:val="000000"/>
          <w:sz w:val="20"/>
          <w:szCs w:val="20"/>
        </w:rPr>
        <w:t>下述文件是本合同的组成部分，相互之间存在冲突矛盾之处，效力等级按照下述顺序从高到低排序：</w:t>
      </w:r>
    </w:p>
    <w:p w14:paraId="28B9CB1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1、合同条款</w:t>
      </w:r>
    </w:p>
    <w:p w14:paraId="1B090316">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2、合同条款附件</w:t>
      </w:r>
    </w:p>
    <w:p w14:paraId="7D427FBC">
      <w:pPr>
        <w:ind w:firstLine="700" w:firstLineChars="350"/>
        <w:rPr>
          <w:rFonts w:ascii="仿宋" w:hAnsi="仿宋" w:eastAsia="仿宋" w:cs="仿宋"/>
          <w:color w:val="000000"/>
          <w:sz w:val="20"/>
          <w:szCs w:val="20"/>
        </w:rPr>
      </w:pPr>
      <w:r>
        <w:rPr>
          <w:rFonts w:hint="eastAsia" w:ascii="仿宋" w:hAnsi="仿宋" w:eastAsia="仿宋" w:cs="仿宋"/>
          <w:color w:val="000000"/>
          <w:sz w:val="20"/>
          <w:szCs w:val="20"/>
        </w:rPr>
        <w:t>附件1—货物清单</w:t>
      </w:r>
    </w:p>
    <w:p w14:paraId="343C6C7D">
      <w:pPr>
        <w:ind w:firstLine="700" w:firstLineChars="350"/>
        <w:rPr>
          <w:rFonts w:ascii="仿宋" w:hAnsi="仿宋" w:eastAsia="仿宋" w:cs="仿宋"/>
          <w:color w:val="000000"/>
          <w:sz w:val="20"/>
          <w:szCs w:val="20"/>
        </w:rPr>
      </w:pPr>
      <w:r>
        <w:rPr>
          <w:rFonts w:hint="eastAsia" w:ascii="仿宋" w:hAnsi="仿宋" w:eastAsia="仿宋" w:cs="仿宋"/>
          <w:color w:val="000000"/>
          <w:sz w:val="20"/>
          <w:szCs w:val="20"/>
        </w:rPr>
        <w:t>附件2—质量保证承诺</w:t>
      </w:r>
    </w:p>
    <w:p w14:paraId="0AA0AEC5">
      <w:pPr>
        <w:ind w:firstLine="700" w:firstLineChars="350"/>
        <w:rPr>
          <w:rFonts w:ascii="仿宋" w:hAnsi="仿宋" w:eastAsia="仿宋" w:cs="仿宋"/>
          <w:color w:val="000000"/>
          <w:sz w:val="20"/>
          <w:szCs w:val="20"/>
        </w:rPr>
      </w:pPr>
      <w:r>
        <w:rPr>
          <w:rFonts w:hint="eastAsia" w:ascii="仿宋" w:hAnsi="仿宋" w:eastAsia="仿宋" w:cs="仿宋"/>
          <w:color w:val="000000"/>
          <w:sz w:val="20"/>
          <w:szCs w:val="20"/>
        </w:rPr>
        <w:t>附件3—售后服务</w:t>
      </w:r>
    </w:p>
    <w:p w14:paraId="6472C9FC">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3、中标通知书</w:t>
      </w:r>
    </w:p>
    <w:p w14:paraId="67D27169">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4、招标文件</w:t>
      </w:r>
    </w:p>
    <w:p w14:paraId="0AD8FA1B">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5、投标文件</w:t>
      </w:r>
    </w:p>
    <w:p w14:paraId="3AB295A2">
      <w:pPr>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三、</w:t>
      </w:r>
      <w:r>
        <w:rPr>
          <w:rFonts w:hint="eastAsia" w:ascii="仿宋" w:hAnsi="仿宋" w:eastAsia="仿宋" w:cs="仿宋"/>
          <w:color w:val="000000"/>
          <w:sz w:val="20"/>
          <w:szCs w:val="20"/>
        </w:rPr>
        <w:t>卖方供货范围：</w:t>
      </w:r>
      <w:r>
        <w:rPr>
          <w:rFonts w:hint="eastAsia" w:ascii="仿宋" w:hAnsi="仿宋" w:eastAsia="仿宋" w:cs="仿宋"/>
          <w:color w:val="000000"/>
          <w:sz w:val="20"/>
          <w:szCs w:val="20"/>
          <w:u w:val="single"/>
        </w:rPr>
        <w:t xml:space="preserve">                  </w:t>
      </w:r>
    </w:p>
    <w:p w14:paraId="3A4AA9E2">
      <w:pPr>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四、</w:t>
      </w:r>
      <w:r>
        <w:rPr>
          <w:rFonts w:hint="eastAsia" w:ascii="仿宋" w:hAnsi="仿宋" w:eastAsia="仿宋" w:cs="仿宋"/>
          <w:color w:val="000000"/>
          <w:sz w:val="20"/>
          <w:szCs w:val="20"/>
        </w:rPr>
        <w:t>卖方在此保证全部按照合同的规定向买方提供货物和服务，并修补缺陷，保证所投图书和服务符合相关强制性规定，交货时买方有权要求卖方出具所投图书、服务符合上述规定的证明文件。</w:t>
      </w:r>
    </w:p>
    <w:p w14:paraId="42BD87FD">
      <w:pPr>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五、</w:t>
      </w:r>
      <w:r>
        <w:rPr>
          <w:rFonts w:hint="eastAsia" w:ascii="仿宋" w:hAnsi="仿宋" w:eastAsia="仿宋" w:cs="仿宋"/>
          <w:color w:val="000000"/>
          <w:sz w:val="20"/>
          <w:szCs w:val="20"/>
        </w:rPr>
        <w:t>买方按照合同约定向卖方付款。</w:t>
      </w:r>
    </w:p>
    <w:p w14:paraId="1AD7A637">
      <w:pPr>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六、付款方式：</w:t>
      </w:r>
    </w:p>
    <w:p w14:paraId="176F417D">
      <w:pPr>
        <w:ind w:firstLine="400" w:firstLineChars="200"/>
        <w:rPr>
          <w:rFonts w:ascii="仿宋" w:hAnsi="仿宋" w:eastAsia="仿宋" w:cs="仿宋"/>
          <w:sz w:val="20"/>
          <w:szCs w:val="20"/>
        </w:rPr>
      </w:pPr>
      <w:r>
        <w:rPr>
          <w:rFonts w:hint="eastAsia" w:ascii="仿宋" w:hAnsi="仿宋" w:eastAsia="仿宋" w:cs="仿宋"/>
          <w:sz w:val="20"/>
          <w:szCs w:val="20"/>
        </w:rPr>
        <w:t>1、预定期刊采购供货合同签订后，采购人按照成交价及时付款。在期刊供应完成后，按照最终验收结果进行结算。</w:t>
      </w:r>
    </w:p>
    <w:p w14:paraId="633148FE">
      <w:pPr>
        <w:ind w:firstLine="400" w:firstLineChars="200"/>
        <w:rPr>
          <w:rFonts w:ascii="仿宋" w:hAnsi="仿宋" w:eastAsia="仿宋" w:cs="仿宋"/>
          <w:sz w:val="20"/>
          <w:szCs w:val="20"/>
        </w:rPr>
      </w:pPr>
      <w:r>
        <w:rPr>
          <w:rFonts w:hint="eastAsia" w:ascii="仿宋" w:hAnsi="仿宋" w:eastAsia="仿宋" w:cs="仿宋"/>
          <w:sz w:val="20"/>
          <w:szCs w:val="20"/>
        </w:rPr>
        <w:t>2、中文期刊结算价=中文期刊标价×</w:t>
      </w:r>
      <w:r>
        <w:rPr>
          <w:rFonts w:hint="eastAsia" w:ascii="仿宋" w:hAnsi="仿宋" w:eastAsia="仿宋" w:cs="仿宋"/>
          <w:color w:val="000000"/>
          <w:spacing w:val="-2"/>
          <w:kern w:val="0"/>
          <w:sz w:val="20"/>
          <w:szCs w:val="20"/>
        </w:rPr>
        <w:t>（1-下浮率）</w:t>
      </w:r>
      <w:r>
        <w:rPr>
          <w:rFonts w:hint="eastAsia" w:ascii="仿宋" w:hAnsi="仿宋" w:eastAsia="仿宋" w:cs="仿宋"/>
          <w:color w:val="000000"/>
          <w:spacing w:val="-2"/>
          <w:kern w:val="0"/>
          <w:sz w:val="20"/>
          <w:szCs w:val="20"/>
          <w:u w:val="single"/>
        </w:rPr>
        <w:t xml:space="preserve">   （折扣大写)</w:t>
      </w:r>
      <w:r>
        <w:rPr>
          <w:rFonts w:hint="eastAsia" w:ascii="仿宋" w:hAnsi="仿宋" w:eastAsia="仿宋" w:cs="仿宋"/>
          <w:sz w:val="20"/>
          <w:szCs w:val="20"/>
        </w:rPr>
        <w:t>。</w:t>
      </w:r>
    </w:p>
    <w:p w14:paraId="6399EEFF">
      <w:pPr>
        <w:ind w:firstLine="400" w:firstLineChars="200"/>
        <w:rPr>
          <w:rFonts w:ascii="仿宋" w:hAnsi="仿宋" w:eastAsia="仿宋" w:cs="仿宋"/>
          <w:sz w:val="20"/>
          <w:szCs w:val="20"/>
        </w:rPr>
      </w:pPr>
      <w:r>
        <w:rPr>
          <w:rFonts w:hint="eastAsia" w:ascii="仿宋" w:hAnsi="仿宋" w:eastAsia="仿宋" w:cs="仿宋"/>
          <w:sz w:val="20"/>
          <w:szCs w:val="20"/>
        </w:rPr>
        <w:t>3、当采购人对期刊价格有疑问时，供应商应提供有关资料供采购人查阅。当期刊价格不合理，采购人可拒收货物。</w:t>
      </w:r>
    </w:p>
    <w:p w14:paraId="3EFB4ACD">
      <w:pPr>
        <w:ind w:firstLine="400" w:firstLineChars="200"/>
        <w:rPr>
          <w:rFonts w:ascii="仿宋" w:hAnsi="仿宋" w:eastAsia="仿宋" w:cs="仿宋"/>
          <w:sz w:val="20"/>
          <w:szCs w:val="20"/>
        </w:rPr>
      </w:pPr>
      <w:r>
        <w:rPr>
          <w:rFonts w:hint="eastAsia" w:ascii="仿宋" w:hAnsi="仿宋" w:eastAsia="仿宋" w:cs="仿宋"/>
          <w:sz w:val="20"/>
          <w:szCs w:val="20"/>
        </w:rPr>
        <w:t>4、供应商必须提供国家税务部门监制的正式发票。</w:t>
      </w:r>
    </w:p>
    <w:p w14:paraId="268D77FB">
      <w:pPr>
        <w:adjustRightInd w:val="0"/>
        <w:snapToGrid w:val="0"/>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七、交货要求：</w:t>
      </w:r>
    </w:p>
    <w:p w14:paraId="7688E449">
      <w:pPr>
        <w:ind w:firstLine="400" w:firstLineChars="200"/>
        <w:rPr>
          <w:rFonts w:ascii="仿宋" w:hAnsi="仿宋" w:eastAsia="仿宋" w:cs="仿宋"/>
          <w:sz w:val="20"/>
          <w:szCs w:val="20"/>
          <w:shd w:val="clear" w:color="auto" w:fill="0C0C0C"/>
        </w:rPr>
      </w:pPr>
      <w:r>
        <w:rPr>
          <w:rFonts w:hint="eastAsia" w:ascii="仿宋" w:hAnsi="仿宋" w:eastAsia="仿宋" w:cs="仿宋"/>
          <w:sz w:val="20"/>
          <w:szCs w:val="20"/>
        </w:rPr>
        <w:t>1、</w:t>
      </w:r>
      <w:r>
        <w:rPr>
          <w:rFonts w:hint="eastAsia" w:ascii="仿宋" w:hAnsi="仿宋" w:eastAsia="仿宋" w:cs="仿宋"/>
          <w:bCs/>
          <w:sz w:val="20"/>
          <w:szCs w:val="20"/>
        </w:rPr>
        <w:t>期刊自出版日期起十日内到馆。</w:t>
      </w:r>
      <w:r>
        <w:rPr>
          <w:rFonts w:hint="eastAsia" w:ascii="仿宋" w:hAnsi="仿宋" w:eastAsia="仿宋" w:cs="仿宋"/>
          <w:sz w:val="20"/>
          <w:szCs w:val="20"/>
        </w:rPr>
        <w:t>要求每周投递6－8次，法定节假日按招标人要求时段投递。</w:t>
      </w:r>
    </w:p>
    <w:p w14:paraId="33841E41">
      <w:pPr>
        <w:ind w:firstLine="400" w:firstLineChars="200"/>
        <w:rPr>
          <w:rFonts w:ascii="仿宋" w:hAnsi="仿宋" w:eastAsia="仿宋" w:cs="仿宋"/>
          <w:sz w:val="20"/>
          <w:szCs w:val="20"/>
        </w:rPr>
      </w:pPr>
      <w:r>
        <w:rPr>
          <w:rFonts w:hint="eastAsia" w:ascii="仿宋" w:hAnsi="仿宋" w:eastAsia="仿宋" w:cs="仿宋"/>
          <w:sz w:val="20"/>
          <w:szCs w:val="20"/>
        </w:rPr>
        <w:t>2、供应商必须保证采购人所订期刊无漏订、无缺期。因供应商原因引致期刊漏订、缺期的，供应商必须在应交货期限一个月内补齐缺漏期刊，不能补齐的，全额退回订刊款，并免费提供期刊复印件一份，由此引致的损失由供应商承担。</w:t>
      </w:r>
    </w:p>
    <w:p w14:paraId="46FD6FE7">
      <w:pPr>
        <w:ind w:firstLine="400" w:firstLineChars="200"/>
        <w:rPr>
          <w:rFonts w:ascii="仿宋" w:hAnsi="仿宋" w:eastAsia="仿宋" w:cs="仿宋"/>
          <w:sz w:val="20"/>
          <w:szCs w:val="20"/>
        </w:rPr>
      </w:pPr>
      <w:r>
        <w:rPr>
          <w:rFonts w:hint="eastAsia" w:ascii="仿宋" w:hAnsi="仿宋" w:eastAsia="仿宋" w:cs="仿宋"/>
          <w:sz w:val="20"/>
          <w:szCs w:val="20"/>
        </w:rPr>
        <w:t>3、供应商应在送货前与采购人协商确定具体的送货时间、批数、地点，并提供免费送货与卸货服务。</w:t>
      </w:r>
    </w:p>
    <w:p w14:paraId="03FAEE17">
      <w:pPr>
        <w:ind w:firstLine="400" w:firstLineChars="200"/>
        <w:rPr>
          <w:rFonts w:ascii="仿宋" w:hAnsi="仿宋" w:eastAsia="仿宋" w:cs="仿宋"/>
          <w:color w:val="000000"/>
          <w:sz w:val="20"/>
          <w:szCs w:val="20"/>
        </w:rPr>
      </w:pPr>
      <w:r>
        <w:rPr>
          <w:rFonts w:hint="eastAsia" w:ascii="仿宋" w:hAnsi="仿宋" w:eastAsia="仿宋" w:cs="仿宋"/>
          <w:sz w:val="20"/>
          <w:szCs w:val="20"/>
        </w:rPr>
        <w:t>4、因供应商配送错误引致的损失由供应商自负。</w:t>
      </w:r>
    </w:p>
    <w:p w14:paraId="7266FF5B">
      <w:pPr>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八、履约保证金</w:t>
      </w:r>
    </w:p>
    <w:p w14:paraId="0058B7B6">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1、卖方应于本合同签订前向买方支付合同约定金额5%的履约保证金（四舍五入取整数）。</w:t>
      </w:r>
    </w:p>
    <w:p w14:paraId="74160C92">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2、合同履行过程中，卖方存在违约的，买方可从该履约保证金中扣除相关违约金、损失赔偿金等，买方扣除后，卖方须立即将其补足至合同约定金额的5%。</w:t>
      </w:r>
    </w:p>
    <w:p w14:paraId="0CE69501">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3、因卖方违约导致本合同终止的，买方无需向卖方退还履约保证金。</w:t>
      </w:r>
    </w:p>
    <w:p w14:paraId="6665732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4、卖方按照本合同约定及买方要求，完成全部供货义务及相关服务，并经买方验收合格、确认无误，且经买方审定卖方无违约情形时，买方才需向卖方无息退还履约保证金。</w:t>
      </w:r>
    </w:p>
    <w:p w14:paraId="75EDBC5C">
      <w:pPr>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九、供货要求</w:t>
      </w:r>
    </w:p>
    <w:p w14:paraId="4D1AE7F4">
      <w:pPr>
        <w:ind w:firstLine="400" w:firstLineChars="200"/>
        <w:rPr>
          <w:rFonts w:ascii="仿宋" w:hAnsi="仿宋" w:eastAsia="仿宋" w:cs="仿宋"/>
          <w:sz w:val="20"/>
          <w:szCs w:val="20"/>
        </w:rPr>
      </w:pPr>
      <w:r>
        <w:rPr>
          <w:rFonts w:hint="eastAsia" w:ascii="仿宋" w:hAnsi="仿宋" w:eastAsia="仿宋" w:cs="仿宋"/>
          <w:sz w:val="20"/>
          <w:szCs w:val="20"/>
        </w:rPr>
        <w:t>1、供应商应建立订购期刊库，用于对采购人订单进行查重。</w:t>
      </w:r>
    </w:p>
    <w:p w14:paraId="2CFC2339">
      <w:pPr>
        <w:ind w:firstLine="400" w:firstLineChars="200"/>
        <w:rPr>
          <w:rFonts w:ascii="仿宋" w:hAnsi="仿宋" w:eastAsia="仿宋" w:cs="仿宋"/>
          <w:sz w:val="20"/>
          <w:szCs w:val="20"/>
        </w:rPr>
      </w:pPr>
      <w:r>
        <w:rPr>
          <w:rFonts w:hint="eastAsia" w:ascii="仿宋" w:hAnsi="仿宋" w:eastAsia="仿宋" w:cs="仿宋"/>
          <w:sz w:val="20"/>
          <w:szCs w:val="20"/>
        </w:rPr>
        <w:t>2、供应商应在5个工作日内对采购人报送的订单进行查重，并将其制成XLS格式文件发还给采购人进行确认。</w:t>
      </w:r>
    </w:p>
    <w:p w14:paraId="6E4C436D">
      <w:pPr>
        <w:ind w:firstLine="400" w:firstLineChars="200"/>
        <w:rPr>
          <w:rFonts w:ascii="仿宋" w:hAnsi="仿宋" w:eastAsia="仿宋" w:cs="仿宋"/>
          <w:sz w:val="20"/>
          <w:szCs w:val="20"/>
        </w:rPr>
      </w:pPr>
      <w:r>
        <w:rPr>
          <w:rFonts w:hint="eastAsia" w:ascii="仿宋" w:hAnsi="仿宋" w:eastAsia="仿宋" w:cs="仿宋"/>
          <w:sz w:val="20"/>
          <w:szCs w:val="20"/>
        </w:rPr>
        <w:t>3、如遇到采购人订单调整，供应商应在2个工作日内向采购人反馈调整的落实情况。</w:t>
      </w:r>
    </w:p>
    <w:p w14:paraId="769DB87A">
      <w:pPr>
        <w:ind w:firstLine="400" w:firstLineChars="200"/>
        <w:rPr>
          <w:rFonts w:ascii="仿宋" w:hAnsi="仿宋" w:eastAsia="仿宋" w:cs="仿宋"/>
          <w:sz w:val="20"/>
          <w:szCs w:val="20"/>
        </w:rPr>
      </w:pPr>
      <w:r>
        <w:rPr>
          <w:rFonts w:hint="eastAsia" w:ascii="仿宋" w:hAnsi="仿宋" w:eastAsia="仿宋" w:cs="仿宋"/>
          <w:sz w:val="20"/>
          <w:szCs w:val="20"/>
        </w:rPr>
        <w:t>4、采购人负责及时将更新的馆藏采访数据（ISO或XLS格式）移交供应商，供应商应在收到采购人订单后，更新订购数据库后进行订单查重，对有问题（如订数过多、大码洋或疑似订重）的订单与采购人再次核实后妥善处理。</w:t>
      </w:r>
    </w:p>
    <w:p w14:paraId="50FE31CD">
      <w:pPr>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十、包装要求</w:t>
      </w:r>
    </w:p>
    <w:p w14:paraId="2E57397D">
      <w:pPr>
        <w:ind w:firstLine="400" w:firstLineChars="200"/>
        <w:rPr>
          <w:rFonts w:ascii="仿宋" w:hAnsi="仿宋" w:eastAsia="仿宋" w:cs="仿宋"/>
          <w:sz w:val="20"/>
          <w:szCs w:val="20"/>
        </w:rPr>
      </w:pPr>
      <w:r>
        <w:rPr>
          <w:rFonts w:hint="eastAsia" w:ascii="仿宋" w:hAnsi="仿宋" w:eastAsia="仿宋" w:cs="仿宋"/>
          <w:sz w:val="20"/>
          <w:szCs w:val="20"/>
        </w:rPr>
        <w:t>1、到馆期刊应按批次有序排列。每批期刊附一式两份的汇总单（包括该批期刊的批号、箱数、册数等项目）；每包期刊附一式两份的打印装箱单及电子清单（包括该包期刊的序号、刊名、册数、卷次号等项目）。</w:t>
      </w:r>
    </w:p>
    <w:p w14:paraId="7B6C69A3">
      <w:pPr>
        <w:ind w:firstLine="400" w:firstLineChars="200"/>
        <w:rPr>
          <w:rFonts w:ascii="仿宋" w:hAnsi="仿宋" w:eastAsia="仿宋" w:cs="仿宋"/>
          <w:sz w:val="20"/>
          <w:szCs w:val="20"/>
        </w:rPr>
      </w:pPr>
      <w:r>
        <w:rPr>
          <w:rFonts w:hint="eastAsia" w:ascii="仿宋" w:hAnsi="仿宋" w:eastAsia="仿宋" w:cs="仿宋"/>
          <w:sz w:val="20"/>
          <w:szCs w:val="20"/>
        </w:rPr>
        <w:t>2、每批（包）期刊的品种、册数等必须与对应的清单相符。如果在验收过程中，同一批次期刊出现3%的期刊品种与相应清单不符，采购人有权退回该批次全部期刊，要求供应商重新核对，直至该批期刊与清单相符。同一供应商累计出现5次上述出错现象，致使采购人合同目的不能实现的，采购人有权与该供应商解除合同。因此产生的一切经济损失由供应商自己承担。</w:t>
      </w:r>
    </w:p>
    <w:p w14:paraId="4D0EFDFC">
      <w:pPr>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十一、加工服务要求</w:t>
      </w:r>
    </w:p>
    <w:p w14:paraId="6C181293">
      <w:pPr>
        <w:ind w:firstLine="400" w:firstLineChars="200"/>
        <w:rPr>
          <w:rFonts w:ascii="仿宋" w:hAnsi="仿宋" w:eastAsia="仿宋" w:cs="仿宋"/>
          <w:sz w:val="20"/>
          <w:szCs w:val="20"/>
        </w:rPr>
      </w:pPr>
      <w:r>
        <w:rPr>
          <w:rFonts w:hint="eastAsia" w:ascii="仿宋" w:hAnsi="仿宋" w:eastAsia="仿宋" w:cs="仿宋"/>
          <w:sz w:val="20"/>
          <w:szCs w:val="20"/>
        </w:rPr>
        <w:t>1、供应商需按采购人要求免费提供所订中文期刊及随刊附件的加工服务及材料（型号/颜色/尺寸/质量须符合采购人要求），包括：粘贴空白书标、磁条（钴基永久磁条）。此项工作要求期刊到馆之前完成。期刊到馆数据加工完成后按采购人要求安排运送到指定馆区。</w:t>
      </w:r>
    </w:p>
    <w:p w14:paraId="29B8047C">
      <w:pPr>
        <w:ind w:firstLine="400" w:firstLineChars="200"/>
        <w:rPr>
          <w:rFonts w:ascii="仿宋" w:hAnsi="仿宋" w:eastAsia="仿宋" w:cs="仿宋"/>
          <w:sz w:val="20"/>
          <w:szCs w:val="20"/>
        </w:rPr>
      </w:pPr>
      <w:r>
        <w:rPr>
          <w:rFonts w:hint="eastAsia" w:ascii="仿宋" w:hAnsi="仿宋" w:eastAsia="仿宋" w:cs="仿宋"/>
          <w:sz w:val="20"/>
          <w:szCs w:val="20"/>
        </w:rPr>
        <w:t>2、供应商需按采购人要求免费提供所订国内版中文期刊的过刊合订本加工服务及材料（型号/颜色/尺寸/质量须符合采购人要求），包括：合订期刊粘贴馆藏条形码、盖馆藏章、添加复本的数据加工工作等。按采购人要求到馆完成本项加工工作。</w:t>
      </w:r>
    </w:p>
    <w:p w14:paraId="191B20AE">
      <w:pPr>
        <w:ind w:firstLine="400" w:firstLineChars="200"/>
        <w:rPr>
          <w:rFonts w:ascii="仿宋" w:hAnsi="仿宋" w:eastAsia="仿宋" w:cs="仿宋"/>
          <w:sz w:val="20"/>
          <w:szCs w:val="20"/>
        </w:rPr>
      </w:pPr>
      <w:r>
        <w:rPr>
          <w:rFonts w:hint="eastAsia" w:ascii="仿宋" w:hAnsi="仿宋" w:eastAsia="仿宋" w:cs="仿宋"/>
          <w:sz w:val="20"/>
          <w:szCs w:val="20"/>
        </w:rPr>
        <w:t>3、供应商的期刊辅助加工及上门完成数据加工人员应相对稳定，以保证加工质量。</w:t>
      </w:r>
    </w:p>
    <w:p w14:paraId="4CEF19E6">
      <w:pPr>
        <w:pStyle w:val="5"/>
        <w:spacing w:line="360" w:lineRule="auto"/>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十二、验收方法、标准及问题处理</w:t>
      </w:r>
    </w:p>
    <w:p w14:paraId="6E19331E">
      <w:pPr>
        <w:ind w:firstLine="400" w:firstLineChars="200"/>
        <w:rPr>
          <w:rFonts w:ascii="仿宋" w:hAnsi="仿宋" w:eastAsia="仿宋" w:cs="仿宋"/>
          <w:sz w:val="20"/>
          <w:szCs w:val="20"/>
        </w:rPr>
      </w:pPr>
      <w:r>
        <w:rPr>
          <w:rFonts w:hint="eastAsia" w:ascii="仿宋" w:hAnsi="仿宋" w:eastAsia="仿宋" w:cs="仿宋"/>
          <w:sz w:val="20"/>
          <w:szCs w:val="20"/>
        </w:rPr>
        <w:t>1、质量问题的处理。出现如下任何一种情况，无论是否已作前期载体加工，供应商必须在3-5个工作日内一律无条件免费更换或补充相关附件：期刊装订或印刷质量有问题，如破损、缺页、倒装、模糊不清、掉页、开线、开胶等；期刊品种、册数与对应清单不符；期刊出现污损情况；期刊的随书附件如光盘等不齐全。</w:t>
      </w:r>
    </w:p>
    <w:p w14:paraId="0A8DAF0E">
      <w:pPr>
        <w:ind w:firstLine="400" w:firstLineChars="200"/>
        <w:rPr>
          <w:rFonts w:ascii="仿宋" w:hAnsi="仿宋" w:eastAsia="仿宋" w:cs="仿宋"/>
          <w:b/>
          <w:color w:val="000000"/>
          <w:sz w:val="20"/>
          <w:szCs w:val="20"/>
        </w:rPr>
      </w:pPr>
      <w:r>
        <w:rPr>
          <w:rFonts w:hint="eastAsia" w:ascii="仿宋" w:hAnsi="仿宋" w:eastAsia="仿宋" w:cs="仿宋"/>
          <w:sz w:val="20"/>
          <w:szCs w:val="20"/>
        </w:rPr>
        <w:t>2、退货。期刊到馆后，因各种原因不适合图书馆收藏的，无论是否已作前期载体加工，供应商应无条件退换；采购人采购期刊一般情况下不重复，如果到馆期刊出现非采购人计划购置的复本或品种，供应商应全部无条件退货。因供应商提供的期刊信息不明确或错误而导致的采购人误订的期刊，期刊到货后，采购人可以退货，供应商不得拒绝。</w:t>
      </w:r>
    </w:p>
    <w:p w14:paraId="77D29F45">
      <w:pPr>
        <w:ind w:firstLine="201" w:firstLineChars="100"/>
        <w:rPr>
          <w:rFonts w:ascii="仿宋" w:hAnsi="仿宋" w:eastAsia="仿宋" w:cs="仿宋"/>
          <w:b/>
          <w:color w:val="000000"/>
          <w:sz w:val="20"/>
          <w:szCs w:val="20"/>
        </w:rPr>
      </w:pPr>
      <w:r>
        <w:rPr>
          <w:rFonts w:hint="eastAsia" w:ascii="仿宋" w:hAnsi="仿宋" w:eastAsia="仿宋" w:cs="仿宋"/>
          <w:b/>
          <w:color w:val="000000"/>
          <w:sz w:val="20"/>
          <w:szCs w:val="20"/>
        </w:rPr>
        <w:t>十三、违约责任</w:t>
      </w:r>
    </w:p>
    <w:p w14:paraId="2AC4E83C">
      <w:pPr>
        <w:tabs>
          <w:tab w:val="left" w:pos="1423"/>
        </w:tabs>
        <w:ind w:firstLine="600" w:firstLineChars="300"/>
        <w:rPr>
          <w:rFonts w:ascii="仿宋" w:hAnsi="仿宋" w:eastAsia="仿宋" w:cs="仿宋"/>
          <w:color w:val="000000"/>
          <w:sz w:val="20"/>
          <w:szCs w:val="20"/>
        </w:rPr>
      </w:pPr>
      <w:r>
        <w:rPr>
          <w:rFonts w:hint="eastAsia" w:ascii="仿宋" w:hAnsi="仿宋" w:eastAsia="仿宋" w:cs="仿宋"/>
          <w:color w:val="000000"/>
          <w:sz w:val="20"/>
          <w:szCs w:val="20"/>
        </w:rPr>
        <w:t>卖方提供任何盗版及非法出版物的，一经确认，买方有权终止该卖方本年度采购合同，卖方需承担相应的法律责任并支付买方购买该种图书总码洋10倍的违约金。同时买方将此一行为上报陕西省财政部门，由省财政部门对该供应商依法处理。</w:t>
      </w:r>
    </w:p>
    <w:p w14:paraId="31E77F25">
      <w:pPr>
        <w:adjustRightInd w:val="0"/>
        <w:snapToGrid w:val="0"/>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十四、</w:t>
      </w:r>
      <w:r>
        <w:rPr>
          <w:rFonts w:hint="eastAsia" w:ascii="仿宋" w:hAnsi="仿宋" w:eastAsia="仿宋" w:cs="仿宋"/>
          <w:color w:val="000000"/>
          <w:sz w:val="20"/>
          <w:szCs w:val="20"/>
        </w:rPr>
        <w:t>本合同一式5份，买方、卖方各2份，代理机构1份，具同等法律效力。</w:t>
      </w:r>
    </w:p>
    <w:p w14:paraId="6D6DB4C1">
      <w:pPr>
        <w:adjustRightInd w:val="0"/>
        <w:snapToGrid w:val="0"/>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十五、</w:t>
      </w:r>
      <w:r>
        <w:rPr>
          <w:rFonts w:hint="eastAsia" w:ascii="仿宋" w:hAnsi="仿宋" w:eastAsia="仿宋" w:cs="仿宋"/>
          <w:color w:val="000000"/>
          <w:sz w:val="20"/>
          <w:szCs w:val="20"/>
        </w:rPr>
        <w:t>本合同在履行过程中如发生争议，协商解决，协商不成双方同意提交买方住所地有管辖权的人民法院提请诉讼。</w:t>
      </w:r>
    </w:p>
    <w:p w14:paraId="55227F8B">
      <w:pPr>
        <w:adjustRightInd w:val="0"/>
        <w:snapToGrid w:val="0"/>
        <w:ind w:firstLine="201" w:firstLineChars="100"/>
        <w:rPr>
          <w:rFonts w:ascii="仿宋" w:hAnsi="仿宋" w:eastAsia="仿宋" w:cs="仿宋"/>
          <w:color w:val="000000"/>
          <w:sz w:val="20"/>
          <w:szCs w:val="20"/>
        </w:rPr>
      </w:pPr>
      <w:r>
        <w:rPr>
          <w:rFonts w:hint="eastAsia" w:ascii="仿宋" w:hAnsi="仿宋" w:eastAsia="仿宋" w:cs="仿宋"/>
          <w:b/>
          <w:color w:val="000000"/>
          <w:sz w:val="20"/>
          <w:szCs w:val="20"/>
        </w:rPr>
        <w:t>十六、</w:t>
      </w:r>
      <w:r>
        <w:rPr>
          <w:rFonts w:hint="eastAsia" w:ascii="仿宋" w:hAnsi="仿宋" w:eastAsia="仿宋" w:cs="仿宋"/>
          <w:color w:val="000000"/>
          <w:sz w:val="20"/>
          <w:szCs w:val="20"/>
        </w:rPr>
        <w:t>买方按下列信息通过短信、微信、电话、邮寄、电子邮件等方式与卖方联系，向卖方送达相关通知：</w:t>
      </w:r>
    </w:p>
    <w:p w14:paraId="3926CACE">
      <w:pPr>
        <w:adjustRightInd w:val="0"/>
        <w:snapToGrid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联系地址：</w:t>
      </w:r>
    </w:p>
    <w:p w14:paraId="5750154C">
      <w:pPr>
        <w:adjustRightInd w:val="0"/>
        <w:snapToGrid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联系人：</w:t>
      </w:r>
    </w:p>
    <w:p w14:paraId="1CA2004D">
      <w:pPr>
        <w:adjustRightInd w:val="0"/>
        <w:snapToGrid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联系电话：</w:t>
      </w:r>
    </w:p>
    <w:p w14:paraId="1E8B902B">
      <w:pPr>
        <w:adjustRightInd w:val="0"/>
        <w:snapToGrid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电子邮箱：</w:t>
      </w:r>
    </w:p>
    <w:p w14:paraId="73DD44A2">
      <w:pPr>
        <w:adjustRightInd w:val="0"/>
        <w:snapToGrid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卖方上述信息如有变更，应在变更后2日内书面通知买方，若未及时通知，按原联系方式通知视为有效送达，包括但不限于送达解除通知、联系单及人民法院送达起诉状、应诉通知书、举证责任通知书、开庭传票、判决书等法律文书。</w:t>
      </w:r>
    </w:p>
    <w:p w14:paraId="1A7942C7">
      <w:pPr>
        <w:adjustRightInd w:val="0"/>
        <w:snapToGrid w:val="0"/>
        <w:rPr>
          <w:rFonts w:ascii="仿宋" w:hAnsi="仿宋" w:eastAsia="仿宋" w:cs="仿宋"/>
          <w:color w:val="000000"/>
          <w:kern w:val="0"/>
          <w:sz w:val="20"/>
          <w:szCs w:val="20"/>
        </w:rPr>
      </w:pPr>
      <w:r>
        <w:rPr>
          <w:rFonts w:hint="eastAsia" w:ascii="仿宋" w:hAnsi="仿宋" w:eastAsia="仿宋" w:cs="仿宋"/>
          <w:b/>
          <w:color w:val="000000"/>
          <w:kern w:val="0"/>
          <w:sz w:val="20"/>
          <w:szCs w:val="20"/>
        </w:rPr>
        <w:t>十七、</w:t>
      </w:r>
      <w:r>
        <w:rPr>
          <w:rFonts w:hint="eastAsia" w:ascii="仿宋" w:hAnsi="仿宋" w:eastAsia="仿宋" w:cs="仿宋"/>
          <w:color w:val="000000"/>
          <w:kern w:val="0"/>
          <w:sz w:val="20"/>
          <w:szCs w:val="20"/>
        </w:rPr>
        <w:t>本合同由买卖双方共同签字盖章，自最后一方签字盖章之日起生效。</w:t>
      </w:r>
    </w:p>
    <w:p w14:paraId="73653E7C">
      <w:pPr>
        <w:adjustRightInd w:val="0"/>
        <w:snapToGrid w:val="0"/>
        <w:ind w:firstLine="400" w:firstLineChars="200"/>
        <w:rPr>
          <w:rFonts w:ascii="仿宋" w:hAnsi="仿宋" w:eastAsia="仿宋" w:cs="仿宋"/>
          <w:color w:val="000000"/>
          <w:sz w:val="20"/>
          <w:szCs w:val="20"/>
        </w:rPr>
      </w:pPr>
    </w:p>
    <w:p w14:paraId="7505BA4D">
      <w:pPr>
        <w:adjustRightInd w:val="0"/>
        <w:snapToGrid w:val="0"/>
        <w:rPr>
          <w:rFonts w:ascii="仿宋" w:hAnsi="仿宋" w:eastAsia="仿宋" w:cs="仿宋"/>
          <w:color w:val="000000"/>
          <w:kern w:val="0"/>
          <w:sz w:val="20"/>
          <w:szCs w:val="20"/>
        </w:rPr>
      </w:pPr>
    </w:p>
    <w:tbl>
      <w:tblPr>
        <w:tblStyle w:val="9"/>
        <w:tblpPr w:leftFromText="180" w:rightFromText="180" w:vertAnchor="text" w:horzAnchor="margin" w:tblpXSpec="center" w:tblpY="58"/>
        <w:tblOverlap w:val="never"/>
        <w:tblW w:w="5000" w:type="pct"/>
        <w:tblInd w:w="0" w:type="dxa"/>
        <w:tblLayout w:type="autofit"/>
        <w:tblCellMar>
          <w:top w:w="0" w:type="dxa"/>
          <w:left w:w="108" w:type="dxa"/>
          <w:bottom w:w="0" w:type="dxa"/>
          <w:right w:w="108" w:type="dxa"/>
        </w:tblCellMar>
      </w:tblPr>
      <w:tblGrid>
        <w:gridCol w:w="4920"/>
        <w:gridCol w:w="4377"/>
      </w:tblGrid>
      <w:tr w14:paraId="13FFF1BF">
        <w:tblPrEx>
          <w:tblCellMar>
            <w:top w:w="0" w:type="dxa"/>
            <w:left w:w="108" w:type="dxa"/>
            <w:bottom w:w="0" w:type="dxa"/>
            <w:right w:w="108" w:type="dxa"/>
          </w:tblCellMar>
        </w:tblPrEx>
        <w:trPr>
          <w:trHeight w:val="3093" w:hRule="atLeast"/>
        </w:trPr>
        <w:tc>
          <w:tcPr>
            <w:tcW w:w="2646" w:type="pct"/>
            <w:tcMar>
              <w:top w:w="113" w:type="dxa"/>
              <w:left w:w="113" w:type="dxa"/>
              <w:bottom w:w="113" w:type="dxa"/>
              <w:right w:w="113" w:type="dxa"/>
            </w:tcMar>
          </w:tcPr>
          <w:p w14:paraId="548B2FDC">
            <w:pPr>
              <w:autoSpaceDE w:val="0"/>
              <w:autoSpaceDN w:val="0"/>
              <w:ind w:left="240" w:leftChars="100"/>
              <w:rPr>
                <w:rFonts w:ascii="仿宋" w:hAnsi="仿宋" w:eastAsia="仿宋" w:cs="仿宋"/>
                <w:color w:val="000000"/>
                <w:sz w:val="20"/>
                <w:szCs w:val="20"/>
              </w:rPr>
            </w:pPr>
          </w:p>
          <w:p w14:paraId="7AB7E0DD">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买方名称：</w:t>
            </w:r>
          </w:p>
          <w:p w14:paraId="7B3A653C">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 xml:space="preserve">地    址： </w:t>
            </w:r>
          </w:p>
          <w:p w14:paraId="0A4A9ED1">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邮    编：</w:t>
            </w:r>
          </w:p>
          <w:p w14:paraId="6BBB80AE">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电    话：</w:t>
            </w:r>
          </w:p>
          <w:p w14:paraId="13447B5D">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传    真：</w:t>
            </w:r>
          </w:p>
          <w:p w14:paraId="453D64D8">
            <w:pPr>
              <w:autoSpaceDE w:val="0"/>
              <w:autoSpaceDN w:val="0"/>
              <w:ind w:left="240" w:leftChars="100"/>
              <w:rPr>
                <w:rFonts w:ascii="仿宋" w:hAnsi="仿宋" w:eastAsia="仿宋" w:cs="仿宋"/>
                <w:color w:val="000000"/>
                <w:sz w:val="20"/>
                <w:szCs w:val="20"/>
              </w:rPr>
            </w:pPr>
          </w:p>
          <w:p w14:paraId="5F5285F0">
            <w:pPr>
              <w:autoSpaceDE w:val="0"/>
              <w:autoSpaceDN w:val="0"/>
              <w:ind w:left="240" w:leftChars="100"/>
              <w:rPr>
                <w:rFonts w:ascii="仿宋" w:hAnsi="仿宋" w:eastAsia="仿宋" w:cs="仿宋"/>
                <w:color w:val="000000"/>
                <w:sz w:val="20"/>
                <w:szCs w:val="20"/>
              </w:rPr>
            </w:pPr>
          </w:p>
          <w:p w14:paraId="7BE92F5C">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代表签字：</w:t>
            </w:r>
          </w:p>
          <w:p w14:paraId="3BCAE132">
            <w:pPr>
              <w:ind w:left="240" w:leftChars="100"/>
              <w:rPr>
                <w:rFonts w:ascii="仿宋" w:hAnsi="仿宋" w:eastAsia="仿宋" w:cs="仿宋"/>
                <w:color w:val="000000"/>
                <w:sz w:val="20"/>
                <w:szCs w:val="20"/>
              </w:rPr>
            </w:pPr>
            <w:r>
              <w:rPr>
                <w:rFonts w:hint="eastAsia" w:ascii="仿宋" w:hAnsi="仿宋" w:eastAsia="仿宋" w:cs="仿宋"/>
                <w:color w:val="000000"/>
                <w:sz w:val="20"/>
                <w:szCs w:val="20"/>
              </w:rPr>
              <w:t>盖章：</w:t>
            </w:r>
          </w:p>
          <w:p w14:paraId="712E0FE8">
            <w:pPr>
              <w:autoSpaceDE w:val="0"/>
              <w:autoSpaceDN w:val="0"/>
              <w:rPr>
                <w:rFonts w:ascii="仿宋" w:hAnsi="仿宋" w:eastAsia="仿宋" w:cs="仿宋"/>
                <w:color w:val="000000"/>
                <w:sz w:val="20"/>
                <w:szCs w:val="20"/>
              </w:rPr>
            </w:pPr>
            <w:r>
              <w:rPr>
                <w:rFonts w:hint="eastAsia" w:ascii="仿宋" w:hAnsi="仿宋" w:eastAsia="仿宋" w:cs="仿宋"/>
                <w:color w:val="000000"/>
                <w:sz w:val="20"/>
                <w:szCs w:val="20"/>
              </w:rPr>
              <w:t xml:space="preserve">  年  月  日    </w:t>
            </w:r>
          </w:p>
        </w:tc>
        <w:tc>
          <w:tcPr>
            <w:tcW w:w="2354" w:type="pct"/>
            <w:tcMar>
              <w:top w:w="113" w:type="dxa"/>
              <w:left w:w="113" w:type="dxa"/>
              <w:bottom w:w="113" w:type="dxa"/>
              <w:right w:w="113" w:type="dxa"/>
            </w:tcMar>
          </w:tcPr>
          <w:p w14:paraId="0F2521D5">
            <w:pPr>
              <w:autoSpaceDE w:val="0"/>
              <w:autoSpaceDN w:val="0"/>
              <w:ind w:left="240" w:leftChars="100"/>
              <w:rPr>
                <w:rFonts w:ascii="仿宋" w:hAnsi="仿宋" w:eastAsia="仿宋" w:cs="仿宋"/>
                <w:color w:val="000000"/>
                <w:sz w:val="20"/>
                <w:szCs w:val="20"/>
              </w:rPr>
            </w:pPr>
          </w:p>
          <w:p w14:paraId="1E8FA73F">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卖方名称：</w:t>
            </w:r>
          </w:p>
          <w:p w14:paraId="080FDE94">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 xml:space="preserve">地    址： </w:t>
            </w:r>
          </w:p>
          <w:p w14:paraId="63DA7A34">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 xml:space="preserve">邮    编： </w:t>
            </w:r>
          </w:p>
          <w:p w14:paraId="4F8EFDB3">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 xml:space="preserve">电    话： </w:t>
            </w:r>
          </w:p>
          <w:p w14:paraId="3BA78994">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 xml:space="preserve">传    真：  </w:t>
            </w:r>
          </w:p>
          <w:p w14:paraId="2555CC88">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开户银行：</w:t>
            </w:r>
          </w:p>
          <w:p w14:paraId="6794481C">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帐    号：</w:t>
            </w:r>
          </w:p>
          <w:p w14:paraId="3E9F37AF">
            <w:pPr>
              <w:autoSpaceDE w:val="0"/>
              <w:autoSpaceDN w:val="0"/>
              <w:ind w:left="240" w:leftChars="100"/>
              <w:rPr>
                <w:rFonts w:ascii="仿宋" w:hAnsi="仿宋" w:eastAsia="仿宋" w:cs="仿宋"/>
                <w:color w:val="000000"/>
                <w:sz w:val="20"/>
                <w:szCs w:val="20"/>
              </w:rPr>
            </w:pPr>
            <w:r>
              <w:rPr>
                <w:rFonts w:hint="eastAsia" w:ascii="仿宋" w:hAnsi="仿宋" w:eastAsia="仿宋" w:cs="仿宋"/>
                <w:color w:val="000000"/>
                <w:sz w:val="20"/>
                <w:szCs w:val="20"/>
              </w:rPr>
              <w:t>代表签字</w:t>
            </w:r>
          </w:p>
          <w:p w14:paraId="7D28026C">
            <w:pPr>
              <w:ind w:left="240" w:leftChars="100"/>
              <w:rPr>
                <w:rFonts w:ascii="仿宋" w:hAnsi="仿宋" w:eastAsia="仿宋" w:cs="仿宋"/>
                <w:color w:val="000000"/>
                <w:sz w:val="20"/>
                <w:szCs w:val="20"/>
              </w:rPr>
            </w:pPr>
            <w:r>
              <w:rPr>
                <w:rFonts w:hint="eastAsia" w:ascii="仿宋" w:hAnsi="仿宋" w:eastAsia="仿宋" w:cs="仿宋"/>
                <w:color w:val="000000"/>
                <w:sz w:val="20"/>
                <w:szCs w:val="20"/>
              </w:rPr>
              <w:t>盖章：</w:t>
            </w:r>
          </w:p>
          <w:p w14:paraId="02F1DEE0">
            <w:pPr>
              <w:ind w:left="240" w:leftChars="100"/>
              <w:rPr>
                <w:rFonts w:ascii="仿宋" w:hAnsi="仿宋" w:eastAsia="仿宋" w:cs="仿宋"/>
                <w:color w:val="000000"/>
                <w:sz w:val="20"/>
                <w:szCs w:val="20"/>
              </w:rPr>
            </w:pPr>
            <w:r>
              <w:rPr>
                <w:rFonts w:hint="eastAsia" w:ascii="仿宋" w:hAnsi="仿宋" w:eastAsia="仿宋" w:cs="仿宋"/>
                <w:color w:val="000000"/>
                <w:sz w:val="20"/>
                <w:szCs w:val="20"/>
              </w:rPr>
              <w:t>年  月  日</w:t>
            </w:r>
          </w:p>
        </w:tc>
      </w:tr>
    </w:tbl>
    <w:p w14:paraId="59DDA6D2">
      <w:bookmarkStart w:id="0" w:name="_GoBack"/>
      <w:bookmarkEnd w:id="0"/>
    </w:p>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53F6B"/>
    <w:rsid w:val="000B1066"/>
    <w:rsid w:val="00190D4E"/>
    <w:rsid w:val="00201539"/>
    <w:rsid w:val="002100B2"/>
    <w:rsid w:val="00274436"/>
    <w:rsid w:val="002D0D94"/>
    <w:rsid w:val="00301739"/>
    <w:rsid w:val="0032485A"/>
    <w:rsid w:val="003420F1"/>
    <w:rsid w:val="00346AAC"/>
    <w:rsid w:val="0048239D"/>
    <w:rsid w:val="004C154C"/>
    <w:rsid w:val="004F304F"/>
    <w:rsid w:val="005230AD"/>
    <w:rsid w:val="00553CFA"/>
    <w:rsid w:val="0055419F"/>
    <w:rsid w:val="00597BA3"/>
    <w:rsid w:val="005A611A"/>
    <w:rsid w:val="005E12E5"/>
    <w:rsid w:val="00620C3D"/>
    <w:rsid w:val="00661C18"/>
    <w:rsid w:val="00682E67"/>
    <w:rsid w:val="006F6995"/>
    <w:rsid w:val="00720785"/>
    <w:rsid w:val="007254AD"/>
    <w:rsid w:val="007676C6"/>
    <w:rsid w:val="0085767F"/>
    <w:rsid w:val="00886211"/>
    <w:rsid w:val="00902A97"/>
    <w:rsid w:val="00903067"/>
    <w:rsid w:val="00907A6F"/>
    <w:rsid w:val="009E6559"/>
    <w:rsid w:val="00A606A3"/>
    <w:rsid w:val="00A90D88"/>
    <w:rsid w:val="00AA08A6"/>
    <w:rsid w:val="00AA1629"/>
    <w:rsid w:val="00AE78E2"/>
    <w:rsid w:val="00B87159"/>
    <w:rsid w:val="00BB378E"/>
    <w:rsid w:val="00C0240D"/>
    <w:rsid w:val="00C35C96"/>
    <w:rsid w:val="00C80A68"/>
    <w:rsid w:val="00D26D91"/>
    <w:rsid w:val="00DB6FAA"/>
    <w:rsid w:val="00DC659B"/>
    <w:rsid w:val="00E4110D"/>
    <w:rsid w:val="00E812FC"/>
    <w:rsid w:val="00E869B9"/>
    <w:rsid w:val="00EA43E5"/>
    <w:rsid w:val="00F457DB"/>
    <w:rsid w:val="00F66F2B"/>
    <w:rsid w:val="00FC18BC"/>
    <w:rsid w:val="00FC75AE"/>
    <w:rsid w:val="0F6A03FC"/>
    <w:rsid w:val="77F07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3">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ocument Map"/>
    <w:basedOn w:val="1"/>
    <w:link w:val="15"/>
    <w:semiHidden/>
    <w:unhideWhenUsed/>
    <w:qFormat/>
    <w:uiPriority w:val="99"/>
    <w:rPr>
      <w:rFonts w:ascii="微软雅黑" w:eastAsia="微软雅黑"/>
      <w:sz w:val="18"/>
      <w:szCs w:val="18"/>
    </w:rPr>
  </w:style>
  <w:style w:type="paragraph" w:styleId="5">
    <w:name w:val="Body Text"/>
    <w:basedOn w:val="1"/>
    <w:link w:val="22"/>
    <w:qFormat/>
    <w:uiPriority w:val="0"/>
    <w:pPr>
      <w:tabs>
        <w:tab w:val="left" w:pos="567"/>
      </w:tabs>
      <w:spacing w:before="120" w:line="22" w:lineRule="atLeast"/>
    </w:pPr>
    <w:rPr>
      <w:rFonts w:ascii="宋体" w:hAnsi="宋体"/>
    </w:rPr>
  </w:style>
  <w:style w:type="paragraph" w:styleId="6">
    <w:name w:val="footer"/>
    <w:basedOn w:val="1"/>
    <w:link w:val="13"/>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Body Text First Indent"/>
    <w:basedOn w:val="5"/>
    <w:link w:val="23"/>
    <w:unhideWhenUsed/>
    <w:qFormat/>
    <w:uiPriority w:val="99"/>
    <w:pPr>
      <w:tabs>
        <w:tab w:val="clear" w:pos="567"/>
      </w:tabs>
      <w:spacing w:before="0" w:after="120" w:line="240" w:lineRule="auto"/>
      <w:ind w:firstLine="420" w:firstLineChars="100"/>
    </w:pPr>
    <w:rPr>
      <w:rFonts w:ascii="Calibri" w:hAnsi="Calibri"/>
      <w:sz w:val="21"/>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sz w:val="18"/>
      <w:szCs w:val="18"/>
    </w:rPr>
  </w:style>
  <w:style w:type="character" w:customStyle="1" w:styleId="13">
    <w:name w:val="页脚 字符"/>
    <w:basedOn w:val="11"/>
    <w:link w:val="6"/>
    <w:qFormat/>
    <w:uiPriority w:val="99"/>
    <w:rPr>
      <w:sz w:val="18"/>
      <w:szCs w:val="18"/>
    </w:rPr>
  </w:style>
  <w:style w:type="character" w:customStyle="1" w:styleId="14">
    <w:name w:val="标题 4 字符"/>
    <w:basedOn w:val="11"/>
    <w:link w:val="3"/>
    <w:semiHidden/>
    <w:qFormat/>
    <w:uiPriority w:val="9"/>
    <w:rPr>
      <w:rFonts w:asciiTheme="majorHAnsi" w:hAnsiTheme="majorHAnsi" w:eastAsiaTheme="majorEastAsia" w:cstheme="majorBidi"/>
      <w:b/>
      <w:bCs/>
      <w:sz w:val="28"/>
      <w:szCs w:val="28"/>
    </w:rPr>
  </w:style>
  <w:style w:type="character" w:customStyle="1" w:styleId="15">
    <w:name w:val="文档结构图 字符"/>
    <w:basedOn w:val="11"/>
    <w:link w:val="4"/>
    <w:semiHidden/>
    <w:qFormat/>
    <w:uiPriority w:val="99"/>
    <w:rPr>
      <w:rFonts w:ascii="微软雅黑" w:hAnsi="Times New Roman" w:eastAsia="微软雅黑" w:cs="Times New Roman"/>
      <w:sz w:val="18"/>
      <w:szCs w:val="18"/>
    </w:rPr>
  </w:style>
  <w:style w:type="character" w:customStyle="1" w:styleId="16">
    <w:name w:val="UH正文 Char"/>
    <w:link w:val="17"/>
    <w:qFormat/>
    <w:locked/>
    <w:uiPriority w:val="0"/>
    <w:rPr>
      <w:rFonts w:ascii="Arial" w:hAnsi="Arial" w:eastAsia="Times New Roman"/>
      <w:sz w:val="24"/>
    </w:rPr>
  </w:style>
  <w:style w:type="paragraph" w:customStyle="1" w:styleId="17">
    <w:name w:val="UH正文"/>
    <w:link w:val="16"/>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8">
    <w:name w:val="NormalCharacter"/>
    <w:semiHidden/>
    <w:qFormat/>
    <w:uiPriority w:val="0"/>
  </w:style>
  <w:style w:type="character" w:customStyle="1" w:styleId="19">
    <w:name w:val="标题 1 Char"/>
    <w:basedOn w:val="11"/>
    <w:qFormat/>
    <w:uiPriority w:val="9"/>
    <w:rPr>
      <w:rFonts w:ascii="Times New Roman" w:hAnsi="Times New Roman" w:eastAsia="宋体" w:cs="Times New Roman"/>
      <w:b/>
      <w:bCs/>
      <w:kern w:val="44"/>
      <w:sz w:val="44"/>
      <w:szCs w:val="44"/>
    </w:rPr>
  </w:style>
  <w:style w:type="character" w:customStyle="1" w:styleId="20">
    <w:name w:val="标题 1 字符"/>
    <w:link w:val="2"/>
    <w:qFormat/>
    <w:uiPriority w:val="0"/>
    <w:rPr>
      <w:rFonts w:ascii="宋体" w:hAnsi="宋体" w:eastAsia="宋体" w:cs="Times New Roman"/>
      <w:b/>
      <w:bCs/>
      <w:kern w:val="44"/>
      <w:sz w:val="32"/>
      <w:szCs w:val="20"/>
    </w:rPr>
  </w:style>
  <w:style w:type="character" w:customStyle="1" w:styleId="21">
    <w:name w:val="正文文本 Char"/>
    <w:basedOn w:val="11"/>
    <w:semiHidden/>
    <w:qFormat/>
    <w:uiPriority w:val="99"/>
    <w:rPr>
      <w:rFonts w:ascii="Times New Roman" w:hAnsi="Times New Roman" w:eastAsia="宋体" w:cs="Times New Roman"/>
      <w:sz w:val="24"/>
      <w:szCs w:val="24"/>
    </w:rPr>
  </w:style>
  <w:style w:type="character" w:customStyle="1" w:styleId="22">
    <w:name w:val="正文文本 字符"/>
    <w:link w:val="5"/>
    <w:qFormat/>
    <w:uiPriority w:val="0"/>
    <w:rPr>
      <w:rFonts w:ascii="宋体" w:hAnsi="宋体" w:eastAsia="宋体" w:cs="Times New Roman"/>
      <w:sz w:val="24"/>
      <w:szCs w:val="24"/>
    </w:rPr>
  </w:style>
  <w:style w:type="character" w:customStyle="1" w:styleId="23">
    <w:name w:val="正文首行缩进 字符"/>
    <w:basedOn w:val="21"/>
    <w:link w:val="8"/>
    <w:qFormat/>
    <w:uiPriority w:val="99"/>
    <w:rPr>
      <w:rFonts w:ascii="Calibri" w:hAnsi="Calibri" w:eastAsia="宋体" w:cs="Times New Roman"/>
      <w:sz w:val="24"/>
      <w:szCs w:val="24"/>
    </w:rPr>
  </w:style>
  <w:style w:type="paragraph" w:styleId="24">
    <w:name w:val="List Paragraph"/>
    <w:basedOn w:val="1"/>
    <w:qFormat/>
    <w:uiPriority w:val="99"/>
    <w:pPr>
      <w:spacing w:line="240" w:lineRule="auto"/>
      <w:ind w:firstLine="420" w:firstLineChars="200"/>
    </w:pPr>
    <w:rPr>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5935</Words>
  <Characters>6048</Characters>
  <Lines>43</Lines>
  <Paragraphs>12</Paragraphs>
  <TotalTime>0</TotalTime>
  <ScaleCrop>false</ScaleCrop>
  <LinksUpToDate>false</LinksUpToDate>
  <CharactersWithSpaces>6156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Administrator</cp:lastModifiedBy>
  <dcterms:modified xsi:type="dcterms:W3CDTF">2026-05-13T03:11:26Z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2052-12.1.0.25865</vt:lpwstr>
  </property>
  <property fmtid="{D5CDD505-2E9C-101B-9397-08002B2CF9AE}" pid="4" name="ICV">
    <vt:lpwstr>6833547D3304496FAB24A39C6E5E6FB8_12</vt:lpwstr>
  </property>
</Properties>
</file>