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版本号：ZCSP-合阳县-2026-0007320260529001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合阳县水网建设规划修编项目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ZCSP-合阳县-2026-00073</w:t>
      </w:r>
      <w:r>
        <w:br/>
      </w:r>
      <w:r>
        <w:br/>
      </w:r>
      <w:r>
        <w:br/>
      </w:r>
    </w:p>
    <w:p>
      <w:pPr>
        <w:pStyle w:val="null3"/>
        <w:jc w:val="center"/>
        <w:outlineLvl w:val="2"/>
      </w:pPr>
      <w:r>
        <w:rPr>
          <w:rFonts w:ascii="仿宋_GB2312" w:hAnsi="仿宋_GB2312" w:cs="仿宋_GB2312" w:eastAsia="仿宋_GB2312"/>
          <w:sz w:val="28"/>
          <w:b/>
        </w:rPr>
        <w:t>合阳县水务局</w:t>
      </w:r>
    </w:p>
    <w:p>
      <w:pPr>
        <w:pStyle w:val="null3"/>
        <w:jc w:val="center"/>
        <w:outlineLvl w:val="2"/>
      </w:pPr>
      <w:r>
        <w:rPr>
          <w:rFonts w:ascii="仿宋_GB2312" w:hAnsi="仿宋_GB2312" w:cs="仿宋_GB2312" w:eastAsia="仿宋_GB2312"/>
          <w:sz w:val="28"/>
          <w:b/>
        </w:rPr>
        <w:t>陕西嘉信至诚项目管理有限公司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陕西嘉信至诚项目管理有限公司</w:t>
      </w:r>
      <w:r>
        <w:rPr>
          <w:rFonts w:ascii="仿宋_GB2312" w:hAnsi="仿宋_GB2312" w:cs="仿宋_GB2312" w:eastAsia="仿宋_GB2312"/>
        </w:rPr>
        <w:t>（以下简称“代理机构”）受</w:t>
      </w:r>
      <w:r>
        <w:rPr>
          <w:rFonts w:ascii="仿宋_GB2312" w:hAnsi="仿宋_GB2312" w:cs="仿宋_GB2312" w:eastAsia="仿宋_GB2312"/>
        </w:rPr>
        <w:t>合阳县水务局</w:t>
      </w:r>
      <w:r>
        <w:rPr>
          <w:rFonts w:ascii="仿宋_GB2312" w:hAnsi="仿宋_GB2312" w:cs="仿宋_GB2312" w:eastAsia="仿宋_GB2312"/>
        </w:rPr>
        <w:t>委托，拟对</w:t>
      </w:r>
      <w:r>
        <w:rPr>
          <w:rFonts w:ascii="仿宋_GB2312" w:hAnsi="仿宋_GB2312" w:cs="仿宋_GB2312" w:eastAsia="仿宋_GB2312"/>
        </w:rPr>
        <w:t>合阳县水网建设规划修编项目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ZCSP-合阳县-2026-00073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合阳县水网建设规划修编项目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编制合阳县水网建设规划修编，统筹县域防洪减灾、水资源配置、城乡供水、灌溉排水、水生态保护、智慧水体一体化布局、构建“纲、目、结”县级水网体系，形成规划文本、图件、项目库、投资估算等成果文件，通过专家评审并获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采购包1（合阳县水网建设规划修编项目）：属于专门面向中小企业采购。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1、企业资质：供应商须具备工程设计水利行业乙级及以上资质；</w:t>
      </w:r>
    </w:p>
    <w:p>
      <w:pPr>
        <w:pStyle w:val="null3"/>
      </w:pPr>
      <w:r>
        <w:rPr>
          <w:rFonts w:ascii="仿宋_GB2312" w:hAnsi="仿宋_GB2312" w:cs="仿宋_GB2312" w:eastAsia="仿宋_GB2312"/>
        </w:rPr>
        <w:t>2、项目负责人：拟派项目负责人须具有水利相关专业高级及以上职称；</w:t>
      </w:r>
    </w:p>
    <w:p>
      <w:pPr>
        <w:pStyle w:val="null3"/>
      </w:pPr>
      <w:r>
        <w:rPr>
          <w:rFonts w:ascii="仿宋_GB2312" w:hAnsi="仿宋_GB2312" w:cs="仿宋_GB2312" w:eastAsia="仿宋_GB2312"/>
        </w:rPr>
        <w:t>3、法定代表⼈⾝份证明书、法定代表⼈授权书：法定代表⼈参与磋商时需提供法定代表⼈⾝份证明书；被授权⼈参与磋商时需提供法定代表⼈⾝份证明书及法定代表⼈授权委托书；</w:t>
      </w:r>
    </w:p>
    <w:p>
      <w:pPr>
        <w:pStyle w:val="null3"/>
      </w:pPr>
      <w:r>
        <w:rPr>
          <w:rFonts w:ascii="仿宋_GB2312" w:hAnsi="仿宋_GB2312" w:cs="仿宋_GB2312" w:eastAsia="仿宋_GB2312"/>
        </w:rPr>
        <w:t>4、磋商保证⾦交纳凭证：磋商保证⾦交纳凭证；</w:t>
      </w:r>
    </w:p>
    <w:p>
      <w:pPr>
        <w:pStyle w:val="null3"/>
      </w:pPr>
      <w:r>
        <w:rPr>
          <w:rFonts w:ascii="仿宋_GB2312" w:hAnsi="仿宋_GB2312" w:cs="仿宋_GB2312" w:eastAsia="仿宋_GB2312"/>
        </w:rPr>
        <w:t>5、信⽤信息：供应商不得为“信⽤中国”⽹站（www.creditchina.gov.cn）中列⼊失信被执⾏⼈和重⼤税收违法失信主体的供应商，不得为中国政府采购⽹（www.ccgp.gov.cn）政府采购严重违法失信⾏为记录名单中被财政部⻔禁⽌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合阳县水务局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合阳县黄河路67号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经办岗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0913-5522396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陕西嘉信至诚项目管理有限公司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陕西省渭南市临渭区解放路与双王街十字东南角商贸楼三楼东侧（槐衙曦和公馆南门斜对面）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0913-2130688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秦维纲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0913-8343423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开户名称：陕西嘉信至诚项目管理有限公司</w:t>
            </w:r>
          </w:p>
          <w:p>
            <w:pPr>
              <w:pStyle w:val="null3"/>
            </w:pPr>
            <w:r>
              <w:rPr>
                <w:rFonts w:ascii="仿宋_GB2312" w:hAnsi="仿宋_GB2312" w:cs="仿宋_GB2312" w:eastAsia="仿宋_GB2312"/>
              </w:rPr>
              <w:t>开户银行：中国银行渭南分行营业部</w:t>
            </w:r>
          </w:p>
          <w:p>
            <w:pPr>
              <w:pStyle w:val="null3"/>
            </w:pPr>
            <w:r>
              <w:rPr>
                <w:rFonts w:ascii="仿宋_GB2312" w:hAnsi="仿宋_GB2312" w:cs="仿宋_GB2312" w:eastAsia="仿宋_GB2312"/>
              </w:rPr>
              <w:t>银行账号：103714785487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招标代理服务收费管理暂行办法》（国家发改委计价格〔2002〕1980号）以及国家发改价格〔2011〕534号文件规定计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合阳县水务局</w:t>
      </w:r>
      <w:r>
        <w:rPr>
          <w:rFonts w:ascii="仿宋_GB2312" w:hAnsi="仿宋_GB2312" w:cs="仿宋_GB2312" w:eastAsia="仿宋_GB2312"/>
        </w:rPr>
        <w:t>和</w:t>
      </w:r>
      <w:r>
        <w:rPr>
          <w:rFonts w:ascii="仿宋_GB2312" w:hAnsi="仿宋_GB2312" w:cs="仿宋_GB2312" w:eastAsia="仿宋_GB2312"/>
        </w:rPr>
        <w:t>陕西嘉信至诚项目管理有限公司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合阳县水务局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陕西嘉信至诚项目管理有限公司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合阳县水务局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陕西嘉信至诚项目管理有限公司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1、质量标准：达到国家及行业验收合格标准。 2、验收标准：按磋商文件、磋商响应文件及澄清函、项目检查情况等综合指标进行验收。各项指标均应符合验收标准及要求。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联系人：李绒</w:t>
      </w:r>
    </w:p>
    <w:p>
      <w:pPr>
        <w:pStyle w:val="null3"/>
      </w:pPr>
      <w:r>
        <w:rPr>
          <w:rFonts w:ascii="仿宋_GB2312" w:hAnsi="仿宋_GB2312" w:cs="仿宋_GB2312" w:eastAsia="仿宋_GB2312"/>
        </w:rPr>
        <w:t>联系电话：0913-2130688</w:t>
      </w:r>
    </w:p>
    <w:p>
      <w:pPr>
        <w:pStyle w:val="null3"/>
      </w:pPr>
      <w:r>
        <w:rPr>
          <w:rFonts w:ascii="仿宋_GB2312" w:hAnsi="仿宋_GB2312" w:cs="仿宋_GB2312" w:eastAsia="仿宋_GB2312"/>
        </w:rPr>
        <w:t>地址：陕西省渭南市临渭区解放路与双王街十字东南角商贸楼三楼东侧（槐衙曦和公馆南门斜对面）</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编制合阳县水网建设规划修编，统筹县域防洪减灾、水资源配置、城乡供水、灌溉排水、水生态保护、智慧水体一体化布局、构建“纲、目、结”县级水网体系，形成规划文本、图件、项目库、投资估算等成果文件，通过专家评审并获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合阳县水网建设规划修编</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标的名称：合阳县水网建设规划修编</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rPr>
              <w:t>1、服务内容：</w:t>
            </w:r>
          </w:p>
          <w:p>
            <w:pPr>
              <w:pStyle w:val="null3"/>
            </w:pPr>
            <w:r>
              <w:rPr>
                <w:rFonts w:ascii="仿宋_GB2312" w:hAnsi="仿宋_GB2312" w:cs="仿宋_GB2312" w:eastAsia="仿宋_GB2312"/>
              </w:rPr>
              <w:t>（1）分析水网建设基础</w:t>
            </w:r>
          </w:p>
          <w:p>
            <w:pPr>
              <w:pStyle w:val="null3"/>
            </w:pPr>
            <w:r>
              <w:rPr>
                <w:rFonts w:ascii="仿宋_GB2312" w:hAnsi="仿宋_GB2312" w:cs="仿宋_GB2312" w:eastAsia="仿宋_GB2312"/>
              </w:rPr>
              <w:t>从自然河湖水系分布情况及特征、水资源禀赋条件及开发利用情况等方面，分析水网建设天然条件。从流域防洪排涝、城乡供水、灌溉排水、河湖生态保护治理等方面，分析水利基础设施建设现状，摸清河湖水系连通和人工水利基础设施融合发展情况。从信息化基础设施、数字孪生平台、业务应用系统建设等方面，分析水网智慧化建设基础。从水利投融资机制、水网工程建设运行管理体制机制、水网调度运行机制等方面，分析水网体制机制建设情况。</w:t>
            </w:r>
          </w:p>
          <w:p>
            <w:pPr>
              <w:pStyle w:val="null3"/>
            </w:pPr>
            <w:r>
              <w:rPr>
                <w:rFonts w:ascii="仿宋_GB2312" w:hAnsi="仿宋_GB2312" w:cs="仿宋_GB2312" w:eastAsia="仿宋_GB2312"/>
              </w:rPr>
              <w:t>（2）确定水网建设总体思路和布局</w:t>
            </w:r>
          </w:p>
          <w:p>
            <w:pPr>
              <w:pStyle w:val="null3"/>
            </w:pPr>
            <w:r>
              <w:rPr>
                <w:rFonts w:ascii="仿宋_GB2312" w:hAnsi="仿宋_GB2312" w:cs="仿宋_GB2312" w:eastAsia="仿宋_GB2312"/>
              </w:rPr>
              <w:t>1）根据国家水网建设总体要求，按照省级水网、渭南市水网建设布局，结合合阳县经济社会发展定位，以全面提升水安全保障能力为目标，提出合阳县水网建设总体思路。综合考虑目标指标的合理性和可达性，分领域提出2035年水网建设主要目标，并展望至2050年。</w:t>
            </w:r>
          </w:p>
          <w:p>
            <w:pPr>
              <w:pStyle w:val="null3"/>
            </w:pPr>
            <w:r>
              <w:rPr>
                <w:rFonts w:ascii="仿宋_GB2312" w:hAnsi="仿宋_GB2312" w:cs="仿宋_GB2312" w:eastAsia="仿宋_GB2312"/>
              </w:rPr>
              <w:t>2）根据市县自然河湖水系特点和水利基础设施网络布局，全方位贯彻“四水四定”原则，以联网、补网、强链为重点，系统谋划水网“纲、目、结”，合理布局水网骨干工程，构建独具特色的合阳县水网总体布局。</w:t>
            </w:r>
          </w:p>
          <w:p>
            <w:pPr>
              <w:pStyle w:val="null3"/>
            </w:pPr>
            <w:r>
              <w:rPr>
                <w:rFonts w:ascii="仿宋_GB2312" w:hAnsi="仿宋_GB2312" w:cs="仿宋_GB2312" w:eastAsia="仿宋_GB2312"/>
              </w:rPr>
              <w:t>（3）提出防洪排涝网建设任务</w:t>
            </w:r>
          </w:p>
          <w:p>
            <w:pPr>
              <w:pStyle w:val="null3"/>
            </w:pPr>
            <w:r>
              <w:rPr>
                <w:rFonts w:ascii="仿宋_GB2312" w:hAnsi="仿宋_GB2312" w:cs="仿宋_GB2312" w:eastAsia="仿宋_GB2312"/>
              </w:rPr>
              <w:t>1）针对流域区域防洪新形势新要求，遵循“两个坚持、三个转变”的防灾减灾救灾理念，准确把握流域区域特点及洪涝水特征，以流域为单元，以保障主要支流和中小河流、市区和重要城镇、重要基础设施等防洪安全为重点，提出防洪排涝网建设思路。</w:t>
            </w:r>
          </w:p>
          <w:p>
            <w:pPr>
              <w:pStyle w:val="null3"/>
            </w:pPr>
            <w:r>
              <w:rPr>
                <w:rFonts w:ascii="仿宋_GB2312" w:hAnsi="仿宋_GB2312" w:cs="仿宋_GB2312" w:eastAsia="仿宋_GB2312"/>
              </w:rPr>
              <w:t>2）根据防洪保护区经济社会发展规模，按照《防洪标准》要求，统筹协调上下游、左右岸、干支流防洪关系，复核确定各保护对象、相应河流的防洪标准，统筹水库、河道及堤防、蓄滞洪区建设，提出防洪排涝工程布局。</w:t>
            </w:r>
          </w:p>
          <w:p>
            <w:pPr>
              <w:pStyle w:val="null3"/>
            </w:pPr>
            <w:r>
              <w:rPr>
                <w:rFonts w:ascii="仿宋_GB2312" w:hAnsi="仿宋_GB2312" w:cs="仿宋_GB2312" w:eastAsia="仿宋_GB2312"/>
              </w:rPr>
              <w:t>3）以流域为单元，提出主要支流和中小河流系统治理方案，包括治理河段、治理标准及堤防建设、护岸护坡、清淤疏浚、分洪道建设等措施。</w:t>
            </w:r>
          </w:p>
          <w:p>
            <w:pPr>
              <w:pStyle w:val="null3"/>
            </w:pPr>
            <w:r>
              <w:rPr>
                <w:rFonts w:ascii="仿宋_GB2312" w:hAnsi="仿宋_GB2312" w:cs="仿宋_GB2312" w:eastAsia="仿宋_GB2312"/>
              </w:rPr>
              <w:t>4）根据流域洪水拦蓄和调蓄能力提升需求，提出增强洪水调蓄能力建设任务。</w:t>
            </w:r>
          </w:p>
          <w:p>
            <w:pPr>
              <w:pStyle w:val="null3"/>
            </w:pPr>
            <w:r>
              <w:rPr>
                <w:rFonts w:ascii="仿宋_GB2312" w:hAnsi="仿宋_GB2312" w:cs="仿宋_GB2312" w:eastAsia="仿宋_GB2312"/>
              </w:rPr>
              <w:t>5）按照“拒、绕、排”的思路，统筹城镇排洪通道和内涝防治措施，充分利用地表和地下蓄滞泄空间，提出城镇防洪排涝建设任务。</w:t>
            </w:r>
          </w:p>
          <w:p>
            <w:pPr>
              <w:pStyle w:val="null3"/>
            </w:pPr>
            <w:r>
              <w:rPr>
                <w:rFonts w:ascii="仿宋_GB2312" w:hAnsi="仿宋_GB2312" w:cs="仿宋_GB2312" w:eastAsia="仿宋_GB2312"/>
              </w:rPr>
              <w:t>（4）提出城乡供水网建设任务</w:t>
            </w:r>
          </w:p>
          <w:p>
            <w:pPr>
              <w:pStyle w:val="null3"/>
            </w:pPr>
            <w:r>
              <w:rPr>
                <w:rFonts w:ascii="仿宋_GB2312" w:hAnsi="仿宋_GB2312" w:cs="仿宋_GB2312" w:eastAsia="仿宋_GB2312"/>
              </w:rPr>
              <w:t>1）根据本地区水资源条件、经济社会发展和人口分布，坚持“四水四定”原则，以提升城乡供水保障能力为目标，以节水为前提，坚持常规水与非常规水统一配置，优化水资源配置方案，合理确定城乡供水骨干工程布局，提出城乡供水网建设思路。</w:t>
            </w:r>
          </w:p>
          <w:p>
            <w:pPr>
              <w:pStyle w:val="null3"/>
            </w:pPr>
            <w:r>
              <w:rPr>
                <w:rFonts w:ascii="仿宋_GB2312" w:hAnsi="仿宋_GB2312" w:cs="仿宋_GB2312" w:eastAsia="仿宋_GB2312"/>
              </w:rPr>
              <w:t>2）根据河流水系分布及行政区划范围，合理确定水资源配置单元，开展水资源供需平衡分析。以用水总量指标、江河流域水量分配方案、重点河湖生态流量保障目标等为依据，提出规划水平年水资源配置方案。</w:t>
            </w:r>
          </w:p>
          <w:p>
            <w:pPr>
              <w:pStyle w:val="null3"/>
            </w:pPr>
            <w:r>
              <w:rPr>
                <w:rFonts w:ascii="仿宋_GB2312" w:hAnsi="仿宋_GB2312" w:cs="仿宋_GB2312" w:eastAsia="仿宋_GB2312"/>
              </w:rPr>
              <w:t>3）依托上一级水网调配作用，加强区域供水工程的配套衔接，结合已有供水工程布局，科学提出水资源配置工程建设任务。</w:t>
            </w:r>
          </w:p>
          <w:p>
            <w:pPr>
              <w:pStyle w:val="null3"/>
            </w:pPr>
            <w:r>
              <w:rPr>
                <w:rFonts w:ascii="仿宋_GB2312" w:hAnsi="仿宋_GB2312" w:cs="仿宋_GB2312" w:eastAsia="仿宋_GB2312"/>
              </w:rPr>
              <w:t>4）以县域为单元，全面推行“3十1”标准化建设和管护，提出农村供水高质量发展任务，实现县域统管、专业化管理全覆盖的实施路径。</w:t>
            </w:r>
          </w:p>
          <w:p>
            <w:pPr>
              <w:pStyle w:val="null3"/>
            </w:pPr>
            <w:r>
              <w:rPr>
                <w:rFonts w:ascii="仿宋_GB2312" w:hAnsi="仿宋_GB2312" w:cs="仿宋_GB2312" w:eastAsia="仿宋_GB2312"/>
              </w:rPr>
              <w:t>（5）提出灌溉排水网建设任务</w:t>
            </w:r>
          </w:p>
          <w:p>
            <w:pPr>
              <w:pStyle w:val="null3"/>
            </w:pPr>
            <w:r>
              <w:rPr>
                <w:rFonts w:ascii="仿宋_GB2312" w:hAnsi="仿宋_GB2312" w:cs="仿宋_GB2312" w:eastAsia="仿宋_GB2312"/>
              </w:rPr>
              <w:t>1）围绕保障粮食安全和重要农产品供给，以提升农田灌排保障能力为目标，在强化农业节水的基础上，合理确定灌溉排水发展总体规模、建设布局和发展模式，提出灌溉排水网建设思路。</w:t>
            </w:r>
          </w:p>
          <w:p>
            <w:pPr>
              <w:pStyle w:val="null3"/>
            </w:pPr>
            <w:r>
              <w:rPr>
                <w:rFonts w:ascii="仿宋_GB2312" w:hAnsi="仿宋_GB2312" w:cs="仿宋_GB2312" w:eastAsia="仿宋_GB2312"/>
              </w:rPr>
              <w:t>2）结合水土资源平衡分析成果，围绕现有灌溉水源工程的除险加固、清淤扩容、挖潜改造等，提出改造提升灌溉水源工程任务。统筹区域水资源配置工程、重点水源工程、小型水源工程、坑塘水窖等集雨设施建设，提出新建灌溉水源工程和配套输配水工程任务。</w:t>
            </w:r>
          </w:p>
          <w:p>
            <w:pPr>
              <w:pStyle w:val="null3"/>
            </w:pPr>
            <w:r>
              <w:rPr>
                <w:rFonts w:ascii="仿宋_GB2312" w:hAnsi="仿宋_GB2312" w:cs="仿宋_GB2312" w:eastAsia="仿宋_GB2312"/>
              </w:rPr>
              <w:t>3）统筹灌区骨干工程与高标准农田建设，合理配套建设和改造输配水渠（管）道、排水沟（管）道、泵站及渠系建筑物，提出大中小型灌区建设任务，完善灌排工程体系。</w:t>
            </w:r>
          </w:p>
          <w:p>
            <w:pPr>
              <w:pStyle w:val="null3"/>
            </w:pPr>
            <w:r>
              <w:rPr>
                <w:rFonts w:ascii="仿宋_GB2312" w:hAnsi="仿宋_GB2312" w:cs="仿宋_GB2312" w:eastAsia="仿宋_GB2312"/>
              </w:rPr>
              <w:t>（6）提出河湖生态保护网建设任务</w:t>
            </w:r>
          </w:p>
          <w:p>
            <w:pPr>
              <w:pStyle w:val="null3"/>
            </w:pPr>
            <w:r>
              <w:rPr>
                <w:rFonts w:ascii="仿宋_GB2312" w:hAnsi="仿宋_GB2312" w:cs="仿宋_GB2312" w:eastAsia="仿宋_GB2312"/>
              </w:rPr>
              <w:t>1）从生态系统完整性和流域系统性出发，以提升生态系统质量和稳定性为核心，坚持系统治理、综合治理、源头治理，统筹流域上中下游，兼顾地表地下、河道内外，提出河湖生态保护网建设思路和布局。</w:t>
            </w:r>
          </w:p>
          <w:p>
            <w:pPr>
              <w:pStyle w:val="null3"/>
            </w:pPr>
            <w:r>
              <w:rPr>
                <w:rFonts w:ascii="仿宋_GB2312" w:hAnsi="仿宋_GB2312" w:cs="仿宋_GB2312" w:eastAsia="仿宋_GB2312"/>
              </w:rPr>
              <w:t>2）针对水土流失重点预防区和重点治理区情况及特点，因地制宜提出小流域综合治理提质增效、坡耕地水土流失综合治理、侵蚀沟水土流失综合治理、淤地坝建设、塬面保护、崩岗综合治理以及生态清洁小流域建设等方面治理任务。</w:t>
            </w:r>
          </w:p>
          <w:p>
            <w:pPr>
              <w:pStyle w:val="null3"/>
            </w:pPr>
            <w:r>
              <w:rPr>
                <w:rFonts w:ascii="仿宋_GB2312" w:hAnsi="仿宋_GB2312" w:cs="仿宋_GB2312" w:eastAsia="仿宋_GB2312"/>
              </w:rPr>
              <w:t>3）统筹河湖水系连通、水域岸线空间保护修复等措施，因地制宜提出幸福河湖建设任务。四是按照禁止开采区和限制开采区要求，提出地下水资源保护任务。在有条件的地区，统筹当地水、外调水和再生水，提出超采区地下水回补任务。</w:t>
            </w:r>
          </w:p>
          <w:p>
            <w:pPr>
              <w:pStyle w:val="null3"/>
            </w:pPr>
            <w:r>
              <w:rPr>
                <w:rFonts w:ascii="仿宋_GB2312" w:hAnsi="仿宋_GB2312" w:cs="仿宋_GB2312" w:eastAsia="仿宋_GB2312"/>
              </w:rPr>
              <w:t>（7）提出数字孪生水网建设任务</w:t>
            </w:r>
          </w:p>
          <w:p>
            <w:pPr>
              <w:pStyle w:val="null3"/>
            </w:pPr>
            <w:r>
              <w:rPr>
                <w:rFonts w:ascii="仿宋_GB2312" w:hAnsi="仿宋_GB2312" w:cs="仿宋_GB2312" w:eastAsia="仿宋_GB2312"/>
              </w:rPr>
              <w:t>1）以省级数字孪生水网顶层设计为指导，融合防洪排涝、城乡供水、灌溉排水、河湖生态保护业务管理等实际需求，合理确定市县数字孪生水网功能定位与建设目标，提出市县数字孪生水网建设思路和总体框架。</w:t>
            </w:r>
          </w:p>
          <w:p>
            <w:pPr>
              <w:pStyle w:val="null3"/>
            </w:pPr>
            <w:r>
              <w:rPr>
                <w:rFonts w:ascii="仿宋_GB2312" w:hAnsi="仿宋_GB2312" w:cs="仿宋_GB2312" w:eastAsia="仿宋_GB2312"/>
              </w:rPr>
              <w:t>2）按照“应设尽设、应测尽测、应在线尽在线”原则，提出气象卫星和测雨雷达、雨量站、水文站组成的雨水情监测预报“三道防线”建设任务。围绕水资源管理、河湖水域岸线空间、水土保持、水工程安全等方面监测感知需求，提出重点领域监测感知体系建设任务。在充分共用数字孪生流域和数字孪生水利工程基础设施的基础上，提出通信网络建设任务和能够满足数字孪生水网高保真模拟运行计算的计算存储环境建设任务。根据流域防洪排涝、水资源调度管理业务需求，提出调度指挥实体环境建设任务。</w:t>
            </w:r>
          </w:p>
          <w:p>
            <w:pPr>
              <w:pStyle w:val="null3"/>
            </w:pPr>
            <w:r>
              <w:rPr>
                <w:rFonts w:ascii="仿宋_GB2312" w:hAnsi="仿宋_GB2312" w:cs="仿宋_GB2312" w:eastAsia="仿宋_GB2312"/>
              </w:rPr>
              <w:t>3）充分利用省级数字孪生平台，提出市县水网数字孪生平台落地部署建设任务，明确业务确有所需的数据库、知识库、模型库等建设内容，细化必需的数据底板，包括基础数据、监测数据、业务管理数据、地理空间数据等。针对重点河流和重点工程，按需提出差异化建设内容。</w:t>
            </w:r>
          </w:p>
          <w:p>
            <w:pPr>
              <w:pStyle w:val="null3"/>
            </w:pPr>
            <w:r>
              <w:rPr>
                <w:rFonts w:ascii="仿宋_GB2312" w:hAnsi="仿宋_GB2312" w:cs="仿宋_GB2312" w:eastAsia="仿宋_GB2312"/>
              </w:rPr>
              <w:t>4）根据省级调度运行应用平台建设要求，提出市县调度运行应用平台建设任务。</w:t>
            </w:r>
          </w:p>
          <w:p>
            <w:pPr>
              <w:pStyle w:val="null3"/>
            </w:pPr>
            <w:r>
              <w:rPr>
                <w:rFonts w:ascii="仿宋_GB2312" w:hAnsi="仿宋_GB2312" w:cs="仿宋_GB2312" w:eastAsia="仿宋_GB2312"/>
              </w:rPr>
              <w:t>5）从组织管理、安全运营、监督检查、响应恢复等方面，提出市县数字孪生水网网络安全及保障体系建设任务。</w:t>
            </w:r>
          </w:p>
          <w:p>
            <w:pPr>
              <w:pStyle w:val="null3"/>
            </w:pPr>
            <w:r>
              <w:rPr>
                <w:rFonts w:ascii="仿宋_GB2312" w:hAnsi="仿宋_GB2312" w:cs="仿宋_GB2312" w:eastAsia="仿宋_GB2312"/>
              </w:rPr>
              <w:t>（8）提出水网高质量发展举措</w:t>
            </w:r>
          </w:p>
          <w:p>
            <w:pPr>
              <w:pStyle w:val="null3"/>
            </w:pPr>
            <w:r>
              <w:rPr>
                <w:rFonts w:ascii="仿宋_GB2312" w:hAnsi="仿宋_GB2312" w:cs="仿宋_GB2312" w:eastAsia="仿宋_GB2312"/>
              </w:rPr>
              <w:t>坚持高标准、高水平，从推进安全发展、推动绿色发展、统筹融合发展、完善体制机制等方面，提出推动水网高质量发展任务措施。从积极探索投建运营一体化建设管理模式、构建多元化水利投融资体系、推进水网供水价格改革、完善水网调度运行机制等方面，提出创新水网建设运行管理体制机制任务。</w:t>
            </w:r>
          </w:p>
          <w:p>
            <w:pPr>
              <w:pStyle w:val="null3"/>
            </w:pPr>
            <w:r>
              <w:rPr>
                <w:rFonts w:ascii="仿宋_GB2312" w:hAnsi="仿宋_GB2312" w:cs="仿宋_GB2312" w:eastAsia="仿宋_GB2312"/>
              </w:rPr>
              <w:t>（9）提出重点项目和实施安排</w:t>
            </w:r>
          </w:p>
          <w:p>
            <w:pPr>
              <w:pStyle w:val="null3"/>
            </w:pPr>
            <w:r>
              <w:rPr>
                <w:rFonts w:ascii="仿宋_GB2312" w:hAnsi="仿宋_GB2312" w:cs="仿宋_GB2312" w:eastAsia="仿宋_GB2312"/>
              </w:rPr>
              <w:t>1）结合国家、省级相关规划的水利投资规模以及近年来市县水利投资水平和财政能力，按照“确有需要、生态安全、可以持续”的原则，提出市县水网重点工程项目清单。</w:t>
            </w:r>
          </w:p>
          <w:p>
            <w:pPr>
              <w:pStyle w:val="null3"/>
            </w:pPr>
            <w:r>
              <w:rPr>
                <w:rFonts w:ascii="仿宋_GB2312" w:hAnsi="仿宋_GB2312" w:cs="仿宋_GB2312" w:eastAsia="仿宋_GB2312"/>
              </w:rPr>
              <w:t>2）按照“整体规划、分步实施”的原则，统筹考虑投资规模和资金来源，区分轻重缓急，提出重点工程的实施时序和投资安排，合理安排实施工期及分年度投资，做好进度计划和分年度投资计划。</w:t>
            </w:r>
          </w:p>
          <w:p>
            <w:pPr>
              <w:pStyle w:val="null3"/>
            </w:pPr>
            <w:r>
              <w:rPr>
                <w:rFonts w:ascii="仿宋_GB2312" w:hAnsi="仿宋_GB2312" w:cs="仿宋_GB2312" w:eastAsia="仿宋_GB2312"/>
              </w:rPr>
              <w:t>（10）其他规划内容</w:t>
            </w:r>
          </w:p>
          <w:p>
            <w:pPr>
              <w:pStyle w:val="null3"/>
            </w:pPr>
            <w:r>
              <w:rPr>
                <w:rFonts w:ascii="仿宋_GB2312" w:hAnsi="仿宋_GB2312" w:cs="仿宋_GB2312" w:eastAsia="仿宋_GB2312"/>
              </w:rPr>
              <w:t>开展环境影响评价、实施效果评估、实施意见、提出保障措施等。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2、成果要求：完成《合阳县水网建设规划修编》；形成规划项目库和相关图件；通过评审并取得主管部门批复。</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依据3.2.2服务要求进行人员配备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依据3.2.2服务要求投入设施设备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1、供应商应及时向采购人汇报该项目完成进度。 2、在服务期间，若供应商所拟派的工作人员发生任何伤害，采购人概不负责，由供应商自行处理。 3、供应商除提供成果文件外，还应负责协助采购人完成成果文件的评审、验收等工作。</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渭南市合阳县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1、质量标准：达到国家及行业验收合格标准。 2、验收标准：按磋商文件、磋商响应文件及澄清函、项目检查情况等综合指标进行验收。各项指标均应符合验收标准及要求。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其他，供应商完成报批手续、取得批复并提交成果文件后30日历天内，须开具等额发票，采购人一次性付清费用，达到付款条件起30个工作日内，支付合同总金额的100.0%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1.合同双⽅必须遵守本合同并执⾏合同中的各项规定，保证本合同的正常履⾏。 2.如因供应商⼯作⼈员在履⾏职务过程中的的疏忽、失职、过错等故意或者过失原因给采购⼈造成损失或侵害，包括但不限于采购⼈本⾝的财产损失、由此⽽导致的采购⼈对任何第三⽅的法律责任等，供应商对此均应承担全部的赔偿责任。3.双方在执行合同中所发生的一切争议，应通过协商解决。如协商不成，可向采购人所在地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成交）供应商在中标（成交）结果公告发布后3个工作日内提供叁套纸质投标文件（经编标工具生成的文件直接打印），递交的纸质版文件内容确保与线上电子文件保持一致，不允许修改和补充。2、关于印发中小企业划型标准规定的通知（工信部联企业〔2011〕300号），中小企业划型标准规定：（十六）其他未列明行业。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提供合法有效，具有独立承担民事责任能力的证明资料。</w:t>
            </w:r>
          </w:p>
        </w:tc>
        <w:tc>
          <w:tcPr>
            <w:tcW w:type="dxa" w:w="1661"/>
          </w:tcPr>
          <w:p>
            <w:pPr>
              <w:pStyle w:val="null3"/>
            </w:pPr>
            <w:r>
              <w:rPr>
                <w:rFonts w:ascii="仿宋_GB2312" w:hAnsi="仿宋_GB2312" w:cs="仿宋_GB2312" w:eastAsia="仿宋_GB2312"/>
              </w:rPr>
              <w:t>政府采购二十二条</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1）财务状况报告：提供具有财务审计资质单位出具的2025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 （2）税收缴纳证明：提供响应文件递交截止时间前一年内任意一个月的缴费凭据；依法免税的应提供相关文件证明； （3）社会保障资金缴纳证明：提供响应文件递交截止时间前一年内任意一个月的社保缴费凭据或社保机构开具的社会保险参保缴费情况证明；依法不需要缴纳社会保障资金的供应商应提供相关文件证明； 注：根据陕西省财政厅《关于进一步优化政府采购营商环境有关事项的通知》（陕财办采〔2023〕4号）关于供应商参与政府采购活动实行“承诺+信用管理”准入制度的要求，以上三项内容若采用承诺制，供应商可按本招标文件格式要求出具承诺函（详见附件1）；若供应商提供证明材料，则无需填写此承诺书；若二者同时提供，评审时以证明材料为准。中标供应商的承诺函将与中标结果一并公示。</w:t>
            </w:r>
          </w:p>
        </w:tc>
        <w:tc>
          <w:tcPr>
            <w:tcW w:type="dxa" w:w="1661"/>
          </w:tcPr>
          <w:p>
            <w:pPr>
              <w:pStyle w:val="null3"/>
            </w:pPr>
            <w:r>
              <w:rPr>
                <w:rFonts w:ascii="仿宋_GB2312" w:hAnsi="仿宋_GB2312" w:cs="仿宋_GB2312" w:eastAsia="仿宋_GB2312"/>
              </w:rPr>
              <w:t>政府采购二十二条</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具有履行合同所必需的设备和专业技术能力的承诺</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参加政府采购活动前三年内在经营活动中无重大违法记录的承诺</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参与的供应商（联合体）服务全部由符合政策要求的中小企业承接。本项目所属行业：其他未列明行业。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供应商须具备工程设计水利行业乙级及以上资质；</w:t>
            </w:r>
          </w:p>
        </w:tc>
        <w:tc>
          <w:tcPr>
            <w:tcW w:type="dxa" w:w="1661"/>
          </w:tcPr>
          <w:p>
            <w:pPr>
              <w:pStyle w:val="null3"/>
            </w:pPr>
            <w:r>
              <w:rPr>
                <w:rFonts w:ascii="仿宋_GB2312" w:hAnsi="仿宋_GB2312" w:cs="仿宋_GB2312" w:eastAsia="仿宋_GB2312"/>
              </w:rPr>
              <w:t>特定资格要求</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拟派项目负责人须具有水利相关专业高级及以上职称；</w:t>
            </w:r>
          </w:p>
        </w:tc>
        <w:tc>
          <w:tcPr>
            <w:tcW w:type="dxa" w:w="1661"/>
          </w:tcPr>
          <w:p>
            <w:pPr>
              <w:pStyle w:val="null3"/>
            </w:pPr>
            <w:r>
              <w:rPr>
                <w:rFonts w:ascii="仿宋_GB2312" w:hAnsi="仿宋_GB2312" w:cs="仿宋_GB2312" w:eastAsia="仿宋_GB2312"/>
              </w:rPr>
              <w:t>特定资格要求</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法定代表⼈⾝份证明书、法定代表⼈授权书</w:t>
            </w:r>
          </w:p>
        </w:tc>
        <w:tc>
          <w:tcPr>
            <w:tcW w:type="dxa" w:w="3322"/>
          </w:tcPr>
          <w:p>
            <w:pPr>
              <w:pStyle w:val="null3"/>
            </w:pPr>
            <w:r>
              <w:rPr>
                <w:rFonts w:ascii="仿宋_GB2312" w:hAnsi="仿宋_GB2312" w:cs="仿宋_GB2312" w:eastAsia="仿宋_GB2312"/>
              </w:rPr>
              <w:t>法定代表⼈参与磋商时需提供法定代表⼈⾝份证明书；被授权⼈参与磋商时需提供法定代表⼈⾝份证明书及法定代表⼈授权委托书；</w:t>
            </w:r>
          </w:p>
        </w:tc>
        <w:tc>
          <w:tcPr>
            <w:tcW w:type="dxa" w:w="1661"/>
          </w:tcPr>
          <w:p>
            <w:pPr>
              <w:pStyle w:val="null3"/>
            </w:pPr>
            <w:r>
              <w:rPr>
                <w:rFonts w:ascii="仿宋_GB2312" w:hAnsi="仿宋_GB2312" w:cs="仿宋_GB2312" w:eastAsia="仿宋_GB2312"/>
              </w:rPr>
              <w:t>特定资格要求</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磋商保证⾦交纳凭证</w:t>
            </w:r>
          </w:p>
        </w:tc>
        <w:tc>
          <w:tcPr>
            <w:tcW w:type="dxa" w:w="3322"/>
          </w:tcPr>
          <w:p>
            <w:pPr>
              <w:pStyle w:val="null3"/>
            </w:pPr>
            <w:r>
              <w:rPr>
                <w:rFonts w:ascii="仿宋_GB2312" w:hAnsi="仿宋_GB2312" w:cs="仿宋_GB2312" w:eastAsia="仿宋_GB2312"/>
              </w:rPr>
              <w:t>磋商保证⾦交纳凭证；</w:t>
            </w:r>
          </w:p>
        </w:tc>
        <w:tc>
          <w:tcPr>
            <w:tcW w:type="dxa" w:w="1661"/>
          </w:tcPr>
          <w:p>
            <w:pPr>
              <w:pStyle w:val="null3"/>
            </w:pPr>
            <w:r>
              <w:rPr>
                <w:rFonts w:ascii="仿宋_GB2312" w:hAnsi="仿宋_GB2312" w:cs="仿宋_GB2312" w:eastAsia="仿宋_GB2312"/>
              </w:rPr>
              <w:t>特定资格要求</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信⽤信息</w:t>
            </w:r>
          </w:p>
        </w:tc>
        <w:tc>
          <w:tcPr>
            <w:tcW w:type="dxa" w:w="3322"/>
          </w:tcPr>
          <w:p>
            <w:pPr>
              <w:pStyle w:val="null3"/>
            </w:pPr>
            <w:r>
              <w:rPr>
                <w:rFonts w:ascii="仿宋_GB2312" w:hAnsi="仿宋_GB2312" w:cs="仿宋_GB2312" w:eastAsia="仿宋_GB2312"/>
              </w:rPr>
              <w:t>供应商不得为“信⽤中国”⽹站（www.creditchina.gov.cn）中列⼊失信被执⾏⼈和重⼤税收违法失信主体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特定资格要求</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响应文件按竞争性磋商文件要求进行签章</w:t>
            </w:r>
          </w:p>
        </w:tc>
        <w:tc>
          <w:tcPr>
            <w:tcW w:type="dxa" w:w="1661"/>
          </w:tcPr>
          <w:p>
            <w:pPr>
              <w:pStyle w:val="null3"/>
            </w:pPr>
            <w:r>
              <w:rPr>
                <w:rFonts w:ascii="仿宋_GB2312" w:hAnsi="仿宋_GB2312" w:cs="仿宋_GB2312" w:eastAsia="仿宋_GB2312"/>
              </w:rPr>
              <w:t>中小企业声明函 商务应答表 服务内容及服务要求应答表 报价表 特定资格要求 响应文件封面 政府采购供应商拒绝政府采购领域商业贿赂承诺书 残疾人福利性单位声明函 政府采购二十二条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磋商报价没有超出本项目最高限价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满足竞争性磋商文件规定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满足竞争性磋商文件规定</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对采购内容的响应程度</w:t>
            </w:r>
          </w:p>
        </w:tc>
        <w:tc>
          <w:tcPr>
            <w:tcW w:type="dxa" w:w="3322"/>
          </w:tcPr>
          <w:p>
            <w:pPr>
              <w:pStyle w:val="null3"/>
            </w:pPr>
            <w:r>
              <w:rPr>
                <w:rFonts w:ascii="仿宋_GB2312" w:hAnsi="仿宋_GB2312" w:cs="仿宋_GB2312" w:eastAsia="仿宋_GB2312"/>
              </w:rPr>
              <w:t>满足竞争性磋商文件规定</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无其他做无效投标处理的情况</w:t>
            </w:r>
          </w:p>
        </w:tc>
        <w:tc>
          <w:tcPr>
            <w:tcW w:type="dxa" w:w="1661"/>
          </w:tcPr>
          <w:p>
            <w:pPr>
              <w:pStyle w:val="null3"/>
            </w:pPr>
            <w:r>
              <w:rPr>
                <w:rFonts w:ascii="仿宋_GB2312" w:hAnsi="仿宋_GB2312" w:cs="仿宋_GB2312" w:eastAsia="仿宋_GB2312"/>
              </w:rPr>
              <w:t>中小企业声明函 商务应答表 服务内容及服务要求应答表 报价表 特定资格要求 响应文件封面 政府采购供应商拒绝政府采购领域商业贿赂承诺书 残疾人福利性单位声明函 政府采购二十二条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（1）项目需求理解； （2）服务流程及方法； （3）服务整体管理方案。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进度计划安排及保障措施</w:t>
            </w:r>
          </w:p>
        </w:tc>
        <w:tc>
          <w:tcPr>
            <w:tcW w:type="dxa" w:w="2492"/>
          </w:tcPr>
          <w:p>
            <w:pPr>
              <w:pStyle w:val="null3"/>
            </w:pPr>
            <w:r>
              <w:rPr>
                <w:rFonts w:ascii="仿宋_GB2312" w:hAnsi="仿宋_GB2312" w:cs="仿宋_GB2312" w:eastAsia="仿宋_GB2312"/>
              </w:rPr>
              <w:t>（一）评审内容： （1）服务进度计划安排； （2）按期按质完成服务的保障措施。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过程资料管理方案</w:t>
            </w:r>
          </w:p>
        </w:tc>
        <w:tc>
          <w:tcPr>
            <w:tcW w:type="dxa" w:w="2492"/>
          </w:tcPr>
          <w:p>
            <w:pPr>
              <w:pStyle w:val="null3"/>
            </w:pPr>
            <w:r>
              <w:rPr>
                <w:rFonts w:ascii="仿宋_GB2312" w:hAnsi="仿宋_GB2312" w:cs="仿宋_GB2312" w:eastAsia="仿宋_GB2312"/>
              </w:rPr>
              <w:t>（一）评审内容： （1）过程资料管理方案； （2）资料管理工作流程； （3）工作实施细则及措施。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（1）合阳县水网建设规划修编方案； （2）成果文件整合方案； （3）项目评审及修改方案； （4）项目报批方案； （5）成果移交方案。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 （1）保密措施； （2）保密人员培训及管理。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（1）质量保障措施； （2）服务成果的质量追溯机制。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技术创新及沟通协调方案</w:t>
            </w:r>
          </w:p>
        </w:tc>
        <w:tc>
          <w:tcPr>
            <w:tcW w:type="dxa" w:w="2492"/>
          </w:tcPr>
          <w:p>
            <w:pPr>
              <w:pStyle w:val="null3"/>
            </w:pPr>
            <w:r>
              <w:rPr>
                <w:rFonts w:ascii="仿宋_GB2312" w:hAnsi="仿宋_GB2312" w:cs="仿宋_GB2312" w:eastAsia="仿宋_GB2312"/>
              </w:rPr>
              <w:t>（一）评审内容： （1）技术创新应用方案； （2）沟通协调流程及细则。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其他服务措施</w:t>
            </w:r>
          </w:p>
        </w:tc>
        <w:tc>
          <w:tcPr>
            <w:tcW w:type="dxa" w:w="2492"/>
          </w:tcPr>
          <w:p>
            <w:pPr>
              <w:pStyle w:val="null3"/>
            </w:pPr>
            <w:r>
              <w:rPr>
                <w:rFonts w:ascii="仿宋_GB2312" w:hAnsi="仿宋_GB2312" w:cs="仿宋_GB2312" w:eastAsia="仿宋_GB2312"/>
              </w:rPr>
              <w:t>（一）评审内容： （1）对紧急或突发业务的应急保障措施； （2）综合协助措施； （3）后续服务方案。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针对本项目提出合理化建议，每提出一项有利于本项目实施的合理化建议得1分，本项最高得4分。未提供得0分。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依据服务要求，每配备一名技术或服务人员（项目负责人除外）得1分，最多得5分；须提供相关证件或其他证明材料，未提供证明材料得0分。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依据服务内容配置服务所需设施设备；提供证明材料（需提供以下材料至少一项，亦可提交其他相关证明材料，例如：设备实物图、发票、合同等），每配备一项设备（不同类型）得1分，最多得5分。未提供证明材料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满足采购文件要求且最后报价最低的供应商价格为基准价得20分； 其他供应商的价格分按下列公式计算： 报价得分=（基准价/最终报价）×20%×100。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详见附件：政府采购二十二条</w:t>
      </w:r>
    </w:p>
    <w:p>
      <w:pPr>
        <w:pStyle w:val="null3"/>
        <w:ind w:firstLine="960"/>
      </w:pPr>
      <w:r>
        <w:rPr>
          <w:rFonts w:ascii="仿宋_GB2312" w:hAnsi="仿宋_GB2312" w:cs="仿宋_GB2312" w:eastAsia="仿宋_GB2312"/>
        </w:rPr>
        <w:t>详见附件：特定资格要求</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详见附件：7.合同文本.docx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