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05E0D8">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textAlignment w:val="auto"/>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一、项目概述</w:t>
      </w:r>
    </w:p>
    <w:p w14:paraId="7D939E9A">
      <w:pPr>
        <w:pStyle w:val="3"/>
        <w:keepNext w:val="0"/>
        <w:keepLines w:val="0"/>
        <w:pageBreakBefore w:val="0"/>
        <w:widowControl/>
        <w:suppressLineNumbers w:val="0"/>
        <w:shd w:val="clear" w:fill="FFFFFF"/>
        <w:kinsoku/>
        <w:wordWrap/>
        <w:overflowPunct/>
        <w:topLinePunct w:val="0"/>
        <w:autoSpaceDE/>
        <w:autoSpaceDN/>
        <w:bidi w:val="0"/>
        <w:adjustRightInd/>
        <w:snapToGrid/>
        <w:spacing w:beforeAutospacing="0" w:afterAutospacing="0" w:line="560" w:lineRule="exact"/>
        <w:ind w:left="0" w:right="0" w:firstLine="420" w:firstLineChars="200"/>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为落实《中华人民共和国密码法》及商用密码应用安全性评估相关管理要求，保障陕西省总工会信息系统的密码应用安全，现开展2026年度商用密码应用安全性评估（以下简称“密评”）服务采购工作。</w:t>
      </w:r>
    </w:p>
    <w:p w14:paraId="4678641E">
      <w:pPr>
        <w:keepNext w:val="0"/>
        <w:keepLines w:val="0"/>
        <w:pageBreakBefore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kern w:val="2"/>
          <w:sz w:val="21"/>
          <w:szCs w:val="21"/>
          <w:lang w:val="en-US" w:eastAsia="zh-CN" w:bidi="ar-SA"/>
        </w:rPr>
      </w:pPr>
      <w:r>
        <w:rPr>
          <w:rFonts w:hint="eastAsia" w:ascii="仿宋" w:hAnsi="仿宋" w:eastAsia="仿宋" w:cs="仿宋"/>
          <w:color w:val="auto"/>
          <w:kern w:val="2"/>
          <w:sz w:val="21"/>
          <w:szCs w:val="21"/>
          <w:lang w:val="en-US" w:eastAsia="zh-CN" w:bidi="ar-SA"/>
        </w:rPr>
        <w:t>服务内容如下：</w:t>
      </w:r>
    </w:p>
    <w:tbl>
      <w:tblPr>
        <w:tblStyle w:val="4"/>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590"/>
        <w:gridCol w:w="2180"/>
        <w:gridCol w:w="4840"/>
        <w:gridCol w:w="1540"/>
      </w:tblGrid>
      <w:tr w14:paraId="7DE9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blHeader/>
        </w:trPr>
        <w:tc>
          <w:tcPr>
            <w:tcW w:w="590" w:type="dxa"/>
            <w:shd w:val="clear" w:color="auto" w:fill="FFFFFF"/>
            <w:tcMar>
              <w:top w:w="150" w:type="dxa"/>
              <w:left w:w="0" w:type="dxa"/>
              <w:bottom w:w="150" w:type="dxa"/>
              <w:right w:w="240" w:type="dxa"/>
            </w:tcMar>
            <w:vAlign w:val="center"/>
          </w:tcPr>
          <w:p w14:paraId="638DE4EF">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序号</w:t>
            </w:r>
          </w:p>
        </w:tc>
        <w:tc>
          <w:tcPr>
            <w:tcW w:w="2180" w:type="dxa"/>
            <w:shd w:val="clear" w:color="auto" w:fill="FFFFFF"/>
            <w:tcMar>
              <w:top w:w="150" w:type="dxa"/>
              <w:left w:w="240" w:type="dxa"/>
              <w:bottom w:w="150" w:type="dxa"/>
              <w:right w:w="240" w:type="dxa"/>
            </w:tcMar>
            <w:vAlign w:val="center"/>
          </w:tcPr>
          <w:p w14:paraId="101548D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服务名称</w:t>
            </w:r>
          </w:p>
        </w:tc>
        <w:tc>
          <w:tcPr>
            <w:tcW w:w="4840" w:type="dxa"/>
            <w:shd w:val="clear" w:color="auto" w:fill="FFFFFF"/>
            <w:tcMar>
              <w:top w:w="150" w:type="dxa"/>
              <w:left w:w="240" w:type="dxa"/>
              <w:bottom w:w="150" w:type="dxa"/>
              <w:right w:w="240" w:type="dxa"/>
            </w:tcMar>
            <w:vAlign w:val="center"/>
          </w:tcPr>
          <w:p w14:paraId="2F9147F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系统名称</w:t>
            </w:r>
          </w:p>
        </w:tc>
        <w:tc>
          <w:tcPr>
            <w:tcW w:w="1540" w:type="dxa"/>
            <w:shd w:val="clear" w:color="auto" w:fill="FFFFFF"/>
            <w:tcMar>
              <w:top w:w="150" w:type="dxa"/>
              <w:left w:w="240" w:type="dxa"/>
              <w:bottom w:w="150" w:type="dxa"/>
              <w:right w:w="240" w:type="dxa"/>
            </w:tcMar>
            <w:vAlign w:val="center"/>
          </w:tcPr>
          <w:p w14:paraId="63C3E7B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kern w:val="0"/>
                <w:sz w:val="21"/>
                <w:szCs w:val="21"/>
                <w:lang w:val="en-US" w:eastAsia="zh-CN" w:bidi="ar"/>
              </w:rPr>
              <w:t>系统等级</w:t>
            </w:r>
          </w:p>
        </w:tc>
      </w:tr>
      <w:tr w14:paraId="47F7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590" w:type="dxa"/>
            <w:shd w:val="clear" w:color="auto" w:fill="FFFFFF"/>
            <w:tcMar>
              <w:top w:w="150" w:type="dxa"/>
              <w:left w:w="0" w:type="dxa"/>
              <w:bottom w:w="150" w:type="dxa"/>
              <w:right w:w="240" w:type="dxa"/>
            </w:tcMar>
            <w:vAlign w:val="center"/>
          </w:tcPr>
          <w:p w14:paraId="0E3D3786">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1</w:t>
            </w:r>
          </w:p>
        </w:tc>
        <w:tc>
          <w:tcPr>
            <w:tcW w:w="2180" w:type="dxa"/>
            <w:vMerge w:val="restart"/>
            <w:shd w:val="clear" w:color="auto" w:fill="FFFFFF"/>
            <w:tcMar>
              <w:top w:w="150" w:type="dxa"/>
              <w:left w:w="240" w:type="dxa"/>
              <w:bottom w:w="150" w:type="dxa"/>
              <w:right w:w="240" w:type="dxa"/>
            </w:tcMar>
            <w:vAlign w:val="center"/>
          </w:tcPr>
          <w:p w14:paraId="0A6CC4DE">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陕西省总工会2026年度信息化项目商用密码应用安全性评估服务</w:t>
            </w:r>
          </w:p>
        </w:tc>
        <w:tc>
          <w:tcPr>
            <w:tcW w:w="4840" w:type="dxa"/>
            <w:shd w:val="clear" w:color="auto" w:fill="FFFFFF"/>
            <w:tcMar>
              <w:top w:w="150" w:type="dxa"/>
              <w:left w:w="240" w:type="dxa"/>
              <w:bottom w:w="150" w:type="dxa"/>
              <w:right w:w="240" w:type="dxa"/>
            </w:tcMar>
            <w:vAlign w:val="center"/>
          </w:tcPr>
          <w:p w14:paraId="5D9514A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陕西省总工会协同办公平台</w:t>
            </w:r>
          </w:p>
        </w:tc>
        <w:tc>
          <w:tcPr>
            <w:tcW w:w="1540" w:type="dxa"/>
            <w:shd w:val="clear" w:color="auto" w:fill="FFFFFF"/>
            <w:tcMar>
              <w:top w:w="150" w:type="dxa"/>
              <w:left w:w="240" w:type="dxa"/>
              <w:bottom w:w="150" w:type="dxa"/>
              <w:right w:w="0" w:type="dxa"/>
            </w:tcMar>
            <w:vAlign w:val="center"/>
          </w:tcPr>
          <w:p w14:paraId="371C511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auto"/>
                <w:spacing w:val="0"/>
                <w:sz w:val="21"/>
                <w:szCs w:val="21"/>
              </w:rPr>
            </w:pPr>
            <w:r>
              <w:rPr>
                <w:rFonts w:hint="eastAsia" w:ascii="仿宋" w:hAnsi="仿宋" w:eastAsia="仿宋" w:cs="仿宋"/>
                <w:i w:val="0"/>
                <w:iCs w:val="0"/>
                <w:caps w:val="0"/>
                <w:color w:val="auto"/>
                <w:spacing w:val="0"/>
                <w:kern w:val="0"/>
                <w:sz w:val="21"/>
                <w:szCs w:val="21"/>
                <w:lang w:val="en-US" w:eastAsia="zh-CN" w:bidi="ar"/>
              </w:rPr>
              <w:t>三级</w:t>
            </w:r>
          </w:p>
        </w:tc>
      </w:tr>
      <w:tr w14:paraId="7335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590" w:type="dxa"/>
            <w:shd w:val="clear" w:color="auto" w:fill="FFFFFF"/>
            <w:tcMar>
              <w:top w:w="150" w:type="dxa"/>
              <w:left w:w="0" w:type="dxa"/>
              <w:bottom w:w="150" w:type="dxa"/>
              <w:right w:w="240" w:type="dxa"/>
            </w:tcMar>
            <w:vAlign w:val="center"/>
          </w:tcPr>
          <w:p w14:paraId="0BB9BC33">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2</w:t>
            </w:r>
          </w:p>
        </w:tc>
        <w:tc>
          <w:tcPr>
            <w:tcW w:w="2180" w:type="dxa"/>
            <w:vMerge w:val="continue"/>
            <w:shd w:val="clear" w:color="auto" w:fill="FFFFFF"/>
            <w:tcMar>
              <w:top w:w="150" w:type="dxa"/>
              <w:left w:w="240" w:type="dxa"/>
              <w:bottom w:w="150" w:type="dxa"/>
              <w:right w:w="240" w:type="dxa"/>
            </w:tcMar>
            <w:vAlign w:val="center"/>
          </w:tcPr>
          <w:p w14:paraId="1DA593FB">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p>
        </w:tc>
        <w:tc>
          <w:tcPr>
            <w:tcW w:w="4840" w:type="dxa"/>
            <w:shd w:val="clear" w:color="auto" w:fill="FFFFFF"/>
            <w:tcMar>
              <w:top w:w="150" w:type="dxa"/>
              <w:left w:w="240" w:type="dxa"/>
              <w:bottom w:w="150" w:type="dxa"/>
              <w:right w:w="240" w:type="dxa"/>
            </w:tcMar>
            <w:vAlign w:val="center"/>
          </w:tcPr>
          <w:p w14:paraId="7771892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陕西省总工会官方网站</w:t>
            </w:r>
          </w:p>
        </w:tc>
        <w:tc>
          <w:tcPr>
            <w:tcW w:w="1540" w:type="dxa"/>
            <w:shd w:val="clear" w:color="auto" w:fill="FFFFFF"/>
            <w:tcMar>
              <w:top w:w="150" w:type="dxa"/>
              <w:left w:w="240" w:type="dxa"/>
              <w:bottom w:w="150" w:type="dxa"/>
              <w:right w:w="0" w:type="dxa"/>
            </w:tcMar>
            <w:vAlign w:val="center"/>
          </w:tcPr>
          <w:p w14:paraId="7D0DA29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三级</w:t>
            </w:r>
          </w:p>
        </w:tc>
      </w:tr>
      <w:tr w14:paraId="434CE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590" w:type="dxa"/>
            <w:shd w:val="clear" w:color="auto" w:fill="FFFFFF"/>
            <w:tcMar>
              <w:top w:w="150" w:type="dxa"/>
              <w:left w:w="0" w:type="dxa"/>
              <w:bottom w:w="150" w:type="dxa"/>
              <w:right w:w="240" w:type="dxa"/>
            </w:tcMar>
            <w:vAlign w:val="center"/>
          </w:tcPr>
          <w:p w14:paraId="577EADBB">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3</w:t>
            </w:r>
          </w:p>
        </w:tc>
        <w:tc>
          <w:tcPr>
            <w:tcW w:w="2180" w:type="dxa"/>
            <w:vMerge w:val="continue"/>
            <w:shd w:val="clear" w:color="auto" w:fill="FFFFFF"/>
            <w:tcMar>
              <w:top w:w="150" w:type="dxa"/>
              <w:left w:w="240" w:type="dxa"/>
              <w:bottom w:w="150" w:type="dxa"/>
              <w:right w:w="240" w:type="dxa"/>
            </w:tcMar>
            <w:vAlign w:val="center"/>
          </w:tcPr>
          <w:p w14:paraId="2025C0A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p>
        </w:tc>
        <w:tc>
          <w:tcPr>
            <w:tcW w:w="4840" w:type="dxa"/>
            <w:shd w:val="clear" w:color="auto" w:fill="FFFFFF"/>
            <w:tcMar>
              <w:top w:w="150" w:type="dxa"/>
              <w:left w:w="240" w:type="dxa"/>
              <w:bottom w:w="150" w:type="dxa"/>
              <w:right w:w="240" w:type="dxa"/>
            </w:tcMar>
            <w:vAlign w:val="center"/>
          </w:tcPr>
          <w:p w14:paraId="0A4E9A81">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陕西省工会财务综合管理平台</w:t>
            </w:r>
          </w:p>
        </w:tc>
        <w:tc>
          <w:tcPr>
            <w:tcW w:w="1540" w:type="dxa"/>
            <w:shd w:val="clear" w:color="auto" w:fill="FFFFFF"/>
            <w:tcMar>
              <w:top w:w="150" w:type="dxa"/>
              <w:left w:w="240" w:type="dxa"/>
              <w:bottom w:w="150" w:type="dxa"/>
              <w:right w:w="0" w:type="dxa"/>
            </w:tcMar>
            <w:vAlign w:val="center"/>
          </w:tcPr>
          <w:p w14:paraId="540B789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三级</w:t>
            </w:r>
          </w:p>
        </w:tc>
      </w:tr>
      <w:tr w14:paraId="644A8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590" w:type="dxa"/>
            <w:shd w:val="clear" w:color="auto" w:fill="FFFFFF"/>
            <w:tcMar>
              <w:top w:w="150" w:type="dxa"/>
              <w:left w:w="0" w:type="dxa"/>
              <w:bottom w:w="150" w:type="dxa"/>
              <w:right w:w="240" w:type="dxa"/>
            </w:tcMar>
            <w:vAlign w:val="center"/>
          </w:tcPr>
          <w:p w14:paraId="2E4FD063">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4</w:t>
            </w:r>
          </w:p>
        </w:tc>
        <w:tc>
          <w:tcPr>
            <w:tcW w:w="2180" w:type="dxa"/>
            <w:vMerge w:val="continue"/>
            <w:shd w:val="clear" w:color="auto" w:fill="FFFFFF"/>
            <w:tcMar>
              <w:top w:w="150" w:type="dxa"/>
              <w:left w:w="240" w:type="dxa"/>
              <w:bottom w:w="150" w:type="dxa"/>
              <w:right w:w="240" w:type="dxa"/>
            </w:tcMar>
            <w:vAlign w:val="center"/>
          </w:tcPr>
          <w:p w14:paraId="2992DA5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p>
        </w:tc>
        <w:tc>
          <w:tcPr>
            <w:tcW w:w="4840" w:type="dxa"/>
            <w:shd w:val="clear" w:color="auto" w:fill="FFFFFF"/>
            <w:tcMar>
              <w:top w:w="150" w:type="dxa"/>
              <w:left w:w="240" w:type="dxa"/>
              <w:bottom w:w="150" w:type="dxa"/>
              <w:right w:w="240" w:type="dxa"/>
            </w:tcMar>
            <w:vAlign w:val="center"/>
          </w:tcPr>
          <w:p w14:paraId="1D420DC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lang w:val="en-US"/>
              </w:rPr>
            </w:pPr>
            <w:r>
              <w:rPr>
                <w:rFonts w:hint="eastAsia" w:ascii="仿宋" w:hAnsi="仿宋" w:eastAsia="仿宋" w:cs="仿宋"/>
                <w:i w:val="0"/>
                <w:iCs w:val="0"/>
                <w:caps w:val="0"/>
                <w:color w:val="0F1115"/>
                <w:spacing w:val="0"/>
                <w:kern w:val="0"/>
                <w:sz w:val="21"/>
                <w:szCs w:val="21"/>
                <w:lang w:val="en-US" w:eastAsia="zh-CN" w:bidi="ar"/>
              </w:rPr>
              <w:t>陕西省总工会“互联网+”工会经费税务代收系统</w:t>
            </w:r>
          </w:p>
        </w:tc>
        <w:tc>
          <w:tcPr>
            <w:tcW w:w="1540" w:type="dxa"/>
            <w:shd w:val="clear" w:color="auto" w:fill="FFFFFF"/>
            <w:tcMar>
              <w:top w:w="150" w:type="dxa"/>
              <w:left w:w="240" w:type="dxa"/>
              <w:bottom w:w="150" w:type="dxa"/>
              <w:right w:w="0" w:type="dxa"/>
            </w:tcMar>
            <w:vAlign w:val="center"/>
          </w:tcPr>
          <w:p w14:paraId="4B046AD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三级</w:t>
            </w:r>
          </w:p>
        </w:tc>
      </w:tr>
      <w:tr w14:paraId="0E842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590" w:type="dxa"/>
            <w:shd w:val="clear" w:color="auto" w:fill="FFFFFF"/>
            <w:tcMar>
              <w:top w:w="150" w:type="dxa"/>
              <w:left w:w="0" w:type="dxa"/>
              <w:bottom w:w="150" w:type="dxa"/>
              <w:right w:w="240" w:type="dxa"/>
            </w:tcMar>
            <w:vAlign w:val="center"/>
          </w:tcPr>
          <w:p w14:paraId="4E35F33C">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5</w:t>
            </w:r>
          </w:p>
        </w:tc>
        <w:tc>
          <w:tcPr>
            <w:tcW w:w="2180" w:type="dxa"/>
            <w:vMerge w:val="continue"/>
            <w:shd w:val="clear" w:color="auto" w:fill="FFFFFF"/>
            <w:tcMar>
              <w:top w:w="150" w:type="dxa"/>
              <w:left w:w="240" w:type="dxa"/>
              <w:bottom w:w="150" w:type="dxa"/>
              <w:right w:w="240" w:type="dxa"/>
            </w:tcMar>
            <w:vAlign w:val="center"/>
          </w:tcPr>
          <w:p w14:paraId="4C2357F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p>
        </w:tc>
        <w:tc>
          <w:tcPr>
            <w:tcW w:w="4840" w:type="dxa"/>
            <w:shd w:val="clear" w:color="auto" w:fill="FFFFFF"/>
            <w:tcMar>
              <w:top w:w="150" w:type="dxa"/>
              <w:left w:w="240" w:type="dxa"/>
              <w:bottom w:w="150" w:type="dxa"/>
              <w:right w:w="240" w:type="dxa"/>
            </w:tcMar>
            <w:vAlign w:val="center"/>
          </w:tcPr>
          <w:p w14:paraId="5EF3826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陕西省总工会职工服务平台</w:t>
            </w:r>
          </w:p>
        </w:tc>
        <w:tc>
          <w:tcPr>
            <w:tcW w:w="1540" w:type="dxa"/>
            <w:shd w:val="clear" w:color="auto" w:fill="FFFFFF"/>
            <w:tcMar>
              <w:top w:w="150" w:type="dxa"/>
              <w:left w:w="240" w:type="dxa"/>
              <w:bottom w:w="150" w:type="dxa"/>
              <w:right w:w="0" w:type="dxa"/>
            </w:tcMar>
            <w:vAlign w:val="center"/>
          </w:tcPr>
          <w:p w14:paraId="480A487F">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三级</w:t>
            </w:r>
          </w:p>
        </w:tc>
      </w:tr>
      <w:tr w14:paraId="554DA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c>
          <w:tcPr>
            <w:tcW w:w="590" w:type="dxa"/>
            <w:shd w:val="clear" w:color="auto" w:fill="FFFFFF"/>
            <w:tcMar>
              <w:top w:w="150" w:type="dxa"/>
              <w:left w:w="0" w:type="dxa"/>
              <w:bottom w:w="150" w:type="dxa"/>
              <w:right w:w="240" w:type="dxa"/>
            </w:tcMar>
            <w:vAlign w:val="center"/>
          </w:tcPr>
          <w:p w14:paraId="0B272D80">
            <w:pPr>
              <w:keepNext w:val="0"/>
              <w:keepLines w:val="0"/>
              <w:pageBreakBefore w:val="0"/>
              <w:widowControl/>
              <w:suppressLineNumbers w:val="0"/>
              <w:kinsoku/>
              <w:wordWrap/>
              <w:overflowPunct/>
              <w:topLinePunct w:val="0"/>
              <w:autoSpaceDE/>
              <w:autoSpaceDN/>
              <w:bidi w:val="0"/>
              <w:adjustRightInd/>
              <w:snapToGrid/>
              <w:spacing w:line="560" w:lineRule="exact"/>
              <w:jc w:val="right"/>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6</w:t>
            </w:r>
          </w:p>
        </w:tc>
        <w:tc>
          <w:tcPr>
            <w:tcW w:w="2180" w:type="dxa"/>
            <w:vMerge w:val="continue"/>
            <w:shd w:val="clear" w:color="auto" w:fill="FFFFFF"/>
            <w:tcMar>
              <w:top w:w="150" w:type="dxa"/>
              <w:left w:w="240" w:type="dxa"/>
              <w:bottom w:w="150" w:type="dxa"/>
              <w:right w:w="240" w:type="dxa"/>
            </w:tcMar>
            <w:vAlign w:val="center"/>
          </w:tcPr>
          <w:p w14:paraId="536DE8F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p>
        </w:tc>
        <w:tc>
          <w:tcPr>
            <w:tcW w:w="4840" w:type="dxa"/>
            <w:shd w:val="clear" w:color="auto" w:fill="FFFFFF"/>
            <w:tcMar>
              <w:top w:w="150" w:type="dxa"/>
              <w:left w:w="240" w:type="dxa"/>
              <w:bottom w:w="150" w:type="dxa"/>
              <w:right w:w="240" w:type="dxa"/>
            </w:tcMar>
            <w:vAlign w:val="center"/>
          </w:tcPr>
          <w:p w14:paraId="32418502">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陕西省总工会“12351”职工维权服务热线平台</w:t>
            </w:r>
          </w:p>
        </w:tc>
        <w:tc>
          <w:tcPr>
            <w:tcW w:w="1540" w:type="dxa"/>
            <w:shd w:val="clear" w:color="auto" w:fill="FFFFFF"/>
            <w:tcMar>
              <w:top w:w="150" w:type="dxa"/>
              <w:left w:w="240" w:type="dxa"/>
              <w:bottom w:w="150" w:type="dxa"/>
              <w:right w:w="0" w:type="dxa"/>
            </w:tcMar>
            <w:vAlign w:val="center"/>
          </w:tcPr>
          <w:p w14:paraId="1B32BE77">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aps w:val="0"/>
                <w:color w:val="0F1115"/>
                <w:spacing w:val="0"/>
                <w:sz w:val="21"/>
                <w:szCs w:val="21"/>
              </w:rPr>
            </w:pPr>
            <w:r>
              <w:rPr>
                <w:rFonts w:hint="eastAsia" w:ascii="仿宋" w:hAnsi="仿宋" w:eastAsia="仿宋" w:cs="仿宋"/>
                <w:i w:val="0"/>
                <w:iCs w:val="0"/>
                <w:caps w:val="0"/>
                <w:color w:val="0F1115"/>
                <w:spacing w:val="0"/>
                <w:kern w:val="0"/>
                <w:sz w:val="21"/>
                <w:szCs w:val="21"/>
                <w:lang w:val="en-US" w:eastAsia="zh-CN" w:bidi="ar"/>
              </w:rPr>
              <w:t>三级</w:t>
            </w:r>
          </w:p>
        </w:tc>
      </w:tr>
    </w:tbl>
    <w:p w14:paraId="69BDF03C">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left"/>
        <w:textAlignment w:val="auto"/>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二、项目目标</w:t>
      </w:r>
    </w:p>
    <w:p w14:paraId="151FED6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合规性评估：依照GB/T 39786-2021《信息系统密码应用基本要求》，全面核查密码算法、协议、密钥管理及产品的合规性、正确性与有效性。</w:t>
      </w:r>
    </w:p>
    <w:p w14:paraId="51B5177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风险排查与整改：发现密码应用中存在的安全隐患，提出整改建议，跟踪整改进度并完成复测，</w:t>
      </w:r>
      <w:r>
        <w:rPr>
          <w:rFonts w:hint="eastAsia" w:ascii="仿宋" w:hAnsi="仿宋" w:eastAsia="仿宋" w:cs="仿宋"/>
          <w:color w:val="auto"/>
          <w:sz w:val="21"/>
          <w:szCs w:val="21"/>
          <w:lang w:eastAsia="zh-CN"/>
        </w:rPr>
        <w:t>确保</w:t>
      </w:r>
      <w:r>
        <w:rPr>
          <w:rFonts w:hint="eastAsia" w:ascii="仿宋" w:hAnsi="仿宋" w:eastAsia="仿宋" w:cs="仿宋"/>
          <w:color w:val="auto"/>
          <w:sz w:val="21"/>
          <w:szCs w:val="21"/>
        </w:rPr>
        <w:t>达到安全防护要求。</w:t>
      </w:r>
    </w:p>
    <w:p w14:paraId="70379007">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满足监管要求：出具《密码应用方案评估报告》及《商用密码应用安全性评估报告》，协助在密码管理部门完成备案。</w:t>
      </w:r>
    </w:p>
    <w:p w14:paraId="0276229D">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提升防护能力：以评促建，帮助用户完善密钥管理及密码安全管理制度，优化应急响应机制。</w:t>
      </w:r>
    </w:p>
    <w:p w14:paraId="3841A033">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left"/>
        <w:textAlignment w:val="auto"/>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三、项目原则</w:t>
      </w:r>
    </w:p>
    <w:p w14:paraId="122661D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公平原则：严格遵循“客观公正、诚信守诺”的原则开展评估。</w:t>
      </w:r>
    </w:p>
    <w:p w14:paraId="351CF68E">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标准性原则：严格依据国家标准和行业标准执行，如有冲突按较高标准执行。</w:t>
      </w:r>
    </w:p>
    <w:p w14:paraId="3BA134DC">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优质服务原则：确保评估结论准确权威，报告符合国家密评备案及验收要求。</w:t>
      </w:r>
    </w:p>
    <w:p w14:paraId="02DD7E95">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保密原则：</w:t>
      </w:r>
      <w:r>
        <w:rPr>
          <w:rFonts w:hint="eastAsia" w:ascii="仿宋" w:hAnsi="仿宋" w:eastAsia="仿宋" w:cs="仿宋"/>
          <w:color w:val="auto"/>
          <w:sz w:val="21"/>
          <w:szCs w:val="21"/>
          <w:lang w:val="en-US" w:eastAsia="zh-CN"/>
        </w:rPr>
        <w:t>实施方</w:t>
      </w:r>
      <w:r>
        <w:rPr>
          <w:rFonts w:hint="eastAsia" w:ascii="仿宋" w:hAnsi="仿宋" w:eastAsia="仿宋" w:cs="仿宋"/>
          <w:color w:val="auto"/>
          <w:sz w:val="21"/>
          <w:szCs w:val="21"/>
        </w:rPr>
        <w:t>对测评中接触的系统架构、密钥配置及业务数据等严格保密。</w:t>
      </w:r>
    </w:p>
    <w:p w14:paraId="084C0DA4">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left"/>
        <w:textAlignment w:val="auto"/>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四、服务要求</w:t>
      </w:r>
    </w:p>
    <w:p w14:paraId="2BD60F78">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rPr>
        <w:t>测评服务要求：</w:t>
      </w:r>
      <w:r>
        <w:rPr>
          <w:rFonts w:hint="eastAsia" w:ascii="仿宋" w:hAnsi="仿宋" w:eastAsia="仿宋" w:cs="仿宋"/>
          <w:color w:val="auto"/>
          <w:sz w:val="21"/>
          <w:szCs w:val="21"/>
          <w:lang w:val="en-US" w:eastAsia="zh-CN"/>
        </w:rPr>
        <w:t>依</w:t>
      </w:r>
      <w:r>
        <w:rPr>
          <w:rFonts w:hint="eastAsia" w:ascii="仿宋" w:hAnsi="仿宋" w:eastAsia="仿宋" w:cs="仿宋"/>
          <w:color w:val="auto"/>
          <w:sz w:val="21"/>
          <w:szCs w:val="21"/>
        </w:rPr>
        <w:t>据GB/T39786-2021《信息安全技术信息系统密码应用基本要求》、GB/T43206-2023《信息安全技术信息系统密码应用测评要求》等密评标准和通过评估的密码应用方案对系统进行评估，采取材料审查、人员访谈、实地查看、配置检查、工具测评等评估方法对系统密码应用情况进行评估分析，核查系统技术应用、密钥管理、安全管理是否符合密评要求；对评估过程中发现的问题进行汇总确认，总结各项评估指标的评估结果，编制评估报告。</w:t>
      </w:r>
      <w:r>
        <w:rPr>
          <w:rFonts w:hint="eastAsia" w:ascii="仿宋" w:hAnsi="仿宋" w:eastAsia="仿宋" w:cs="仿宋"/>
          <w:color w:val="auto"/>
          <w:sz w:val="21"/>
          <w:szCs w:val="21"/>
          <w:highlight w:val="none"/>
          <w:lang w:val="en-US" w:eastAsia="zh-CN"/>
        </w:rPr>
        <w:t>密码应用测评须满足合规性、正确性、有效性。</w:t>
      </w:r>
    </w:p>
    <w:p w14:paraId="523FD3F1">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合规性，指信息系统中的密码算法、密码协议、密钥管理、密码产品和服务使用合规；使用符合国家密码法规和标准规定的商用密码算法，使用经检测认证合格的商用密码产品或服务。</w:t>
      </w:r>
    </w:p>
    <w:p w14:paraId="11787E7C">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正确性，指信息系统中的密码算法、密码协议、密钥管理、密码产品和服务使用正确。即釆用的密码算法、协议和密钥管理机制按照相应的密码国家和行业标准进行正确的设计和实现；密码保障系统建设或改造过程中密码产品和服务的部署和应用正确。</w:t>
      </w:r>
    </w:p>
    <w:p w14:paraId="00CFDDA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highlight w:val="none"/>
          <w:lang w:val="en-US" w:eastAsia="zh-CN"/>
        </w:rPr>
        <w:t>有效性，指信息系统釆用的密码协议、密钥管理系统、密码应用子系统和密码安全防护机制不仅设计合理，而且在系统运行过程中能够发挥密码效用，保障信息的机密性、完整性、真实性、抗抵赖性。</w:t>
      </w:r>
    </w:p>
    <w:p w14:paraId="18CEFEF7">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密码应用方案评估</w:t>
      </w:r>
      <w:r>
        <w:rPr>
          <w:rFonts w:hint="eastAsia" w:ascii="仿宋" w:hAnsi="仿宋" w:eastAsia="仿宋" w:cs="仿宋"/>
          <w:color w:val="auto"/>
          <w:kern w:val="2"/>
          <w:sz w:val="21"/>
          <w:szCs w:val="21"/>
          <w:lang w:val="en-US" w:eastAsia="zh-CN" w:bidi="ar-SA"/>
        </w:rPr>
        <w:t>：若用户的应用系统发生调整，重新编制了密码应用方案，对用户的密码应用方案进行评估审查，出具《密码应用方案评估报告》，确保方案设计的合规性与安全性。</w:t>
      </w:r>
    </w:p>
    <w:p w14:paraId="504ABE28">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整改咨询与跟踪：对各系统发现的问题进行汇总，出具《整改建议书》；协助用户完成整改，对高风险项进行复测，并完成</w:t>
      </w:r>
      <w:r>
        <w:rPr>
          <w:rFonts w:hint="eastAsia" w:ascii="仿宋" w:hAnsi="仿宋" w:eastAsia="仿宋" w:cs="仿宋"/>
          <w:color w:val="auto"/>
          <w:sz w:val="21"/>
          <w:szCs w:val="21"/>
          <w:lang w:eastAsia="zh-CN"/>
        </w:rPr>
        <w:t>在</w:t>
      </w:r>
      <w:r>
        <w:rPr>
          <w:rFonts w:hint="eastAsia" w:ascii="仿宋" w:hAnsi="仿宋" w:eastAsia="仿宋" w:cs="仿宋"/>
          <w:color w:val="auto"/>
          <w:sz w:val="21"/>
          <w:szCs w:val="21"/>
        </w:rPr>
        <w:t>密码管理部门</w:t>
      </w:r>
      <w:r>
        <w:rPr>
          <w:rFonts w:hint="eastAsia" w:ascii="仿宋" w:hAnsi="仿宋" w:eastAsia="仿宋" w:cs="仿宋"/>
          <w:color w:val="auto"/>
          <w:sz w:val="21"/>
          <w:szCs w:val="21"/>
          <w:lang w:eastAsia="zh-CN"/>
        </w:rPr>
        <w:t>的</w:t>
      </w:r>
      <w:r>
        <w:rPr>
          <w:rFonts w:hint="eastAsia" w:ascii="仿宋" w:hAnsi="仿宋" w:eastAsia="仿宋" w:cs="仿宋"/>
          <w:color w:val="auto"/>
          <w:sz w:val="21"/>
          <w:szCs w:val="21"/>
        </w:rPr>
        <w:t>备案。</w:t>
      </w:r>
    </w:p>
    <w:p w14:paraId="038B0DED">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应急响应及处置：合同期内提供密码安全应急保障。出现重大密码安全事件，工程师须在收到</w:t>
      </w:r>
      <w:r>
        <w:rPr>
          <w:rFonts w:hint="eastAsia" w:ascii="仿宋" w:hAnsi="仿宋" w:eastAsia="仿宋" w:cs="仿宋"/>
          <w:color w:val="auto"/>
          <w:sz w:val="21"/>
          <w:szCs w:val="21"/>
          <w:lang w:val="en-US" w:eastAsia="zh-CN"/>
        </w:rPr>
        <w:t>通知</w:t>
      </w:r>
      <w:r>
        <w:rPr>
          <w:rFonts w:hint="eastAsia" w:ascii="仿宋" w:hAnsi="仿宋" w:eastAsia="仿宋" w:cs="仿宋"/>
          <w:color w:val="auto"/>
          <w:sz w:val="21"/>
          <w:szCs w:val="21"/>
        </w:rPr>
        <w:t>后4小时内到达现场。</w:t>
      </w:r>
    </w:p>
    <w:p w14:paraId="1092B66D">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安全咨询服务：提供密码算法选择、密钥管理、密码设备部署及国家法规等咨询。</w:t>
      </w:r>
    </w:p>
    <w:p w14:paraId="2BA7A6D2">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人员及驻场要求：服务商须服从统一协调，配备专职项目经理及充足的技术团队。项目经理须通过国家密码管理局商用密码检测中心密评人员能力考核（成绩80分及以上），并具备PMP或信息系统项目管理师资质；项目组成员须具备密评从业人员考试合格证明及注册信息安全专业人员（CISP）证书。</w:t>
      </w:r>
    </w:p>
    <w:p w14:paraId="64946DFF">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成果交付与备案：交付《密码应用测评方案》、《密码应用测评记录》、《密码应用测评报告》及《整改建议》等文档（纸质3套、电子1套）；协助完成密码应用安全备案。</w:t>
      </w:r>
    </w:p>
    <w:p w14:paraId="5404B6B8">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20" w:leftChars="0" w:firstLine="400" w:firstLineChars="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协同合规服务：帮助用户完善密码应用安全管理制度与密钥管理规则，评审密码应急处置预案，验证整改落实的最终成效。</w:t>
      </w:r>
    </w:p>
    <w:p w14:paraId="7B8342E5">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60" w:lineRule="exact"/>
        <w:ind w:left="0" w:right="0" w:firstLine="0"/>
        <w:jc w:val="left"/>
        <w:textAlignment w:val="auto"/>
        <w:rPr>
          <w:rFonts w:hint="eastAsia" w:ascii="仿宋" w:hAnsi="仿宋" w:eastAsia="仿宋" w:cs="仿宋"/>
          <w:b/>
          <w:bCs/>
          <w:color w:val="auto"/>
          <w:kern w:val="2"/>
          <w:sz w:val="21"/>
          <w:szCs w:val="21"/>
          <w:lang w:val="en-US" w:eastAsia="zh-CN" w:bidi="ar-SA"/>
        </w:rPr>
      </w:pPr>
      <w:r>
        <w:rPr>
          <w:rFonts w:hint="eastAsia" w:ascii="仿宋" w:hAnsi="仿宋" w:eastAsia="仿宋" w:cs="仿宋"/>
          <w:b/>
          <w:bCs/>
          <w:color w:val="auto"/>
          <w:kern w:val="2"/>
          <w:sz w:val="21"/>
          <w:szCs w:val="21"/>
          <w:lang w:val="en-US" w:eastAsia="zh-CN" w:bidi="ar-SA"/>
        </w:rPr>
        <w:t>五、付款方式</w:t>
      </w:r>
    </w:p>
    <w:p w14:paraId="292DC375">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合同签订后10个工作日内，乙方向甲方出具合同总价款 5% 的银行保函（有效期至终验合格日）或支付 5% 的履约保证金；</w:t>
      </w:r>
    </w:p>
    <w:p w14:paraId="3AA49AE0">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乙方完成6个系统中任意2个系统的密评、出具评估报告后30日内，</w:t>
      </w:r>
      <w:r>
        <w:rPr>
          <w:rFonts w:hint="eastAsia" w:ascii="仿宋" w:hAnsi="仿宋" w:eastAsia="仿宋" w:cs="仿宋"/>
          <w:color w:val="auto"/>
          <w:sz w:val="21"/>
          <w:szCs w:val="21"/>
          <w:lang w:eastAsia="zh-CN"/>
        </w:rPr>
        <w:t>甲方向乙方</w:t>
      </w:r>
      <w:r>
        <w:rPr>
          <w:rFonts w:hint="eastAsia" w:ascii="仿宋" w:hAnsi="仿宋" w:eastAsia="仿宋" w:cs="仿宋"/>
          <w:color w:val="auto"/>
          <w:sz w:val="21"/>
          <w:szCs w:val="21"/>
        </w:rPr>
        <w:t xml:space="preserve">支付总额的 </w:t>
      </w:r>
      <w:r>
        <w:rPr>
          <w:rFonts w:hint="eastAsia" w:ascii="仿宋" w:hAnsi="仿宋" w:eastAsia="仿宋" w:cs="仿宋"/>
          <w:color w:val="auto"/>
          <w:sz w:val="21"/>
          <w:szCs w:val="21"/>
          <w:lang w:val="en-US" w:eastAsia="zh-CN"/>
        </w:rPr>
        <w:t>30</w:t>
      </w:r>
      <w:r>
        <w:rPr>
          <w:rFonts w:hint="eastAsia" w:ascii="仿宋" w:hAnsi="仿宋" w:eastAsia="仿宋" w:cs="仿宋"/>
          <w:color w:val="auto"/>
          <w:sz w:val="21"/>
          <w:szCs w:val="21"/>
        </w:rPr>
        <w:t>.00%；</w:t>
      </w:r>
    </w:p>
    <w:p w14:paraId="47A9E7CC">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乙方完成其余4个系统的密评、协助完成备案且项目验收合格后30日内，</w:t>
      </w:r>
      <w:r>
        <w:rPr>
          <w:rFonts w:hint="eastAsia" w:ascii="仿宋" w:hAnsi="仿宋" w:eastAsia="仿宋" w:cs="仿宋"/>
          <w:color w:val="auto"/>
          <w:sz w:val="21"/>
          <w:szCs w:val="21"/>
          <w:lang w:eastAsia="zh-CN"/>
        </w:rPr>
        <w:t>甲方向乙方</w:t>
      </w:r>
      <w:r>
        <w:rPr>
          <w:rFonts w:hint="eastAsia" w:ascii="仿宋" w:hAnsi="仿宋" w:eastAsia="仿宋" w:cs="仿宋"/>
          <w:color w:val="auto"/>
          <w:sz w:val="21"/>
          <w:szCs w:val="21"/>
        </w:rPr>
        <w:t xml:space="preserve">支付剩余 </w:t>
      </w:r>
      <w:r>
        <w:rPr>
          <w:rFonts w:hint="eastAsia" w:ascii="仿宋" w:hAnsi="仿宋" w:eastAsia="仿宋" w:cs="仿宋"/>
          <w:color w:val="auto"/>
          <w:sz w:val="21"/>
          <w:szCs w:val="21"/>
          <w:lang w:val="en-US" w:eastAsia="zh-CN"/>
        </w:rPr>
        <w:t>70</w:t>
      </w:r>
      <w:r>
        <w:rPr>
          <w:rFonts w:hint="eastAsia" w:ascii="仿宋" w:hAnsi="仿宋" w:eastAsia="仿宋" w:cs="仿宋"/>
          <w:color w:val="auto"/>
          <w:sz w:val="21"/>
          <w:szCs w:val="21"/>
        </w:rPr>
        <w:t>.00%；</w:t>
      </w:r>
    </w:p>
    <w:p w14:paraId="69AF200A">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付款前</w:t>
      </w:r>
      <w:r>
        <w:rPr>
          <w:rFonts w:hint="eastAsia" w:ascii="仿宋" w:hAnsi="仿宋" w:eastAsia="仿宋" w:cs="仿宋"/>
          <w:color w:val="auto"/>
          <w:sz w:val="21"/>
          <w:szCs w:val="21"/>
          <w:lang w:eastAsia="zh-CN"/>
        </w:rPr>
        <w:t>乙方</w:t>
      </w:r>
      <w:r>
        <w:rPr>
          <w:rFonts w:hint="eastAsia" w:ascii="仿宋" w:hAnsi="仿宋" w:eastAsia="仿宋" w:cs="仿宋"/>
          <w:color w:val="auto"/>
          <w:sz w:val="21"/>
          <w:szCs w:val="21"/>
        </w:rPr>
        <w:t>须提供等额增值税发票，服务期满</w:t>
      </w:r>
      <w:r>
        <w:rPr>
          <w:rFonts w:hint="eastAsia" w:ascii="仿宋" w:hAnsi="仿宋" w:eastAsia="仿宋" w:cs="仿宋"/>
          <w:color w:val="auto"/>
          <w:sz w:val="21"/>
          <w:szCs w:val="21"/>
          <w:lang w:eastAsia="zh-CN"/>
        </w:rPr>
        <w:t>后甲方须</w:t>
      </w:r>
      <w:r>
        <w:rPr>
          <w:rFonts w:hint="eastAsia" w:ascii="仿宋" w:hAnsi="仿宋" w:eastAsia="仿宋" w:cs="仿宋"/>
          <w:color w:val="auto"/>
          <w:sz w:val="21"/>
          <w:szCs w:val="21"/>
        </w:rPr>
        <w:t>无息退还保函或保证金。</w:t>
      </w:r>
    </w:p>
    <w:p w14:paraId="0CCC66FA">
      <w:pPr>
        <w:keepNext w:val="0"/>
        <w:keepLines w:val="0"/>
        <w:pageBreakBefore w:val="0"/>
        <w:widowControl w:val="0"/>
        <w:numPr>
          <w:ilvl w:val="0"/>
          <w:numId w:val="4"/>
        </w:numPr>
        <w:kinsoku/>
        <w:wordWrap/>
        <w:overflowPunct/>
        <w:topLinePunct w:val="0"/>
        <w:autoSpaceDE/>
        <w:autoSpaceDN/>
        <w:bidi w:val="0"/>
        <w:adjustRightInd/>
        <w:snapToGrid/>
        <w:spacing w:line="560" w:lineRule="exac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服务期</w:t>
      </w:r>
    </w:p>
    <w:p w14:paraId="318333AE">
      <w:pPr>
        <w:numPr>
          <w:ilvl w:val="0"/>
          <w:numId w:val="0"/>
        </w:numPr>
        <w:spacing w:line="560" w:lineRule="exact"/>
        <w:ind w:firstLine="422" w:firstLineChars="200"/>
        <w:rPr>
          <w:color w:val="000000" w:themeColor="text1"/>
          <w:highlight w:val="none"/>
          <w14:textFill>
            <w14:solidFill>
              <w14:schemeClr w14:val="tx1"/>
            </w14:solidFill>
          </w14:textFill>
        </w:rPr>
      </w:pPr>
      <w:r>
        <w:rPr>
          <w:rFonts w:hint="default" w:ascii="仿宋" w:hAnsi="仿宋" w:eastAsia="仿宋" w:cs="仿宋"/>
          <w:b/>
          <w:bCs/>
          <w:color w:val="auto"/>
          <w:szCs w:val="21"/>
          <w:highlight w:val="none"/>
        </w:rPr>
        <w:t>自合同签订之日起至乙方完成本合同约定的全部服务工作，且项目成果通过甲方最终验收合格之日</w:t>
      </w:r>
      <w:r>
        <w:rPr>
          <w:rFonts w:hint="eastAsia" w:ascii="仿宋" w:hAnsi="仿宋" w:eastAsia="仿宋" w:cs="仿宋"/>
          <w:b/>
          <w:bCs/>
          <w:color w:val="auto"/>
          <w:szCs w:val="21"/>
          <w:highlight w:val="none"/>
          <w:lang w:val="en-US" w:eastAsia="zh-CN"/>
        </w:rPr>
        <w:t>止。</w:t>
      </w:r>
    </w:p>
    <w:p w14:paraId="41752BE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4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10738A"/>
    <w:multiLevelType w:val="singleLevel"/>
    <w:tmpl w:val="1210738A"/>
    <w:lvl w:ilvl="0" w:tentative="0">
      <w:start w:val="1"/>
      <w:numFmt w:val="decimal"/>
      <w:suff w:val="nothing"/>
      <w:lvlText w:val="%1．"/>
      <w:lvlJc w:val="left"/>
      <w:pPr>
        <w:ind w:left="0" w:firstLine="400"/>
      </w:pPr>
      <w:rPr>
        <w:rFonts w:hint="default"/>
      </w:rPr>
    </w:lvl>
  </w:abstractNum>
  <w:abstractNum w:abstractNumId="1">
    <w:nsid w:val="26A1C98E"/>
    <w:multiLevelType w:val="singleLevel"/>
    <w:tmpl w:val="26A1C98E"/>
    <w:lvl w:ilvl="0" w:tentative="0">
      <w:start w:val="1"/>
      <w:numFmt w:val="decimal"/>
      <w:suff w:val="nothing"/>
      <w:lvlText w:val="%1．"/>
      <w:lvlJc w:val="left"/>
      <w:pPr>
        <w:ind w:left="20" w:firstLine="400"/>
      </w:pPr>
      <w:rPr>
        <w:rFonts w:hint="default"/>
      </w:rPr>
    </w:lvl>
  </w:abstractNum>
  <w:abstractNum w:abstractNumId="2">
    <w:nsid w:val="3C56CA6A"/>
    <w:multiLevelType w:val="singleLevel"/>
    <w:tmpl w:val="3C56CA6A"/>
    <w:lvl w:ilvl="0" w:tentative="0">
      <w:start w:val="1"/>
      <w:numFmt w:val="decimal"/>
      <w:suff w:val="nothing"/>
      <w:lvlText w:val="%1．"/>
      <w:lvlJc w:val="left"/>
      <w:pPr>
        <w:ind w:left="0" w:firstLine="400"/>
      </w:pPr>
      <w:rPr>
        <w:rFonts w:hint="default"/>
      </w:rPr>
    </w:lvl>
  </w:abstractNum>
  <w:abstractNum w:abstractNumId="3">
    <w:nsid w:val="7106AE38"/>
    <w:multiLevelType w:val="singleLevel"/>
    <w:tmpl w:val="7106AE38"/>
    <w:lvl w:ilvl="0" w:tentative="0">
      <w:start w:val="6"/>
      <w:numFmt w:val="chineseCounting"/>
      <w:suff w:val="nothing"/>
      <w:lvlText w:val="%1、"/>
      <w:lvlJc w:val="left"/>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ZmY1ODQzYmU0MjFhYjU4YTRmN2U3NGFiNmY1YWQifQ=="/>
  </w:docVars>
  <w:rsids>
    <w:rsidRoot w:val="00000000"/>
    <w:rsid w:val="359D7F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2"/>
    <w:basedOn w:val="1"/>
    <w:next w:val="1"/>
    <w:qFormat/>
    <w:uiPriority w:val="99"/>
    <w:pPr>
      <w:spacing w:before="260" w:after="260" w:line="416" w:lineRule="atLeast"/>
      <w:outlineLvl w:val="1"/>
    </w:pPr>
    <w:rPr>
      <w:rFonts w:ascii="Cambria" w:hAnsi="Cambria"/>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2026-09-16T08:53:56Z</dcterms:created>
  <dc:creator>Administrator</dc:creator>
  <cp:lastModifiedBy>想想怎么做饭</cp:lastModifiedBy>
  <dcterms:modified xsi:type="dcterms:W3CDTF">2026-09-16T08:56:11Z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BCCECEC907FF436C8885C443C02C023D_12</vt:lpwstr>
  </property>
</Properties>
</file>