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117265C">
      <w:pPr>
        <w:pStyle w:val="9"/>
        <w:keepNext w:val="0"/>
        <w:keepLines w:val="0"/>
        <w:pageBreakBefore w:val="0"/>
        <w:widowControl w:val="0"/>
        <w:kinsoku/>
        <w:wordWrap/>
        <w:overflowPunct/>
        <w:topLinePunct w:val="0"/>
        <w:autoSpaceDE/>
        <w:autoSpaceDN/>
        <w:bidi w:val="0"/>
        <w:adjustRightInd/>
        <w:snapToGrid/>
        <w:spacing w:after="100" w:line="360" w:lineRule="auto"/>
        <w:ind w:firstLine="0"/>
        <w:jc w:val="center"/>
        <w:textAlignment w:val="auto"/>
        <w:rPr>
          <w:rFonts w:hint="default" w:ascii="宋体" w:hAnsi="宋体" w:eastAsia="宋体" w:cs="宋体"/>
          <w:b/>
          <w:bCs/>
          <w:sz w:val="36"/>
          <w:szCs w:val="36"/>
          <w:lang w:val="en-US" w:eastAsia="zh-CN"/>
        </w:rPr>
      </w:pPr>
      <w:r>
        <w:rPr>
          <w:rFonts w:hint="eastAsia" w:eastAsia="宋体" w:cs="宋体"/>
          <w:b/>
          <w:bCs/>
          <w:sz w:val="36"/>
          <w:szCs w:val="36"/>
          <w:lang w:val="en-US" w:eastAsia="zh-CN"/>
        </w:rPr>
        <w:t>采购需求</w:t>
      </w:r>
    </w:p>
    <w:p w14:paraId="01AAA18D">
      <w:pPr>
        <w:pStyle w:val="9"/>
        <w:keepNext w:val="0"/>
        <w:keepLines w:val="0"/>
        <w:pageBreakBefore w:val="0"/>
        <w:widowControl w:val="0"/>
        <w:kinsoku/>
        <w:wordWrap/>
        <w:overflowPunct/>
        <w:topLinePunct w:val="0"/>
        <w:autoSpaceDE/>
        <w:autoSpaceDN/>
        <w:bidi w:val="0"/>
        <w:adjustRightInd/>
        <w:snapToGrid/>
        <w:spacing w:after="100" w:line="360" w:lineRule="auto"/>
        <w:ind w:firstLine="0"/>
        <w:textAlignment w:val="auto"/>
        <w:rPr>
          <w:rFonts w:hint="eastAsia" w:ascii="宋体" w:hAnsi="宋体" w:eastAsia="宋体" w:cs="宋体"/>
          <w:b/>
          <w:bCs/>
          <w:sz w:val="21"/>
          <w:szCs w:val="21"/>
        </w:rPr>
      </w:pPr>
      <w:r>
        <w:rPr>
          <w:rFonts w:hint="eastAsia" w:ascii="宋体" w:hAnsi="宋体" w:eastAsia="宋体" w:cs="宋体"/>
          <w:b/>
          <w:bCs/>
          <w:sz w:val="21"/>
          <w:szCs w:val="21"/>
        </w:rPr>
        <w:t>一、项目概况</w:t>
      </w:r>
    </w:p>
    <w:p w14:paraId="373089B2">
      <w:pPr>
        <w:pStyle w:val="4"/>
        <w:widowControl w:val="0"/>
        <w:spacing w:line="360" w:lineRule="auto"/>
        <w:ind w:left="0" w:leftChars="0" w:firstLine="420" w:firstLineChars="200"/>
        <w:rPr>
          <w:rFonts w:hint="eastAsia" w:ascii="宋体" w:hAnsi="宋体" w:eastAsia="宋体" w:cs="宋体"/>
          <w:b/>
          <w:bCs/>
          <w:color w:val="000000"/>
          <w:sz w:val="21"/>
          <w:szCs w:val="21"/>
          <w:lang w:val="en-US" w:eastAsia="zh-CN" w:bidi="zh-TW"/>
        </w:rPr>
      </w:pPr>
      <w:r>
        <w:rPr>
          <w:rFonts w:hint="eastAsia" w:ascii="宋体" w:hAnsi="宋体" w:eastAsia="宋体" w:cs="宋体"/>
          <w:color w:val="auto"/>
          <w:sz w:val="21"/>
          <w:szCs w:val="21"/>
        </w:rPr>
        <w:t>西安市碑林区长乐坊社区卫生服务中心2026年东院区房屋租赁</w:t>
      </w:r>
      <w:r>
        <w:rPr>
          <w:rFonts w:hint="eastAsia" w:ascii="宋体" w:hAnsi="宋体" w:eastAsia="宋体" w:cs="宋体"/>
          <w:color w:val="auto"/>
          <w:sz w:val="21"/>
          <w:szCs w:val="21"/>
          <w:lang w:val="en-US" w:eastAsia="zh-CN"/>
        </w:rPr>
        <w:t>项目，该房屋坐落于陕西省城乡规划设计研究院内(</w:t>
      </w:r>
      <w:r>
        <w:rPr>
          <w:rFonts w:hint="eastAsia" w:ascii="宋体" w:hAnsi="宋体" w:eastAsia="宋体" w:cs="宋体"/>
          <w:color w:val="auto"/>
          <w:sz w:val="21"/>
          <w:szCs w:val="21"/>
          <w:lang w:eastAsia="zh-CN"/>
        </w:rPr>
        <w:t>西安市碑林区金花北路8号</w:t>
      </w:r>
      <w:r>
        <w:rPr>
          <w:rFonts w:hint="eastAsia" w:ascii="宋体" w:hAnsi="宋体" w:eastAsia="宋体" w:cs="宋体"/>
          <w:color w:val="auto"/>
          <w:sz w:val="21"/>
          <w:szCs w:val="21"/>
          <w:lang w:val="en-US" w:eastAsia="zh-CN"/>
        </w:rPr>
        <w:t>)，租赁该房屋建筑沿街一层和院内1-3层,建筑面积1683平方米。该房屋租赁用于基本公共卫生服务、基本医疗及行政后勤办公使用</w:t>
      </w:r>
      <w:r>
        <w:rPr>
          <w:rFonts w:hint="eastAsia" w:ascii="宋体" w:hAnsi="宋体" w:eastAsia="宋体" w:cs="宋体"/>
          <w:color w:val="auto"/>
          <w:sz w:val="21"/>
          <w:szCs w:val="21"/>
          <w:lang w:eastAsia="zh-CN"/>
        </w:rPr>
        <w:t>。</w:t>
      </w:r>
    </w:p>
    <w:p w14:paraId="639C05F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sz w:val="21"/>
          <w:szCs w:val="21"/>
          <w:lang w:val="en-US" w:eastAsia="zh-CN" w:bidi="zh-TW"/>
        </w:rPr>
      </w:pPr>
      <w:r>
        <w:rPr>
          <w:rFonts w:hint="eastAsia" w:ascii="宋体" w:hAnsi="宋体" w:eastAsia="宋体" w:cs="宋体"/>
          <w:b/>
          <w:bCs/>
          <w:color w:val="000000"/>
          <w:sz w:val="21"/>
          <w:szCs w:val="21"/>
          <w:lang w:val="en-US" w:eastAsia="zh-CN" w:bidi="zh-TW"/>
        </w:rPr>
        <w:t>二、技术条款（服务内容：包括工作区域、工作内容等）</w:t>
      </w:r>
    </w:p>
    <w:p w14:paraId="6B3AF97A">
      <w:pPr>
        <w:pStyle w:val="10"/>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1.供应商负责房屋主体结构与框架的维修，不包含采购人装修部分。</w:t>
      </w:r>
    </w:p>
    <w:p w14:paraId="05A2A940">
      <w:pPr>
        <w:pStyle w:val="10"/>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2.供应商负责协调租赁房屋周边相关事宜，</w:t>
      </w:r>
      <w:r>
        <w:rPr>
          <w:rFonts w:hint="eastAsia" w:ascii="宋体" w:hAnsi="宋体" w:eastAsia="宋体" w:cs="宋体"/>
          <w:spacing w:val="6"/>
          <w:kern w:val="60"/>
          <w:sz w:val="21"/>
          <w:szCs w:val="21"/>
          <w:lang w:val="en-US" w:eastAsia="zh-CN"/>
        </w:rPr>
        <w:t>供应商</w:t>
      </w:r>
      <w:r>
        <w:rPr>
          <w:rFonts w:hint="eastAsia" w:ascii="宋体" w:hAnsi="宋体" w:eastAsia="宋体" w:cs="宋体"/>
          <w:spacing w:val="6"/>
          <w:kern w:val="60"/>
          <w:sz w:val="21"/>
          <w:szCs w:val="21"/>
        </w:rPr>
        <w:t>保证</w:t>
      </w:r>
      <w:r>
        <w:rPr>
          <w:rFonts w:hint="eastAsia" w:ascii="宋体" w:hAnsi="宋体" w:eastAsia="宋体" w:cs="宋体"/>
          <w:spacing w:val="6"/>
          <w:kern w:val="60"/>
          <w:sz w:val="21"/>
          <w:szCs w:val="21"/>
          <w:lang w:val="en-US" w:eastAsia="zh-CN"/>
        </w:rPr>
        <w:t>采购人</w:t>
      </w:r>
      <w:r>
        <w:rPr>
          <w:rFonts w:hint="eastAsia" w:ascii="宋体" w:hAnsi="宋体" w:eastAsia="宋体" w:cs="宋体"/>
          <w:spacing w:val="6"/>
          <w:kern w:val="60"/>
          <w:sz w:val="21"/>
          <w:szCs w:val="21"/>
        </w:rPr>
        <w:t>及服务对象人员、车辆的正常通行</w:t>
      </w:r>
      <w:r>
        <w:rPr>
          <w:rFonts w:hint="eastAsia" w:ascii="宋体" w:hAnsi="宋体" w:eastAsia="宋体" w:cs="宋体"/>
          <w:spacing w:val="6"/>
          <w:kern w:val="60"/>
          <w:sz w:val="21"/>
          <w:szCs w:val="21"/>
          <w:lang w:eastAsia="zh-CN"/>
        </w:rPr>
        <w:t>。</w:t>
      </w:r>
    </w:p>
    <w:p w14:paraId="11E5CAEA">
      <w:pPr>
        <w:pStyle w:val="10"/>
        <w:widowControl w:val="0"/>
        <w:spacing w:line="360" w:lineRule="auto"/>
        <w:ind w:firstLine="420" w:firstLineChars="200"/>
        <w:jc w:val="both"/>
        <w:rPr>
          <w:rFonts w:hint="eastAsia" w:ascii="宋体" w:hAnsi="宋体" w:eastAsia="宋体" w:cs="宋体"/>
          <w:color w:val="auto"/>
          <w:kern w:val="0"/>
          <w:sz w:val="21"/>
          <w:szCs w:val="21"/>
          <w:lang w:val="en-US" w:eastAsia="zh-CN" w:bidi="zh-TW"/>
        </w:rPr>
      </w:pPr>
      <w:r>
        <w:rPr>
          <w:rFonts w:hint="eastAsia" w:ascii="宋体" w:hAnsi="宋体" w:eastAsia="宋体" w:cs="宋体"/>
          <w:color w:val="auto"/>
          <w:kern w:val="0"/>
          <w:sz w:val="21"/>
          <w:szCs w:val="21"/>
          <w:lang w:val="en-US" w:eastAsia="zh-CN" w:bidi="zh-TW"/>
        </w:rPr>
        <w:t>3.供应商提供的办公场所无产权纠纷，办公场所面积应满足所需面积。</w:t>
      </w:r>
    </w:p>
    <w:p w14:paraId="4C3EBB39">
      <w:pPr>
        <w:pStyle w:val="10"/>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lang w:val="en-US" w:eastAsia="zh-CN" w:bidi="zh-TW"/>
        </w:rPr>
        <w:t>4.供应商需按房屋设计将水、照明用电、消防、烟感报警等设施安装到位；供水、供电、供气等基础设施配套齐全；保证日常及节假日的供电、供水、排污、排水及卫生设施处于适用状态，</w:t>
      </w:r>
      <w:r>
        <w:rPr>
          <w:rFonts w:hint="eastAsia" w:ascii="宋体" w:hAnsi="宋体" w:eastAsia="宋体" w:cs="宋体"/>
          <w:color w:val="auto"/>
          <w:kern w:val="0"/>
          <w:sz w:val="21"/>
          <w:szCs w:val="21"/>
          <w:highlight w:val="none"/>
          <w:lang w:val="en-US" w:eastAsia="zh-CN" w:bidi="zh-TW"/>
        </w:rPr>
        <w:t>满足采购人日常办公需求。</w:t>
      </w:r>
    </w:p>
    <w:p w14:paraId="3EDB322B">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5</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提供标准用水、用电，按规范提供生活垃圾处理（甲方需承担相应的垃圾清运费用）等物业服务。</w:t>
      </w:r>
      <w:r>
        <w:rPr>
          <w:rFonts w:hint="eastAsia" w:ascii="宋体" w:hAnsi="宋体" w:eastAsia="宋体" w:cs="宋体"/>
          <w:color w:val="auto"/>
          <w:kern w:val="0"/>
          <w:sz w:val="21"/>
          <w:szCs w:val="21"/>
          <w:highlight w:val="none"/>
          <w:lang w:val="en-US" w:eastAsia="zh-CN" w:bidi="zh-TW"/>
        </w:rPr>
        <w:t>租赁期间供应商应对出租房屋内部（涉及物业公司应管理的事项及应属供应商负责的）外部有关设施进行定期检查，出现问题及时维修，保证租赁期内上下水、照明线路</w:t>
      </w:r>
      <w:bookmarkStart w:id="0" w:name="_GoBack"/>
      <w:bookmarkEnd w:id="0"/>
      <w:r>
        <w:rPr>
          <w:rFonts w:hint="eastAsia" w:ascii="宋体" w:hAnsi="宋体" w:eastAsia="宋体" w:cs="宋体"/>
          <w:color w:val="auto"/>
          <w:kern w:val="0"/>
          <w:sz w:val="21"/>
          <w:szCs w:val="21"/>
          <w:highlight w:val="none"/>
          <w:lang w:val="en-US" w:eastAsia="zh-CN" w:bidi="zh-TW"/>
        </w:rPr>
        <w:t>等各类设施的正常使用。</w:t>
      </w:r>
    </w:p>
    <w:p w14:paraId="12BC2F48">
      <w:pPr>
        <w:pStyle w:val="10"/>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6.房屋在出租前，符合国家关于建筑、治安、室内空气质量等安全规定和标准。</w:t>
      </w:r>
    </w:p>
    <w:p w14:paraId="779DC73A">
      <w:pPr>
        <w:pStyle w:val="10"/>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7.房屋及其附属设施在交付采购人时处于正常、安全可使用状态。</w:t>
      </w:r>
    </w:p>
    <w:p w14:paraId="311FF896">
      <w:pPr>
        <w:pStyle w:val="10"/>
        <w:widowControl w:val="0"/>
        <w:spacing w:line="360" w:lineRule="auto"/>
        <w:ind w:firstLine="420" w:firstLineChars="200"/>
        <w:jc w:val="both"/>
        <w:rPr>
          <w:rFonts w:hint="eastAsia" w:ascii="宋体" w:hAnsi="宋体" w:eastAsia="宋体" w:cs="宋体"/>
          <w:color w:val="auto"/>
          <w:kern w:val="0"/>
          <w:sz w:val="21"/>
          <w:szCs w:val="21"/>
          <w:highlight w:val="none"/>
          <w:lang w:val="en-US" w:eastAsia="zh-CN" w:bidi="zh-TW"/>
        </w:rPr>
      </w:pPr>
      <w:r>
        <w:rPr>
          <w:rFonts w:hint="eastAsia" w:ascii="宋体" w:hAnsi="宋体" w:eastAsia="宋体" w:cs="宋体"/>
          <w:color w:val="auto"/>
          <w:kern w:val="0"/>
          <w:sz w:val="21"/>
          <w:szCs w:val="21"/>
          <w:highlight w:val="none"/>
          <w:lang w:val="en-US" w:eastAsia="zh-CN" w:bidi="zh-TW"/>
        </w:rPr>
        <w:t>8.供应商负责出租房屋正常使用时的主体结构和出租房屋以外的用电线路等各类设施的维修保养。</w:t>
      </w:r>
    </w:p>
    <w:p w14:paraId="314DB22B">
      <w:pPr>
        <w:pStyle w:val="5"/>
        <w:keepNext w:val="0"/>
        <w:keepLines w:val="0"/>
        <w:pageBreakBefore w:val="0"/>
        <w:widowControl/>
        <w:wordWrap/>
        <w:overflowPunct/>
        <w:topLinePunct w:val="0"/>
        <w:bidi w:val="0"/>
        <w:adjustRightInd w:val="0"/>
        <w:snapToGrid w:val="0"/>
        <w:spacing w:after="0" w:line="360" w:lineRule="auto"/>
        <w:ind w:firstLineChars="200"/>
        <w:textAlignment w:val="baseline"/>
        <w:rPr>
          <w:rFonts w:hint="eastAsia" w:ascii="宋体" w:hAnsi="宋体" w:eastAsia="宋体" w:cs="宋体"/>
          <w:color w:val="000000" w:themeColor="text1"/>
          <w:sz w:val="21"/>
          <w:szCs w:val="21"/>
          <w:highlight w:val="none"/>
          <w14:textFill>
            <w14:solidFill>
              <w14:schemeClr w14:val="tx1"/>
            </w14:solidFill>
          </w14:textFill>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9</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spacing w:val="6"/>
          <w:kern w:val="60"/>
          <w:sz w:val="21"/>
          <w:szCs w:val="21"/>
          <w:highlight w:val="none"/>
        </w:rPr>
        <w:t>租赁期内如遇房屋拆迁，</w:t>
      </w:r>
      <w:r>
        <w:rPr>
          <w:rFonts w:hint="eastAsia" w:ascii="宋体" w:hAnsi="宋体" w:eastAsia="宋体" w:cs="宋体"/>
          <w:spacing w:val="6"/>
          <w:kern w:val="60"/>
          <w:sz w:val="21"/>
          <w:szCs w:val="21"/>
          <w:highlight w:val="none"/>
          <w:lang w:val="en-US" w:eastAsia="zh-CN"/>
        </w:rPr>
        <w:t>供应商应</w:t>
      </w:r>
      <w:r>
        <w:rPr>
          <w:rFonts w:hint="eastAsia" w:ascii="宋体" w:hAnsi="宋体" w:eastAsia="宋体" w:cs="宋体"/>
          <w:spacing w:val="6"/>
          <w:kern w:val="60"/>
          <w:sz w:val="21"/>
          <w:szCs w:val="21"/>
          <w:highlight w:val="none"/>
        </w:rPr>
        <w:t>提前三个月通知</w:t>
      </w:r>
      <w:r>
        <w:rPr>
          <w:rFonts w:hint="eastAsia" w:ascii="宋体" w:hAnsi="宋体" w:eastAsia="宋体" w:cs="宋体"/>
          <w:spacing w:val="6"/>
          <w:kern w:val="60"/>
          <w:sz w:val="21"/>
          <w:szCs w:val="21"/>
          <w:highlight w:val="none"/>
          <w:lang w:val="en-US" w:eastAsia="zh-CN"/>
        </w:rPr>
        <w:t>采购人</w:t>
      </w:r>
      <w:r>
        <w:rPr>
          <w:rFonts w:hint="eastAsia" w:ascii="宋体" w:hAnsi="宋体" w:eastAsia="宋体" w:cs="宋体"/>
          <w:color w:val="000000" w:themeColor="text1"/>
          <w:sz w:val="21"/>
          <w:szCs w:val="21"/>
          <w:highlight w:val="none"/>
          <w14:textFill>
            <w14:solidFill>
              <w14:schemeClr w14:val="tx1"/>
            </w14:solidFill>
          </w14:textFill>
        </w:rPr>
        <w:t>。</w:t>
      </w:r>
    </w:p>
    <w:p w14:paraId="0DFC3C64">
      <w:pPr>
        <w:keepNext w:val="0"/>
        <w:keepLines w:val="0"/>
        <w:pageBreakBefore w:val="0"/>
        <w:widowControl/>
        <w:wordWrap/>
        <w:overflowPunct/>
        <w:topLinePunct w:val="0"/>
        <w:bidi w:val="0"/>
        <w:adjustRightInd w:val="0"/>
        <w:snapToGrid w:val="0"/>
        <w:spacing w:line="360" w:lineRule="auto"/>
        <w:ind w:firstLine="420"/>
        <w:textAlignment w:val="baseline"/>
        <w:rPr>
          <w:rFonts w:hint="eastAsia" w:ascii="宋体" w:hAnsi="宋体" w:eastAsia="宋体" w:cs="宋体"/>
          <w:lang w:val="en-US" w:eastAsia="zh-CN"/>
        </w:rPr>
      </w:pPr>
      <w:r>
        <w:rPr>
          <w:rFonts w:hint="eastAsia" w:ascii="宋体" w:hAnsi="宋体" w:eastAsia="宋体" w:cs="宋体"/>
          <w:color w:val="000000" w:themeColor="text1"/>
          <w:sz w:val="21"/>
          <w:szCs w:val="21"/>
          <w:highlight w:val="none"/>
          <w:lang w:val="en-US" w:eastAsia="zh-CN"/>
          <w14:textFill>
            <w14:solidFill>
              <w14:schemeClr w14:val="tx1"/>
            </w14:solidFill>
          </w14:textFill>
        </w:rPr>
        <w:t>10</w:t>
      </w:r>
      <w:r>
        <w:rPr>
          <w:rFonts w:hint="eastAsia" w:ascii="宋体" w:hAnsi="宋体" w:eastAsia="宋体" w:cs="宋体"/>
          <w:color w:val="000000" w:themeColor="text1"/>
          <w:sz w:val="21"/>
          <w:szCs w:val="21"/>
          <w:highlight w:val="none"/>
          <w:lang w:eastAsia="zh-CN"/>
          <w14:textFill>
            <w14:solidFill>
              <w14:schemeClr w14:val="tx1"/>
            </w14:solidFill>
          </w14:textFill>
        </w:rPr>
        <w:t>.</w:t>
      </w:r>
      <w:r>
        <w:rPr>
          <w:rFonts w:hint="eastAsia" w:ascii="宋体" w:hAnsi="宋体" w:eastAsia="宋体" w:cs="宋体"/>
          <w:color w:val="000000" w:themeColor="text1"/>
          <w:sz w:val="21"/>
          <w:szCs w:val="21"/>
          <w:highlight w:val="none"/>
          <w14:textFill>
            <w14:solidFill>
              <w14:schemeClr w14:val="tx1"/>
            </w14:solidFill>
          </w14:textFill>
        </w:rPr>
        <w:t>接受项目行业管理部门及政府有关部门的指导，接受</w:t>
      </w:r>
      <w:r>
        <w:rPr>
          <w:rFonts w:hint="eastAsia" w:ascii="宋体" w:hAnsi="宋体" w:eastAsia="宋体" w:cs="宋体"/>
          <w:color w:val="000000" w:themeColor="text1"/>
          <w:sz w:val="21"/>
          <w:szCs w:val="21"/>
          <w:highlight w:val="none"/>
          <w:lang w:val="en-US" w:eastAsia="zh-CN"/>
          <w14:textFill>
            <w14:solidFill>
              <w14:schemeClr w14:val="tx1"/>
            </w14:solidFill>
          </w14:textFill>
        </w:rPr>
        <w:t>采购人</w:t>
      </w:r>
      <w:r>
        <w:rPr>
          <w:rFonts w:hint="eastAsia" w:ascii="宋体" w:hAnsi="宋体" w:eastAsia="宋体" w:cs="宋体"/>
          <w:color w:val="000000" w:themeColor="text1"/>
          <w:sz w:val="21"/>
          <w:szCs w:val="21"/>
          <w:highlight w:val="none"/>
          <w14:textFill>
            <w14:solidFill>
              <w14:schemeClr w14:val="tx1"/>
            </w14:solidFill>
          </w14:textFill>
        </w:rPr>
        <w:t>监督。</w:t>
      </w:r>
    </w:p>
    <w:p w14:paraId="7D03B58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b/>
          <w:bCs/>
          <w:color w:val="000000" w:themeColor="text1"/>
          <w:sz w:val="21"/>
          <w:szCs w:val="21"/>
          <w:lang w:val="en-US" w:bidi="zh-TW"/>
          <w14:textFill>
            <w14:solidFill>
              <w14:schemeClr w14:val="tx1"/>
            </w14:solidFill>
          </w14:textFill>
        </w:rPr>
      </w:pPr>
      <w:r>
        <w:rPr>
          <w:rFonts w:hint="eastAsia" w:ascii="宋体" w:hAnsi="宋体" w:eastAsia="宋体" w:cs="宋体"/>
          <w:b/>
          <w:bCs/>
          <w:color w:val="000000"/>
          <w:sz w:val="21"/>
          <w:szCs w:val="21"/>
          <w:lang w:val="en-US" w:eastAsia="zh-CN" w:bidi="zh-TW"/>
        </w:rPr>
        <w:t>三</w:t>
      </w:r>
      <w:r>
        <w:rPr>
          <w:rFonts w:hint="eastAsia" w:ascii="宋体" w:hAnsi="宋体" w:eastAsia="宋体" w:cs="宋体"/>
          <w:b/>
          <w:bCs/>
          <w:color w:val="000000" w:themeColor="text1"/>
          <w:sz w:val="21"/>
          <w:szCs w:val="21"/>
          <w:lang w:bidi="zh-TW"/>
          <w14:textFill>
            <w14:solidFill>
              <w14:schemeClr w14:val="tx1"/>
            </w14:solidFill>
          </w14:textFill>
        </w:rPr>
        <w:t>、</w:t>
      </w:r>
      <w:r>
        <w:rPr>
          <w:rFonts w:hint="eastAsia" w:ascii="宋体" w:hAnsi="宋体" w:eastAsia="宋体" w:cs="宋体"/>
          <w:b/>
          <w:bCs/>
          <w:color w:val="000000" w:themeColor="text1"/>
          <w:sz w:val="21"/>
          <w:szCs w:val="21"/>
          <w:lang w:val="en-US" w:eastAsia="zh-CN" w:bidi="zh-TW"/>
          <w14:textFill>
            <w14:solidFill>
              <w14:schemeClr w14:val="tx1"/>
            </w14:solidFill>
          </w14:textFill>
        </w:rPr>
        <w:t>商务条款</w:t>
      </w:r>
    </w:p>
    <w:p w14:paraId="63F33CA3">
      <w:pPr>
        <w:keepNext w:val="0"/>
        <w:keepLines w:val="0"/>
        <w:pageBreakBefore w:val="0"/>
        <w:wordWrap/>
        <w:overflowPunct/>
        <w:topLinePunct w:val="0"/>
        <w:bidi w:val="0"/>
        <w:spacing w:line="360" w:lineRule="auto"/>
        <w:ind w:firstLine="420" w:firstLineChars="200"/>
      </w:pPr>
      <w:r>
        <w:rPr>
          <w:rFonts w:hint="eastAsia" w:ascii="宋体" w:hAnsi="宋体" w:eastAsia="宋体" w:cs="宋体"/>
          <w:color w:val="000000" w:themeColor="text1"/>
          <w:spacing w:val="0"/>
          <w:sz w:val="21"/>
          <w:szCs w:val="21"/>
          <w:lang w:val="en-US" w:eastAsia="zh-CN"/>
          <w14:textFill>
            <w14:solidFill>
              <w14:schemeClr w14:val="tx1"/>
            </w14:solidFill>
          </w14:textFill>
        </w:rPr>
        <w:t>本项目预算年限为1年，招标期限为2年，</w:t>
      </w:r>
      <w:r>
        <w:rPr>
          <w:rFonts w:hint="eastAsia" w:ascii="宋体" w:hAnsi="宋体" w:eastAsia="宋体" w:cs="宋体"/>
          <w:color w:val="000000" w:themeColor="text1"/>
          <w:sz w:val="21"/>
          <w:szCs w:val="21"/>
          <w:lang w:val="en-US" w:eastAsia="zh-CN" w:bidi="zh-TW"/>
          <w14:textFill>
            <w14:solidFill>
              <w14:schemeClr w14:val="tx1"/>
            </w14:solidFill>
          </w14:textFill>
        </w:rPr>
        <w:t>服务期限满1年后，经采购人确认，供应商的服务内容和质量符合要求，且双方无异议，可自动续签下一年合同，合同约定的内容不变，如供应商的服务内容或服务质量不符合采购人要求且整改之后仍不符合采购人要求，采购人有权终止合同。</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A1"/>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0000000000000000000"/>
    <w:charset w:val="00"/>
    <w:family w:val="auto"/>
    <w:pitch w:val="default"/>
    <w:sig w:usb0="00000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75131C8"/>
    <w:rsid w:val="69FA7834"/>
    <w:rsid w:val="7E446B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insoku w:val="0"/>
      <w:autoSpaceDE w:val="0"/>
      <w:autoSpaceDN w:val="0"/>
      <w:adjustRightInd w:val="0"/>
      <w:snapToGrid w:val="0"/>
      <w:spacing w:line="240" w:lineRule="auto"/>
      <w:jc w:val="left"/>
      <w:textAlignment w:val="baseline"/>
    </w:pPr>
    <w:rPr>
      <w:rFonts w:ascii="Arial" w:hAnsi="Arial" w:eastAsia="Arial" w:cs="Arial"/>
      <w:snapToGrid w:val="0"/>
      <w:color w:val="000000"/>
      <w:kern w:val="0"/>
      <w:sz w:val="21"/>
      <w:szCs w:val="21"/>
      <w:lang w:val="en-US" w:eastAsia="en-US" w:bidi="ar-SA"/>
    </w:rPr>
  </w:style>
  <w:style w:type="character" w:default="1" w:styleId="8">
    <w:name w:val="Default Paragraph Font"/>
    <w:semiHidden/>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3"/>
    <w:semiHidden/>
    <w:qFormat/>
    <w:uiPriority w:val="0"/>
    <w:rPr>
      <w:rFonts w:ascii="Arial" w:hAnsi="Arial" w:eastAsia="Arial" w:cs="Arial"/>
      <w:sz w:val="21"/>
      <w:szCs w:val="21"/>
      <w:lang w:val="en-US" w:eastAsia="en-US" w:bidi="ar-SA"/>
    </w:rPr>
  </w:style>
  <w:style w:type="paragraph" w:customStyle="1" w:styleId="3">
    <w:name w:val="Body Text 21"/>
    <w:basedOn w:val="1"/>
    <w:qFormat/>
    <w:uiPriority w:val="0"/>
    <w:pPr>
      <w:spacing w:after="120" w:line="480" w:lineRule="auto"/>
    </w:pPr>
    <w:rPr>
      <w:rFonts w:eastAsia="仿宋_GB2312"/>
      <w:sz w:val="32"/>
      <w:szCs w:val="32"/>
    </w:rPr>
  </w:style>
  <w:style w:type="paragraph" w:styleId="4">
    <w:name w:val="Normal Indent"/>
    <w:basedOn w:val="1"/>
    <w:qFormat/>
    <w:uiPriority w:val="0"/>
    <w:pPr>
      <w:ind w:firstLine="420"/>
    </w:pPr>
    <w:rPr>
      <w:szCs w:val="20"/>
    </w:rPr>
  </w:style>
  <w:style w:type="paragraph" w:styleId="5">
    <w:name w:val="Body Text First Indent"/>
    <w:basedOn w:val="2"/>
    <w:qFormat/>
    <w:uiPriority w:val="0"/>
    <w:pPr>
      <w:ind w:firstLine="420" w:firstLineChars="100"/>
    </w:pPr>
    <w:rPr>
      <w:szCs w:val="24"/>
    </w:rPr>
  </w:style>
  <w:style w:type="table" w:styleId="7">
    <w:name w:val="Table Grid"/>
    <w:basedOn w:val="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9">
    <w:name w:val="Heading #2|1"/>
    <w:basedOn w:val="1"/>
    <w:qFormat/>
    <w:uiPriority w:val="0"/>
    <w:pPr>
      <w:spacing w:after="300"/>
      <w:ind w:firstLine="310"/>
      <w:jc w:val="left"/>
      <w:outlineLvl w:val="1"/>
    </w:pPr>
    <w:rPr>
      <w:rFonts w:ascii="宋体" w:hAnsi="宋体" w:cs="宋体"/>
      <w:color w:val="000000"/>
      <w:kern w:val="0"/>
      <w:sz w:val="46"/>
      <w:szCs w:val="46"/>
      <w:lang w:val="zh-TW" w:eastAsia="zh-TW" w:bidi="zh-TW"/>
    </w:rPr>
  </w:style>
  <w:style w:type="paragraph" w:customStyle="1" w:styleId="10">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1360</Words>
  <Characters>1442</Characters>
  <Lines>0</Lines>
  <Paragraphs>0</Paragraphs>
  <TotalTime>0</TotalTime>
  <ScaleCrop>false</ScaleCrop>
  <LinksUpToDate>false</LinksUpToDate>
  <CharactersWithSpaces>1442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2026-02-27T02:49:00Z</dcterms:created>
  <dc:creator>Administrator</dc:creator>
  <cp:lastModifiedBy>哆啦A梦</cp:lastModifiedBy>
  <dcterms:modified xsi:type="dcterms:W3CDTF">2026-07-16T09:04:44Z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eyJoZGlkIjoiZjFhMjllM2U1MDBhZGU3NjVlNmFlNWU2YjFmZTUwZDQiLCJ1c2VySWQiOiIzMDU5ODIxMzEifQ==</vt:lpwstr>
  </property>
  <property fmtid="{D5CDD505-2E9C-101B-9397-08002B2CF9AE}" pid="4" name="ICV">
    <vt:lpwstr>1ED5FAE91E4D46C1AD3644AA68320907_12</vt:lpwstr>
  </property>
</Properties>
</file>