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版本号：SCZE2026-ZB-1072-00120260512001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澄城县紧密型县域医共体服务能力提升建设信息化采购项目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SCZE2026-ZB-1072-001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澄城县紧密型县域医共体服务能力提升建设信息化采购项目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SCZE2026-ZB-1072-001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澄城县紧密型县域医共体服务能力提升建设信息化采购项目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澄城县紧密型县域医共体服务能力提升建设信息化采购项目,详见采购需求。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王育培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马超、张礼婷、刘舰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采购包1：9,128,500.00元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银行账号：102461558092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 %（按标段）收取，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澄城县紧密型县域医共体服务能力提升建设信息化采购项目，具体要求详见招标文件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9,128,500.00</w:t>
      </w:r>
    </w:p>
    <w:p>
      <w:pPr>
        <w:pStyle w:val="null3"/>
      </w:pPr>
      <w:r>
        <w:rPr>
          <w:rFonts w:ascii="仿宋_GB2312" w:hAnsi="仿宋_GB2312" w:cs="仿宋_GB2312" w:eastAsia="仿宋_GB2312"/>
        </w:rPr>
        <w:t>采购包最高限价（元）: 9,128,500.00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澄城县紧密型县域医共体服务能力提升 建设信息化</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9,128,500.00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标的名称：澄城县紧密型县域医共体服务能力提升 建设信息化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（一）项目概述</w:t>
            </w:r>
          </w:p>
          <w:p>
            <w:pPr>
              <w:pStyle w:val="null3"/>
            </w:pPr>
            <w:r>
              <w:rPr>
                <w:rFonts w:ascii="仿宋_GB2312" w:hAnsi="仿宋_GB2312" w:cs="仿宋_GB2312" w:eastAsia="仿宋_GB2312"/>
              </w:rPr>
              <w:t>1、项目背景</w:t>
            </w:r>
          </w:p>
          <w:p>
            <w:pPr>
              <w:pStyle w:val="null3"/>
            </w:pPr>
            <w:r>
              <w:rPr>
                <w:rFonts w:ascii="仿宋_GB2312" w:hAnsi="仿宋_GB2312" w:cs="仿宋_GB2312" w:eastAsia="仿宋_GB2312"/>
              </w:rPr>
              <w:t>为贯彻落实国务院办公厅《关于推进医疗联合体建设和发展的指导意见》（国办发〔2017〕32号）及国家卫生健康委等10部门印发的《关于全面推进紧密型县域医疗卫生共同体建设的指导意见》（国卫基层发〔2023〕41号）等文件精神，结合《关于印发紧密型县域医共体信息化指引的通知》（国卫办规划函〔2025〕63号）文件内容和某县医共体整体信息化建设水平，规范紧密型县域医共体信息化建设，充分发挥信息化手段提升紧密型县域医共体医疗服务效率和质量作用，补充信息化建设内容短板，特做出澄城县县域医共体的信息化建设方案。</w:t>
            </w:r>
          </w:p>
          <w:p>
            <w:pPr>
              <w:pStyle w:val="null3"/>
            </w:pPr>
            <w:r>
              <w:rPr>
                <w:rFonts w:ascii="仿宋_GB2312" w:hAnsi="仿宋_GB2312" w:cs="仿宋_GB2312" w:eastAsia="仿宋_GB2312"/>
              </w:rPr>
              <w:t>方案总体坚持数字健康创新、绿色、科学发展理念，依托区域医共体健康信息平台，强化紧密型县域医共体数据共享、推进人工智能等新一代信息技术应用，全流程提升紧密型县域医共体数字治理能力，充分发挥紧密型县域医共体的体制优势和信息化倍增效应。方案从区域医共体数字平台、检验检查协同应用、中心药房管理系统、综合监管几个维度，紧密结合三秦智医平台和其中的公共卫生服务协同应用系统多项子系统，进行对标建设设计。</w:t>
            </w:r>
          </w:p>
          <w:p>
            <w:pPr>
              <w:pStyle w:val="null3"/>
            </w:pPr>
            <w:r>
              <w:rPr>
                <w:rFonts w:ascii="仿宋_GB2312" w:hAnsi="仿宋_GB2312" w:cs="仿宋_GB2312" w:eastAsia="仿宋_GB2312"/>
              </w:rPr>
              <w:t>2、建设目标</w:t>
            </w:r>
          </w:p>
          <w:p>
            <w:pPr>
              <w:pStyle w:val="null3"/>
            </w:pPr>
            <w:r>
              <w:rPr>
                <w:rFonts w:ascii="仿宋_GB2312" w:hAnsi="仿宋_GB2312" w:cs="仿宋_GB2312" w:eastAsia="仿宋_GB2312"/>
              </w:rPr>
              <w:t>县域医共体信息化建设方面，依托澄城县医共体管理平台和拟建的三秦智医系统，在原有的数字化建设的基础上，补强短板，补充弱项。依托《紧密型县域医共体信息化功能指引》标准，从医疗服务、管理服务到公共卫生服务、基层医疗卫生综合管理等多维度信息化协同的医共体内涵建设。建设区域心电中心、区域影像中心、医共体病理诊断中心、医共体中心药房、区域检验中心等进行建设，并融合各个系统模块与三秦智医数据平台进行数据流转，以达到区域卫生信息互联互通标准化的水平。</w:t>
            </w:r>
          </w:p>
          <w:p>
            <w:pPr>
              <w:pStyle w:val="null3"/>
            </w:pPr>
            <w:r>
              <w:rPr>
                <w:rFonts w:ascii="仿宋_GB2312" w:hAnsi="仿宋_GB2312" w:cs="仿宋_GB2312" w:eastAsia="仿宋_GB2312"/>
              </w:rPr>
              <w:t>3、建设原则</w:t>
            </w:r>
          </w:p>
          <w:p>
            <w:pPr>
              <w:pStyle w:val="null3"/>
            </w:pPr>
            <w:r>
              <w:rPr>
                <w:rFonts w:ascii="仿宋_GB2312" w:hAnsi="仿宋_GB2312" w:cs="仿宋_GB2312" w:eastAsia="仿宋_GB2312"/>
              </w:rPr>
              <w:t>3.1、统筹资源，集约建设</w:t>
            </w:r>
          </w:p>
          <w:p>
            <w:pPr>
              <w:pStyle w:val="null3"/>
            </w:pPr>
            <w:r>
              <w:rPr>
                <w:rFonts w:ascii="仿宋_GB2312" w:hAnsi="仿宋_GB2312" w:cs="仿宋_GB2312" w:eastAsia="仿宋_GB2312"/>
              </w:rPr>
              <w:t>充分考虑区域内健康信息化建设的现状和长远发展，利用拟部署的“三秦智医”资源，填平补齐，避免重复建设、盲目建设，实现集约化、扁平化发展。</w:t>
            </w:r>
          </w:p>
          <w:p>
            <w:pPr>
              <w:pStyle w:val="null3"/>
            </w:pPr>
            <w:r>
              <w:rPr>
                <w:rFonts w:ascii="仿宋_GB2312" w:hAnsi="仿宋_GB2312" w:cs="仿宋_GB2312" w:eastAsia="仿宋_GB2312"/>
              </w:rPr>
              <w:t>3.2、业务协同，数据汇聚</w:t>
            </w:r>
          </w:p>
          <w:p>
            <w:pPr>
              <w:pStyle w:val="null3"/>
            </w:pPr>
            <w:r>
              <w:rPr>
                <w:rFonts w:ascii="仿宋_GB2312" w:hAnsi="仿宋_GB2312" w:cs="仿宋_GB2312" w:eastAsia="仿宋_GB2312"/>
              </w:rPr>
              <w:t>以人民健康的需求为导向，以公立医院高质量发展为牵引，打造医共体内多协同应用，同时联通基层和县域医疗服务系统，汇聚全县域的数据中心，推动医疗健康数据要素价值释放。</w:t>
            </w:r>
          </w:p>
          <w:p>
            <w:pPr>
              <w:pStyle w:val="null3"/>
            </w:pPr>
            <w:r>
              <w:rPr>
                <w:rFonts w:ascii="仿宋_GB2312" w:hAnsi="仿宋_GB2312" w:cs="仿宋_GB2312" w:eastAsia="仿宋_GB2312"/>
              </w:rPr>
              <w:t>3.3、健全标准，注重安全</w:t>
            </w:r>
          </w:p>
          <w:p>
            <w:pPr>
              <w:pStyle w:val="null3"/>
            </w:pPr>
            <w:r>
              <w:rPr>
                <w:rFonts w:ascii="仿宋_GB2312" w:hAnsi="仿宋_GB2312" w:cs="仿宋_GB2312" w:eastAsia="仿宋_GB2312"/>
              </w:rPr>
              <w:t>制定平台资源库通用数据结构，完善业务术语、数据分类和统一接口标准，健全信息化标准应用管理和应用评估机制。加强信息系统安全体系建设和管理，确保信息系统安全稳定运行和保障个人隐私。</w:t>
            </w:r>
          </w:p>
          <w:p>
            <w:pPr>
              <w:pStyle w:val="null3"/>
            </w:pPr>
            <w:r>
              <w:rPr>
                <w:rFonts w:ascii="仿宋_GB2312" w:hAnsi="仿宋_GB2312" w:cs="仿宋_GB2312" w:eastAsia="仿宋_GB2312"/>
              </w:rPr>
              <w:t>3.4、核心依据</w:t>
            </w:r>
          </w:p>
          <w:p>
            <w:pPr>
              <w:pStyle w:val="null3"/>
            </w:pPr>
            <w:r>
              <w:rPr>
                <w:rFonts w:ascii="仿宋_GB2312" w:hAnsi="仿宋_GB2312" w:cs="仿宋_GB2312" w:eastAsia="仿宋_GB2312"/>
              </w:rPr>
              <w:t>根据《紧密型县域医共体信息化功能指引（2025版）》（国卫办规划函〔2025〕63号）要求，按标准化建设县域医共体平台。</w:t>
            </w:r>
          </w:p>
          <w:p>
            <w:pPr>
              <w:pStyle w:val="null3"/>
            </w:pPr>
            <w:r>
              <w:rPr>
                <w:rFonts w:ascii="仿宋_GB2312" w:hAnsi="仿宋_GB2312" w:cs="仿宋_GB2312" w:eastAsia="仿宋_GB2312"/>
              </w:rPr>
              <w:t>根据《陕西省紧密型县域医共体中心（云）药房管理指南》要求，县级卫生健康行政部门按照医共体建设的部署要求，结合县域实际，统筹指导医共体组织成立医共体药事管理与药物治疗学委员会和中心药房。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2"/>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一、信息化建设软件清单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建设内容</w:t>
                  </w:r>
                </w:p>
              </w:tc>
              <w:tc>
                <w:tcPr>
                  <w:tcW w:type="dxa" w:w="511"/>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部署范围</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医共体基础平台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信息共享中心</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区域检验中心系统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区域影像中心系统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区域病理中心系统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区域心电中心系统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共享中心药房统一采配系统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共享中心药房处方流转系统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综合监管中心</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医共体成员单位</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县医院质量指标管理系统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医共体总院</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2"/>
              <w:jc w:val="both"/>
            </w:pPr>
            <w:r>
              <w:rPr>
                <w:rFonts w:ascii="仿宋_GB2312" w:hAnsi="仿宋_GB2312" w:cs="仿宋_GB2312" w:eastAsia="仿宋_GB2312"/>
              </w:rPr>
              <w:t>二、信息化建设软件技术要求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系统</w:t>
                  </w:r>
                </w:p>
              </w:tc>
              <w:tc>
                <w:tcPr>
                  <w:tcW w:type="dxa" w:w="638"/>
                </w:tcPr>
                <w:p>
                  <w:pPr>
                    <w:pStyle w:val="null3"/>
                  </w:pPr>
                  <w:r>
                    <w:rPr>
                      <w:rFonts w:ascii="仿宋_GB2312" w:hAnsi="仿宋_GB2312" w:cs="仿宋_GB2312" w:eastAsia="仿宋_GB2312"/>
                    </w:rPr>
                    <w:t>子系统/模块</w:t>
                  </w:r>
                </w:p>
              </w:tc>
              <w:tc>
                <w:tcPr>
                  <w:tcW w:type="dxa" w:w="638"/>
                </w:tcPr>
                <w:p>
                  <w:pPr>
                    <w:pStyle w:val="null3"/>
                  </w:pPr>
                  <w:r>
                    <w:rPr>
                      <w:rFonts w:ascii="仿宋_GB2312" w:hAnsi="仿宋_GB2312" w:cs="仿宋_GB2312" w:eastAsia="仿宋_GB2312"/>
                    </w:rPr>
                    <w:t>技术参数与性能指标</w:t>
                  </w:r>
                </w:p>
              </w:tc>
            </w:tr>
            <w:tr>
              <w:tc>
                <w:tcPr>
                  <w:tcW w:type="dxa" w:w="1914"/>
                  <w:gridSpan w:val="3"/>
                  <w:vMerge w:val="restart"/>
                </w:tcPr>
                <w:p>
                  <w:pPr>
                    <w:pStyle w:val="null3"/>
                  </w:pPr>
                  <w:r>
                    <w:rPr>
                      <w:rFonts w:ascii="仿宋_GB2312" w:hAnsi="仿宋_GB2312" w:cs="仿宋_GB2312" w:eastAsia="仿宋_GB2312"/>
                    </w:rPr>
                    <w:t>总体技术要求</w:t>
                  </w:r>
                </w:p>
              </w:tc>
              <w:tc>
                <w:tcPr>
                  <w:tcW w:type="dxa" w:w="638"/>
                </w:tcPr>
                <w:p>
                  <w:pPr>
                    <w:pStyle w:val="null3"/>
                  </w:pPr>
                  <w:r>
                    <w:rPr>
                      <w:rFonts w:ascii="仿宋_GB2312" w:hAnsi="仿宋_GB2312" w:cs="仿宋_GB2312" w:eastAsia="仿宋_GB2312"/>
                    </w:rPr>
                    <w:t>1.信创要求</w:t>
                  </w:r>
                  <w:r>
                    <w:br/>
                  </w:r>
                  <w:r>
                    <w:rPr>
                      <w:rFonts w:ascii="仿宋_GB2312" w:hAnsi="仿宋_GB2312" w:cs="仿宋_GB2312" w:eastAsia="仿宋_GB2312"/>
                    </w:rPr>
                    <w:t xml:space="preserve"> 医共体平台应全面适配国产硬件设备，包括服务器、存储设备、终端设备等。支持国产操作系统、数据库、中间件等基础设施。</w:t>
                  </w:r>
                </w:p>
              </w:tc>
            </w:tr>
            <w:tr>
              <w:tc>
                <w:tcPr>
                  <w:tcW w:type="dxa" w:w="1914"/>
                  <w:gridSpan w:val="3"/>
                  <w:vMerge/>
                </w:tcPr>
                <w:p/>
              </w:tc>
              <w:tc>
                <w:tcPr>
                  <w:tcW w:type="dxa" w:w="638"/>
                </w:tcPr>
                <w:p>
                  <w:pPr>
                    <w:pStyle w:val="null3"/>
                  </w:pPr>
                  <w:r>
                    <w:rPr>
                      <w:rFonts w:ascii="仿宋_GB2312" w:hAnsi="仿宋_GB2312" w:cs="仿宋_GB2312" w:eastAsia="仿宋_GB2312"/>
                    </w:rPr>
                    <w:t>2.安全要求</w:t>
                  </w:r>
                  <w:r>
                    <w:br/>
                  </w:r>
                  <w:r>
                    <w:rPr>
                      <w:rFonts w:ascii="仿宋_GB2312" w:hAnsi="仿宋_GB2312" w:cs="仿宋_GB2312" w:eastAsia="仿宋_GB2312"/>
                    </w:rPr>
                    <w:t xml:space="preserve"> 医共体平台应具备积极有效的备份和恢复机制，保证系统的正常运行，并配合网络信息安全等保测评，不断完善信息安全要求。</w:t>
                  </w:r>
                </w:p>
              </w:tc>
            </w:tr>
            <w:tr>
              <w:tc>
                <w:tcPr>
                  <w:tcW w:type="dxa" w:w="1914"/>
                  <w:gridSpan w:val="3"/>
                  <w:vMerge/>
                </w:tcPr>
                <w:p/>
              </w:tc>
              <w:tc>
                <w:tcPr>
                  <w:tcW w:type="dxa" w:w="638"/>
                </w:tcPr>
                <w:p>
                  <w:pPr>
                    <w:pStyle w:val="null3"/>
                  </w:pPr>
                  <w:r>
                    <w:rPr>
                      <w:rFonts w:ascii="仿宋_GB2312" w:hAnsi="仿宋_GB2312" w:cs="仿宋_GB2312" w:eastAsia="仿宋_GB2312"/>
                    </w:rPr>
                    <w:t>3.平台标准化</w:t>
                  </w:r>
                  <w:r>
                    <w:br/>
                  </w:r>
                  <w:r>
                    <w:rPr>
                      <w:rFonts w:ascii="仿宋_GB2312" w:hAnsi="仿宋_GB2312" w:cs="仿宋_GB2312" w:eastAsia="仿宋_GB2312"/>
                    </w:rPr>
                    <w:t xml:space="preserve"> 区域医共体平台实现县域医疗数据标准化集成，供澄城县域医共体向外对接使用，并将医共体内的业务数据进行统一治理，形成全量数据中心。</w:t>
                  </w:r>
                </w:p>
              </w:tc>
            </w:tr>
            <w:tr>
              <w:tc>
                <w:tcPr>
                  <w:tcW w:type="dxa" w:w="1914"/>
                  <w:gridSpan w:val="3"/>
                  <w:vMerge/>
                </w:tcPr>
                <w:p/>
              </w:tc>
              <w:tc>
                <w:tcPr>
                  <w:tcW w:type="dxa" w:w="638"/>
                </w:tcPr>
                <w:p>
                  <w:pPr>
                    <w:pStyle w:val="null3"/>
                  </w:pPr>
                  <w:r>
                    <w:rPr>
                      <w:rFonts w:ascii="仿宋_GB2312" w:hAnsi="仿宋_GB2312" w:cs="仿宋_GB2312" w:eastAsia="仿宋_GB2312"/>
                    </w:rPr>
                    <w:t>4.数据互通化</w:t>
                  </w:r>
                  <w:r>
                    <w:br/>
                  </w:r>
                  <w:r>
                    <w:rPr>
                      <w:rFonts w:ascii="仿宋_GB2312" w:hAnsi="仿宋_GB2312" w:cs="仿宋_GB2312" w:eastAsia="仿宋_GB2312"/>
                    </w:rPr>
                    <w:t xml:space="preserve"> 医共体平台需与“三秦智医”、县医共体总院核心系统（HIS、LIS等）数据互通，以支持平台数据汇总，保障建设效果。</w:t>
                  </w:r>
                </w:p>
              </w:tc>
            </w:tr>
            <w:tr>
              <w:tc>
                <w:tcPr>
                  <w:tcW w:type="dxa" w:w="1914"/>
                  <w:gridSpan w:val="3"/>
                  <w:vMerge/>
                </w:tcPr>
                <w:p/>
              </w:tc>
              <w:tc>
                <w:tcPr>
                  <w:tcW w:type="dxa" w:w="638"/>
                </w:tcPr>
                <w:p>
                  <w:pPr>
                    <w:pStyle w:val="null3"/>
                  </w:pPr>
                  <w:r>
                    <w:rPr>
                      <w:rFonts w:ascii="仿宋_GB2312" w:hAnsi="仿宋_GB2312" w:cs="仿宋_GB2312" w:eastAsia="仿宋_GB2312"/>
                    </w:rPr>
                    <w:t>5.指标自动化</w:t>
                  </w:r>
                  <w:r>
                    <w:br/>
                  </w:r>
                  <w:r>
                    <w:rPr>
                      <w:rFonts w:ascii="仿宋_GB2312" w:hAnsi="仿宋_GB2312" w:cs="仿宋_GB2312" w:eastAsia="仿宋_GB2312"/>
                    </w:rPr>
                    <w:t xml:space="preserve"> 县医院质量指标管理需与县医院现有核心业务系统（HIS、LIS等）对接，抓取县医院运行业务数据，整合生成指标管理体系，如无相关业务数据，以手动填报的方式实现。</w:t>
                  </w:r>
                </w:p>
              </w:tc>
            </w:tr>
            <w:tr>
              <w:tc>
                <w:tcPr>
                  <w:tcW w:type="dxa" w:w="1914"/>
                  <w:gridSpan w:val="3"/>
                  <w:vMerge/>
                </w:tcPr>
                <w:p/>
              </w:tc>
              <w:tc>
                <w:tcPr>
                  <w:tcW w:type="dxa" w:w="638"/>
                </w:tcPr>
                <w:p>
                  <w:pPr>
                    <w:pStyle w:val="null3"/>
                  </w:pPr>
                  <w:r>
                    <w:rPr>
                      <w:rFonts w:ascii="仿宋_GB2312" w:hAnsi="仿宋_GB2312" w:cs="仿宋_GB2312" w:eastAsia="仿宋_GB2312"/>
                    </w:rPr>
                    <w:t>6.物理空间要求</w:t>
                  </w:r>
                  <w:r>
                    <w:br/>
                  </w:r>
                  <w:r>
                    <w:rPr>
                      <w:rFonts w:ascii="仿宋_GB2312" w:hAnsi="仿宋_GB2312" w:cs="仿宋_GB2312" w:eastAsia="仿宋_GB2312"/>
                    </w:rPr>
                    <w:t xml:space="preserve"> 本项目涉及的检验、影像、心电、病理、共享药房等中心建设，只包括应用系统部署，物理空间由项目主管部门统一调配。</w:t>
                  </w:r>
                </w:p>
              </w:tc>
            </w:tr>
            <w:tr>
              <w:tc>
                <w:tcPr>
                  <w:tcW w:type="dxa" w:w="1914"/>
                  <w:gridSpan w:val="3"/>
                  <w:vMerge/>
                </w:tcPr>
                <w:p/>
              </w:tc>
              <w:tc>
                <w:tcPr>
                  <w:tcW w:type="dxa" w:w="638"/>
                </w:tcPr>
                <w:p>
                  <w:pPr>
                    <w:pStyle w:val="null3"/>
                  </w:pPr>
                  <w:r>
                    <w:rPr>
                      <w:rFonts w:ascii="仿宋_GB2312" w:hAnsi="仿宋_GB2312" w:cs="仿宋_GB2312" w:eastAsia="仿宋_GB2312"/>
                    </w:rPr>
                    <w:t>7.功能整体要求</w:t>
                  </w:r>
                  <w:r>
                    <w:br/>
                  </w:r>
                  <w:r>
                    <w:rPr>
                      <w:rFonts w:ascii="仿宋_GB2312" w:hAnsi="仿宋_GB2312" w:cs="仿宋_GB2312" w:eastAsia="仿宋_GB2312"/>
                    </w:rPr>
                    <w:t xml:space="preserve"> 要求选择的方法、技术、工具、设备应具有良好的扩展潜力，以适应未来业务的发展和技术升级的需要；采用主流开发语言及架构进行设计与开发，遵循软件工程的设计与开发原则、方法及过程，依据国家相关标准和规定，实现有效管理，确保应用系统的高效率开发和使用；要求系统的管理、操作界面应友善，软件产品成熟稳定,功能模块齐全,符合应用规范,满足业务需求。</w:t>
                  </w:r>
                </w:p>
              </w:tc>
            </w:tr>
            <w:tr>
              <w:tc>
                <w:tcPr>
                  <w:tcW w:type="dxa" w:w="1914"/>
                  <w:gridSpan w:val="3"/>
                  <w:vMerge/>
                </w:tcPr>
                <w:p/>
              </w:tc>
              <w:tc>
                <w:tcPr>
                  <w:tcW w:type="dxa" w:w="638"/>
                </w:tcPr>
                <w:p>
                  <w:pPr>
                    <w:pStyle w:val="null3"/>
                  </w:pPr>
                  <w:r>
                    <w:rPr>
                      <w:rFonts w:ascii="仿宋_GB2312" w:hAnsi="仿宋_GB2312" w:cs="仿宋_GB2312" w:eastAsia="仿宋_GB2312"/>
                    </w:rPr>
                    <w:t>8.项目覆盖要求</w:t>
                  </w:r>
                  <w:r>
                    <w:br/>
                  </w:r>
                  <w:r>
                    <w:rPr>
                      <w:rFonts w:ascii="仿宋_GB2312" w:hAnsi="仿宋_GB2312" w:cs="仿宋_GB2312" w:eastAsia="仿宋_GB2312"/>
                    </w:rPr>
                    <w:t xml:space="preserve"> 本项目应用建设覆盖县域医共体总院及18家乡镇卫生院。</w:t>
                  </w:r>
                </w:p>
              </w:tc>
            </w:tr>
            <w:tr>
              <w:tc>
                <w:tcPr>
                  <w:tcW w:type="dxa" w:w="638"/>
                  <w:vMerge w:val="restart"/>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医共体基础平台</w:t>
                  </w:r>
                </w:p>
              </w:tc>
              <w:tc>
                <w:tcPr>
                  <w:tcW w:type="dxa" w:w="638"/>
                  <w:vMerge w:val="restart"/>
                </w:tcPr>
                <w:p>
                  <w:pPr>
                    <w:pStyle w:val="null3"/>
                  </w:pPr>
                  <w:r>
                    <w:rPr>
                      <w:rFonts w:ascii="仿宋_GB2312" w:hAnsi="仿宋_GB2312" w:cs="仿宋_GB2312" w:eastAsia="仿宋_GB2312"/>
                    </w:rPr>
                    <w:t>标准规范制定</w:t>
                  </w:r>
                </w:p>
              </w:tc>
              <w:tc>
                <w:tcPr>
                  <w:tcW w:type="dxa" w:w="638"/>
                </w:tcPr>
                <w:p>
                  <w:pPr>
                    <w:pStyle w:val="null3"/>
                  </w:pPr>
                  <w:r>
                    <w:rPr>
                      <w:rFonts w:ascii="仿宋_GB2312" w:hAnsi="仿宋_GB2312" w:cs="仿宋_GB2312" w:eastAsia="仿宋_GB2312"/>
                    </w:rPr>
                    <w:t>1.节点注册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支持数据可视化多节点配置，满足扩展性的需求。</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支持录入节点名称、URL（PC）、URL（APP）、账号、密码、状态信息。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支持对录入的节点信息进行编辑。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2.仪表同步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支持选择数据可视化节点进行仪表同步。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支持添加仪表分类目录。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支持以树形方式展示目录与仪表信息。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支持按照仪表名称、ID检索仪表信息。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支持展示仪表名称、类型、ID、打开方式、排序、注册人、注册日期的列表展示。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支持对仪表进行添加与修改，可以录入节点、所属目录、仪表名称、仪表ID、需要、打开方式（直接跳转、新窗口）、图标、参数。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3.仪表共享</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支持创建共享目录，共享目录内选择共享的仪表。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支持对共享目录进行用户授权，左侧展示已授权的用户，右侧展示未授权的用户，可以将右侧未授权的用户添加到授权用户列表，可以将已经授权的用户删除。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支持登录用户按照授权进行仪表的查看与浏览。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4.数据开发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支持仪表板定义，支持仪表所属目录的设置。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支持视图、组件管理与设置维护功能，支持仪表的复用。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支持拖拉拽式仪表板布局管理功能。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支持数据集显示类型定义功能，包括但不限于维护拖拽、计算指标拖拽、展示类型（表格、柱形图、曲线图、指标卡、仪表盘、面积图、组合图、漏斗图、环形图、雷达图、词云图、矩阵树图等）。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支持展示数据集与参数关联功能。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支持制作好的仪表板作为模板复用功能。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5.可视化共享</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支持仪表板分享功能，可以设置为公共链接，或者通过密码访问链接。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支持仪表板分享被第三方嵌入。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支持仪表板设置分享链接的有限期设置，过期后不可访问。</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数据资源中心</w:t>
                  </w:r>
                </w:p>
              </w:tc>
              <w:tc>
                <w:tcPr>
                  <w:tcW w:type="dxa" w:w="638"/>
                </w:tcPr>
                <w:p>
                  <w:pPr>
                    <w:pStyle w:val="null3"/>
                  </w:pPr>
                  <w:r>
                    <w:rPr>
                      <w:rFonts w:ascii="仿宋_GB2312" w:hAnsi="仿宋_GB2312" w:cs="仿宋_GB2312" w:eastAsia="仿宋_GB2312"/>
                    </w:rPr>
                    <w:t>1.医疗资源库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医疗资源数据库需汇聚医共体内部医疗服务的所有生产要素信息，内容包括专家资源、床位资源、检查设备资源、药品资源、检验设备资源等各类医疗资源。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2.电子病历库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电子病历库需基于《电子病历基本数据集》等标准，实现结构化数据、半结构化数据、非结构化数据的存储。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电子病历库支持居民患者基本信息、门诊病历概要、门（急）诊诊疗记录、西药处方、中药处方、检查报告、检验报告、治疗记录。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电子病例库支持住院病历概要、入院记录、长期医嘱、临时医嘱、手术记录、诊疗记录、出院记录。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电子病历库支持健康体检记录、转诊（院）记录、会诊记录等。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3.健康档案库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健康档案主题数据库基于《城乡居民健康档案基本数据集》、《疾病控制基本数据集》、《儿童保健基本数据集》等标准。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从家医签约、居民健康档案、电子病历信息中抽取关键性健康数据，以及居民补充个人健康信息，形成个人当前健康状况以及生命周期主要的健康事件数据信息，实现居民连续的健康管理。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健康档案库需包括公共卫生服务信息、家庭医生签约服务信息、个人诊疗信息、个人健康信息等。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4.运营监管库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支持包括医疗机构、科室、医生、收费项目等。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支持包括病历、诊断、治疗历史、药物使用、检查结果等。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支持包括医疗服务收入、药品收入、检查检验收入等。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支持包括医护员工信息、排班、工作量等。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支持包括医疗服务项目的价格、执行次数、患者满意度等。</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平台基础管理</w:t>
                  </w:r>
                </w:p>
              </w:tc>
              <w:tc>
                <w:tcPr>
                  <w:tcW w:type="dxa" w:w="638"/>
                </w:tcPr>
                <w:p>
                  <w:pPr>
                    <w:pStyle w:val="null3"/>
                  </w:pPr>
                  <w:r>
                    <w:rPr>
                      <w:rFonts w:ascii="仿宋_GB2312" w:hAnsi="仿宋_GB2312" w:cs="仿宋_GB2312" w:eastAsia="仿宋_GB2312"/>
                    </w:rPr>
                    <w:t>1.应用授权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支持设置应用，包括应用名称、APPID、Secret。</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支持系统账号与应用账号间的关系映射，对每个系统内的账号可分别进行不同映射账号的设置。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2.数据授权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支持对数据权限进行设置，可以按用户设置该用户具备的数据权限。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支持对已经授权的用户的权限进行删减。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支持进行数据展示按照设置的用户权限隔离非权限内的数据。</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平台基础服务</w:t>
                  </w:r>
                </w:p>
              </w:tc>
              <w:tc>
                <w:tcPr>
                  <w:tcW w:type="dxa" w:w="638"/>
                </w:tcPr>
                <w:p>
                  <w:pPr>
                    <w:pStyle w:val="null3"/>
                  </w:pPr>
                  <w:r>
                    <w:rPr>
                      <w:rFonts w:ascii="仿宋_GB2312" w:hAnsi="仿宋_GB2312" w:cs="仿宋_GB2312" w:eastAsia="仿宋_GB2312"/>
                    </w:rPr>
                    <w:t>1.网关注册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支持节点管理：管理员可以对注册的网关节点进行集中管理，可以查看节点ID、名称、注册时间、绑定机构数、状态、服务时长等。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支持将节点绑定机构，一个节点绑定多个机构，已绑定机构取消绑定。</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支持网关中心设置网关的启用、禁用状态，禁用的节点不在提供服务。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支持查看网关节点的详细信息，包括节点ID、名称、调用地址等。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2.网关监控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支持对注册的节点进行集中监控，节点按照设置的间隔发送心跳。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支持网关节点存储、CPU、内存消耗和占用情况。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支持查看网关节点的末次心跳。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支持查看网关节点接入的数据源个数。</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健康服务总线</w:t>
                  </w:r>
                </w:p>
              </w:tc>
              <w:tc>
                <w:tcPr>
                  <w:tcW w:type="dxa" w:w="638"/>
                </w:tcPr>
                <w:p>
                  <w:pPr>
                    <w:pStyle w:val="null3"/>
                  </w:pPr>
                  <w:r>
                    <w:rPr>
                      <w:rFonts w:ascii="仿宋_GB2312" w:hAnsi="仿宋_GB2312" w:cs="仿宋_GB2312" w:eastAsia="仿宋_GB2312"/>
                    </w:rPr>
                    <w:t>1.支持通过编写SQL的方式开发Rest API接口，使用SQL模版。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2.支持对接口进行定义，包括接口名称、地址、请求方式、接口类型、权限认证、显示脚本、分组、版本、概述信息。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3.支持对接口请求参数进行定义，自动完成SQL的解析，对解析的SQL执行的结果进行返回值字段映射，定义字段类型。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4.支持查询发布的接口列表，对接口进行发布、下线、编辑等操作。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5.支持查看接口详情，包括接口名称、地址、参数、自定义SQL等。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6.支持调用接口的第三方应用管理，可以定义第三方应用的授权key与秘钥，对第三方应用进行接口授权。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7.支持接口日志的查询与查看，可以查看接口的名称、地址、参数、返回值、请求时间、IP地址、耗时、结果。</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数据采集交换</w:t>
                  </w:r>
                </w:p>
              </w:tc>
              <w:tc>
                <w:tcPr>
                  <w:tcW w:type="dxa" w:w="638"/>
                </w:tcPr>
                <w:p>
                  <w:pPr>
                    <w:pStyle w:val="null3"/>
                  </w:pPr>
                  <w:r>
                    <w:rPr>
                      <w:rFonts w:ascii="仿宋_GB2312" w:hAnsi="仿宋_GB2312" w:cs="仿宋_GB2312" w:eastAsia="仿宋_GB2312"/>
                    </w:rPr>
                    <w:t>1.支持统一患者管理，满足区域内中心医院的患者基本信息、诊断信息、处方信息、医嘱信息、检查检验报告、手术信息向下级医院开放，供下级医院共享调阅，便于医生掌握患者的病情，为患者精准施治。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2.支持我的患者管理，可以通过在线添加患者基本信息，建立患者与医生的绑定关系。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3.支持通过我的患者调阅该患者在中心医院的例次就诊记录。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4.支持通过患者列表为患者提供医疗服务快捷入口，服务包括：医生协同、医技开单、转诊、便民挂号。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5.支持患者就诊时间轴，展示患者姓名、就诊类型（门诊/住院）、就诊机构、就诊日期、主要诊断。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6.支持共享调阅患者门诊病历，包括就诊日期、科室、医生、主诉、病史、诊断、治疗建议。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7.支持共享调阅患者门诊药品处方，包括处方日期、科室、医生、药品、规格、用法用量。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8.支持共享调阅检查报告，包括检查项目、报告时间、申请单号、开单医生、申请科室，可以查看报告详情，包括患者信息、影像所见。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9.支持共享调阅检验报告，包括检验项目、报告时间、申请单号、开单医生、可以查看报告详情包括患者信息、检验指标、数值、范围。</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10.支持共享调阅长期医嘱，包括医嘱内容、开立时间、执行科室、用药方式、执行频率、单次用量、单位、嘱托。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11.支持共享调阅临时医嘱，包括医嘱内容、开立时间、执行科室、用药方式、执行频率、单次用量、单位、嘱托。</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数据上报系统</w:t>
                  </w:r>
                </w:p>
              </w:tc>
              <w:tc>
                <w:tcPr>
                  <w:tcW w:type="dxa" w:w="638"/>
                </w:tcPr>
                <w:p>
                  <w:pPr>
                    <w:pStyle w:val="null3"/>
                  </w:pPr>
                  <w:r>
                    <w:rPr>
                      <w:rFonts w:ascii="仿宋_GB2312" w:hAnsi="仿宋_GB2312" w:cs="仿宋_GB2312" w:eastAsia="仿宋_GB2312"/>
                    </w:rPr>
                    <w:t>1.数字注册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支持数字网关节点合法用户访问并管理网关，对网关进行配置与使用。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支持网关节点注册，节点部署后自动向中心进行注册。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支持对网关的ID、名称、调用地址、心跳频率参数进行设置。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支持节点注册后的节点信息更新。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支持对访问网关节点的应用进行集中管理与配置，可以设置应用的访问秘钥与口令。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2.数字授权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支持按应用对网关的API服务进行授权和取消授权。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支持对网关API访问请求进行拦截，防止非授权访问的应用及客户端，确保API访问安全。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支持在节点内进行API定义及在线开发，可以对API名称、路径、调用方式、所属分组、是否认证等进行设置。</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数据治理管理</w:t>
                  </w:r>
                </w:p>
              </w:tc>
              <w:tc>
                <w:tcPr>
                  <w:tcW w:type="dxa" w:w="638"/>
                </w:tcPr>
                <w:p>
                  <w:pPr>
                    <w:pStyle w:val="null3"/>
                  </w:pPr>
                  <w:r>
                    <w:rPr>
                      <w:rFonts w:ascii="仿宋_GB2312" w:hAnsi="仿宋_GB2312" w:cs="仿宋_GB2312" w:eastAsia="仿宋_GB2312"/>
                    </w:rPr>
                    <w:t>1.数据集成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支持数据源管理功能，支持接入的数据源包括MySQL / Oracle / SQL Server / MariaDB / PostgreSQL /MongoDB-BI / Db2 / TiDB / Apache Doris / ClickHouse / StarRocks / AWS Redshift / Apache Impala / API/达梦、人大金仓等数据源。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支持添加数据源功能，可以设置数据源名称、数据源类型、数据源描述、主机IP地址、数据库名称、用户名、访问密码、额外的JDBC连接串、数据源端口、初始连接数、最小连接数、最大连接数。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支持测试连接功能，无法连接的数据源可以修改配置重新测试连接。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支持数据采集任务定义，可以定义采集任务名称，数据源、目标数据源、目标表、源SQL、Pre-SQL、After-SQL、批次处理条目、采集任务设置，可以对采集任务的测试，测试失败的采集任务可以多次设置。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2.数据处理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支持采集任务的编辑修改操作，可以对采集的任务启用与禁用。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支持采集任务编排功能，按照编排进行任务的调度，既可以通过cron表达式也可以通过图形化界面设置调度任务。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支持采集任务监控功能，通过日志查看每个采集任务的末次执行状态与时间。</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支持采集日志查询与查看，对于异常的采集任务可以查看错误原因。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支持数据集的定时数据同步功能，支持全量更新与增量更新。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支持用户操作日志查询与查看功能。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支持采集任务SQL与目标表结构自动对照并进行存储。</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数据质量控制</w:t>
                  </w:r>
                </w:p>
              </w:tc>
              <w:tc>
                <w:tcPr>
                  <w:tcW w:type="dxa" w:w="638"/>
                </w:tcPr>
                <w:p>
                  <w:pPr>
                    <w:pStyle w:val="null3"/>
                  </w:pPr>
                  <w:r>
                    <w:rPr>
                      <w:rFonts w:ascii="仿宋_GB2312" w:hAnsi="仿宋_GB2312" w:cs="仿宋_GB2312" w:eastAsia="仿宋_GB2312"/>
                    </w:rPr>
                    <w:t>1.数据质量主索引注册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支持对个人索引进行自定义方式采集，可以设置采集数据源、采集周期。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支持对个人索引采集事件进行管理，可以查看采集详细日志，包括批次号、采集事件、采集行数、结果、日志。</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支持采集的个人索引发送平台进行注册，可以设置发送频率及单次行数。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支持查询个人索引注册日志，包括注册时间、注册行数、结果、注册入参、返回值。</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2.数据质量主索引采集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支持卫生事件索引信息自定义采集，可以设置采集的数据源、采集周期。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支持对生事件索引进行自定义方式采集，可以设置采集数据源、采集周期。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支持对生事件索引采集事件进行管理，可以查看采集详细日志，包括批次号、采集事件、采集行数、结果、日志。</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支持采集的生事件索引发送平台进行注册，可以设置发送频率及单次行数，并与个人索引进行绑定。</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支持查询生事件索引注册日志，包括注册时间、注册行数、结果、注册入参、返回值。</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支持个人索引信息查询，可以查询暂存区、发送区的数据。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支持个人索引详细信息查询，包括批次码、任务名称、姓名、身份证号、手机号、出生日期、居住地、详细地址、患者类型、性别、年龄。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支持卫生事件索引信息查询，包括批次码、任务名称、事件ID、事件类型、发生日期、事件描述、发生机构代码、发生机构名称、患者姓名、患者身份证号、医生代码、医生名称、科室代码、科室名称。</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集成门户</w:t>
                  </w:r>
                </w:p>
              </w:tc>
              <w:tc>
                <w:tcPr>
                  <w:tcW w:type="dxa" w:w="638"/>
                </w:tcPr>
                <w:p>
                  <w:pPr>
                    <w:pStyle w:val="null3"/>
                  </w:pPr>
                  <w:r>
                    <w:rPr>
                      <w:rFonts w:ascii="仿宋_GB2312" w:hAnsi="仿宋_GB2312" w:cs="仿宋_GB2312" w:eastAsia="仿宋_GB2312"/>
                    </w:rPr>
                    <w:t>1.采用B/S架构，支持chrome、firefox主流浏览器登录。</w:t>
                  </w:r>
                  <w:r>
                    <w:br/>
                  </w:r>
                  <w:r>
                    <w:rPr>
                      <w:rFonts w:ascii="仿宋_GB2312" w:hAnsi="仿宋_GB2312" w:cs="仿宋_GB2312" w:eastAsia="仿宋_GB2312"/>
                    </w:rPr>
                    <w:t xml:space="preserve"> 2.支持动态增加集成的业务系统，可以设置添加系统的名称、认证地址、主页地址、认证方式、集成方式、系统打开方式、缩略图。</w:t>
                  </w:r>
                  <w:r>
                    <w:br/>
                  </w:r>
                  <w:r>
                    <w:rPr>
                      <w:rFonts w:ascii="仿宋_GB2312" w:hAnsi="仿宋_GB2312" w:cs="仿宋_GB2312" w:eastAsia="仿宋_GB2312"/>
                    </w:rPr>
                    <w:t xml:space="preserve"> 3.接入的业务系统可以按照医院配置访问业务系统的权限，具备权限的医院才能访问对应业务系统，不具备权限的医院不可访问。</w:t>
                  </w:r>
                  <w:r>
                    <w:br/>
                  </w:r>
                  <w:r>
                    <w:rPr>
                      <w:rFonts w:ascii="仿宋_GB2312" w:hAnsi="仿宋_GB2312" w:cs="仿宋_GB2312" w:eastAsia="仿宋_GB2312"/>
                    </w:rPr>
                    <w:t xml:space="preserve"> 4.支持门户界面布局，采用托拉拽的方式进行门户的布局，可以通过拖拽及自定义属性页的方式对集成系统进行位置进行设置。</w:t>
                  </w:r>
                  <w:r>
                    <w:br/>
                  </w:r>
                  <w:r>
                    <w:rPr>
                      <w:rFonts w:ascii="仿宋_GB2312" w:hAnsi="仿宋_GB2312" w:cs="仿宋_GB2312" w:eastAsia="仿宋_GB2312"/>
                    </w:rPr>
                    <w:t xml:space="preserve"> 5.支持通过配置门户系统账户与业务系统账户的对照映射的方式实现多系统的单点登录，系统的授权在门户内完成，业务系统的授权在各个业务系统内完成，降低业务系统集成的成本。</w:t>
                  </w:r>
                  <w:r>
                    <w:br/>
                  </w:r>
                  <w:r>
                    <w:rPr>
                      <w:rFonts w:ascii="仿宋_GB2312" w:hAnsi="仿宋_GB2312" w:cs="仿宋_GB2312" w:eastAsia="仿宋_GB2312"/>
                    </w:rPr>
                    <w:t xml:space="preserve"> 6.支持被集成的多个业务系统共享自身一个单点的登录情况下的集成，共享一个单点登录的系统无需多次重复接入，无需重复开发。</w:t>
                  </w:r>
                  <w:r>
                    <w:br/>
                  </w:r>
                  <w:r>
                    <w:rPr>
                      <w:rFonts w:ascii="仿宋_GB2312" w:hAnsi="仿宋_GB2312" w:cs="仿宋_GB2312" w:eastAsia="仿宋_GB2312"/>
                    </w:rPr>
                    <w:t xml:space="preserve"> 7.支持提供http、https方式的统一登录认证接口。</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医共体互联互通</w:t>
                  </w:r>
                </w:p>
              </w:tc>
              <w:tc>
                <w:tcPr>
                  <w:tcW w:type="dxa" w:w="638"/>
                </w:tcPr>
                <w:p>
                  <w:pPr>
                    <w:pStyle w:val="null3"/>
                  </w:pPr>
                  <w:r>
                    <w:rPr>
                      <w:rFonts w:ascii="仿宋_GB2312" w:hAnsi="仿宋_GB2312" w:cs="仿宋_GB2312" w:eastAsia="仿宋_GB2312"/>
                    </w:rPr>
                    <w:t>1.县级医疗机构互通</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支持县级医疗机构核心系统对接，实现诊疗数据互通。</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2.三秦智医系统互通</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支持与拟建设的三秦智医系统对接，实现基本公卫、基层医疗系统等信息互通。</w:t>
                  </w:r>
                </w:p>
              </w:tc>
            </w:tr>
            <w:tr>
              <w:tc>
                <w:tcPr>
                  <w:tcW w:type="dxa" w:w="638"/>
                  <w:vMerge w:val="restart"/>
                </w:tcPr>
                <w:p>
                  <w:pPr>
                    <w:pStyle w:val="null3"/>
                  </w:pPr>
                  <w:r>
                    <w:rPr>
                      <w:rFonts w:ascii="仿宋_GB2312" w:hAnsi="仿宋_GB2312" w:cs="仿宋_GB2312" w:eastAsia="仿宋_GB2312"/>
                    </w:rPr>
                    <w:t>2</w:t>
                  </w:r>
                </w:p>
              </w:tc>
              <w:tc>
                <w:tcPr>
                  <w:tcW w:type="dxa" w:w="638"/>
                  <w:vMerge w:val="restart"/>
                </w:tcPr>
                <w:p>
                  <w:pPr>
                    <w:pStyle w:val="null3"/>
                  </w:pPr>
                  <w:r>
                    <w:rPr>
                      <w:rFonts w:ascii="仿宋_GB2312" w:hAnsi="仿宋_GB2312" w:cs="仿宋_GB2312" w:eastAsia="仿宋_GB2312"/>
                    </w:rPr>
                    <w:t>信息共享中心</w:t>
                  </w:r>
                </w:p>
              </w:tc>
              <w:tc>
                <w:tcPr>
                  <w:tcW w:type="dxa" w:w="638"/>
                  <w:vMerge w:val="restart"/>
                </w:tcPr>
                <w:p>
                  <w:pPr>
                    <w:pStyle w:val="null3"/>
                  </w:pPr>
                  <w:r>
                    <w:rPr>
                      <w:rFonts w:ascii="仿宋_GB2312" w:hAnsi="仿宋_GB2312" w:cs="仿宋_GB2312" w:eastAsia="仿宋_GB2312"/>
                    </w:rPr>
                    <w:t>电子健康档案（电</w:t>
                  </w:r>
                  <w:r>
                    <w:br/>
                  </w:r>
                  <w:r>
                    <w:rPr>
                      <w:rFonts w:ascii="仿宋_GB2312" w:hAnsi="仿宋_GB2312" w:cs="仿宋_GB2312" w:eastAsia="仿宋_GB2312"/>
                    </w:rPr>
                    <w:t xml:space="preserve"> 子病历）浏览器</w:t>
                  </w:r>
                </w:p>
              </w:tc>
              <w:tc>
                <w:tcPr>
                  <w:tcW w:type="dxa" w:w="638"/>
                </w:tcPr>
                <w:p>
                  <w:pPr>
                    <w:pStyle w:val="null3"/>
                  </w:pPr>
                  <w:r>
                    <w:rPr>
                      <w:rFonts w:ascii="仿宋_GB2312" w:hAnsi="仿宋_GB2312" w:cs="仿宋_GB2312" w:eastAsia="仿宋_GB2312"/>
                    </w:rPr>
                    <w:t>1.患者信息</w:t>
                  </w:r>
                  <w:r>
                    <w:br/>
                  </w:r>
                  <w:r>
                    <w:rPr>
                      <w:rFonts w:ascii="仿宋_GB2312" w:hAnsi="仿宋_GB2312" w:cs="仿宋_GB2312" w:eastAsia="仿宋_GB2312"/>
                    </w:rPr>
                    <w:t xml:space="preserve"> 支持统一患者管理功能，严格遵循区域医疗数据共享规范，实现区域内县级医院患者核心医疗信息的集中整合与分级开放，具体可向辖区内下级医院开放患者基本信息（姓名、性别、年龄、身份证号、联系方式等基础身份信息）、诊断信息（历次就诊主要诊断、次要诊断、并发症诊断等）、处方信息（门诊及住院处方完整数据）、医嘱信息（长期及临时医嘱详情）、检查检验报告（各类影像学、实验室检查结果及报告原文）、手术信息（历次手术相关完整记录），供下级医院医护人员按需共享调阅。</w:t>
                  </w:r>
                  <w:r>
                    <w:br/>
                  </w:r>
                  <w:r>
                    <w:rPr>
                      <w:rFonts w:ascii="仿宋_GB2312" w:hAnsi="仿宋_GB2312" w:cs="仿宋_GB2312" w:eastAsia="仿宋_GB2312"/>
                    </w:rPr>
                    <w:t xml:space="preserve"> 支持我的患者管理模块，医生可通过系统在线手动添加患者基本信息，精准录入患者各项基础资料，快速建立患者与接诊医生之间的专属绑定关系，实现患者的个性化管理。</w:t>
                  </w:r>
                  <w:r>
                    <w:br/>
                  </w:r>
                  <w:r>
                    <w:rPr>
                      <w:rFonts w:ascii="仿宋_GB2312" w:hAnsi="仿宋_GB2312" w:cs="仿宋_GB2312" w:eastAsia="仿宋_GB2312"/>
                    </w:rPr>
                    <w:t xml:space="preserve"> 支持通过我的患者功能模块，直接调阅该绑定患者在区域内所有县级医院的历次就诊例次记录，涵盖门诊、住院等各类就诊场景，清晰呈现患者每一次就诊的核心信息。</w:t>
                  </w:r>
                  <w:r>
                    <w:br/>
                  </w:r>
                  <w:r>
                    <w:rPr>
                      <w:rFonts w:ascii="仿宋_GB2312" w:hAnsi="仿宋_GB2312" w:cs="仿宋_GB2312" w:eastAsia="仿宋_GB2312"/>
                    </w:rPr>
                    <w:t xml:space="preserve"> 支持通过患者列表功能，为医生提供便捷的医疗服务入口，列表清晰展示绑定患者的核心信息（姓名、性别、就诊状态等），医生可通过列表快速定位患者。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2.诊断信息</w:t>
                  </w:r>
                  <w:r>
                    <w:br/>
                  </w:r>
                  <w:r>
                    <w:rPr>
                      <w:rFonts w:ascii="仿宋_GB2312" w:hAnsi="仿宋_GB2312" w:cs="仿宋_GB2312" w:eastAsia="仿宋_GB2312"/>
                    </w:rPr>
                    <w:t xml:space="preserve"> 持患者就诊时间轴可视化展示功能，以时间先后顺序为脉络，清晰呈现患者的每一次就诊关键信息，具体包含患者姓名、就诊类型（明确区分门诊、住院两种核心就诊模式）、就诊机构（标注具体县级医院名称）、就诊日期（精确到年月日）、主要诊断（明确患者本次就诊的核心病症）。</w:t>
                  </w:r>
                  <w:r>
                    <w:br/>
                  </w:r>
                  <w:r>
                    <w:rPr>
                      <w:rFonts w:ascii="仿宋_GB2312" w:hAnsi="仿宋_GB2312" w:cs="仿宋_GB2312" w:eastAsia="仿宋_GB2312"/>
                    </w:rPr>
                    <w:t xml:space="preserve"> 支持共享调阅患者门诊病历详情，病历信息完整可查，涵盖就诊日期（精确到年月日时分）、就诊科室（明确具体接诊科室）、接诊医生（标注医生姓名及职称）、主诉（患者就诊时的核心诉求及症状）、病史（既往病史、现病史、家族病史等完整信息）、诊断结果（主要诊断、次要诊断及诊断依据）、治疗建议（药物治疗、物理治疗、随访要求等具体指导意见），为下级医院诊疗提供依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3.处方信息</w:t>
                  </w:r>
                  <w:r>
                    <w:br/>
                  </w:r>
                  <w:r>
                    <w:rPr>
                      <w:rFonts w:ascii="仿宋_GB2312" w:hAnsi="仿宋_GB2312" w:cs="仿宋_GB2312" w:eastAsia="仿宋_GB2312"/>
                    </w:rPr>
                    <w:t xml:space="preserve"> 支持共享调阅患者门诊药品处方完整信息，实现处方数据全流程可追溯，具体包含处方日期（精确到年月日时分）、开具科室（明确具体处方开具科室）、开具医生（标注医生姓名及职称）、药品信息（药品通用名称、商品名称）、药品规格（明确药品剂型、剂量规格）、用法用量（服用频次、单次服用剂量、服用方法及疗程），确保下级医院医生准确了解患者既往用药情况，避免用药冲突、剂量不当等问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4.医嘱信息</w:t>
                  </w:r>
                  <w:r>
                    <w:br/>
                  </w:r>
                  <w:r>
                    <w:rPr>
                      <w:rFonts w:ascii="仿宋_GB2312" w:hAnsi="仿宋_GB2312" w:cs="仿宋_GB2312" w:eastAsia="仿宋_GB2312"/>
                    </w:rPr>
                    <w:t xml:space="preserve"> 支持共享调阅长期医嘱完整信息，医嘱内容详细可查，具体包含医嘱核心内容（治疗项目、用药名称、检查项目等）、开立时间（精确到年月日时分）、执行科室（明确具体执行医嘱的科室）、用药方式（口服、注射、外用等具体给药方式）、执行频率（每日几次、间隔多久执行等）、单次用量（明确每次执行的剂量）、剂量单位（克、毫克、毫升等标准单位）、特殊嘱托（用药注意事项、观察要点等补充说明）。</w:t>
                  </w:r>
                  <w:r>
                    <w:br/>
                  </w:r>
                  <w:r>
                    <w:rPr>
                      <w:rFonts w:ascii="仿宋_GB2312" w:hAnsi="仿宋_GB2312" w:cs="仿宋_GB2312" w:eastAsia="仿宋_GB2312"/>
                    </w:rPr>
                    <w:t xml:space="preserve"> 支持共享调阅临时医嘱完整信息，全面覆盖临时诊疗需求相关记录，具体包含医嘱内容（临时检查、临时用药、临时治疗等项目）、开立时间（精确到年月日时分）、执行科室（明确具体执行医嘱的科室）、用药方式（口服、注射、外用等具体给药方式）、执行频率（按需执行或明确具体执行频次）、单次用量（明确每次执行的剂量）、剂量单位（克、毫克、毫升等标准单位）、特殊嘱托（临时诊疗的注意事项、执行要求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5.手术信息</w:t>
                  </w:r>
                  <w:r>
                    <w:br/>
                  </w:r>
                  <w:r>
                    <w:rPr>
                      <w:rFonts w:ascii="仿宋_GB2312" w:hAnsi="仿宋_GB2312" w:cs="仿宋_GB2312" w:eastAsia="仿宋_GB2312"/>
                    </w:rPr>
                    <w:t xml:space="preserve"> 支持共享调阅患者历次就诊过程中的所有手术相关信息，实现手术记录全流程共享，具体包含手术等级（明确手术的难度等级）、手术诊断（手术对应的病症诊断）、主刀医师（标注主刀医生姓名及职称）、手术日期（精确到年月日）、手术名称（明确手术具体类型）、手术简要说明（手术目的、核心操作方式等关键信息），让医生清晰了解患者手术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6.检验检查报告</w:t>
                  </w:r>
                  <w:r>
                    <w:br/>
                  </w:r>
                  <w:r>
                    <w:rPr>
                      <w:rFonts w:ascii="仿宋_GB2312" w:hAnsi="仿宋_GB2312" w:cs="仿宋_GB2312" w:eastAsia="仿宋_GB2312"/>
                    </w:rPr>
                    <w:t xml:space="preserve"> 支持共享调阅患者检查报告，报告信息完整可查，具体包含检查项目（明确具体检查类型，如CT、B超、X光等）、报告时间（精确到年月日时分）、申请单号（唯一标识该检查申请的编号）、开单医生（标注开单医生姓名及职称）、申请科室（明确开具检查申请的科室）；支持点击查看报告详情，详情页完整呈现患者基础信息（与报告关联的患者身份信息）、影像所见（检查过程中观察到的具体影像特征、异常情况等）。</w:t>
                  </w:r>
                  <w:r>
                    <w:br/>
                  </w:r>
                  <w:r>
                    <w:rPr>
                      <w:rFonts w:ascii="仿宋_GB2312" w:hAnsi="仿宋_GB2312" w:cs="仿宋_GB2312" w:eastAsia="仿宋_GB2312"/>
                    </w:rPr>
                    <w:t xml:space="preserve"> 支持共享调阅患者检验报告，报告核心信息清晰呈现，具体包含检验项目（明确具体检验指标名称）、报告时间（精确到年月日时分）、申请单号（唯一标识该检验申请的编号）、开单医生（标注开单医生姓名及职称）；支持点击查看报告详情，详情页完整呈现患者基础信息（与报告关联的患者身份信息）、检验指标（具体检验项目名称）、检测数值（该指标的实际检测结果）、参考范围（该指标的正常参考区间）。</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区域协同管理系</w:t>
                  </w:r>
                  <w:r>
                    <w:br/>
                  </w:r>
                  <w:r>
                    <w:rPr>
                      <w:rFonts w:ascii="仿宋_GB2312" w:hAnsi="仿宋_GB2312" w:cs="仿宋_GB2312" w:eastAsia="仿宋_GB2312"/>
                    </w:rPr>
                    <w:t xml:space="preserve"> 统</w:t>
                  </w:r>
                </w:p>
              </w:tc>
              <w:tc>
                <w:tcPr>
                  <w:tcW w:type="dxa" w:w="638"/>
                </w:tcPr>
                <w:p>
                  <w:pPr>
                    <w:pStyle w:val="null3"/>
                  </w:pPr>
                  <w:r>
                    <w:rPr>
                      <w:rFonts w:ascii="仿宋_GB2312" w:hAnsi="仿宋_GB2312" w:cs="仿宋_GB2312" w:eastAsia="仿宋_GB2312"/>
                    </w:rPr>
                    <w:t>1.协同转诊管理端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支持机构间的双向转诊，允许在医共体设置的范围内进行上转与下转。</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支持医院管理人员可定期或实时审核转出/转入的转诊申请，配置是否需要医院审核。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支持申请转诊，转出机构经诊医师在取得患者同意后，在平台上下级机构可选择需要转入的医疗机构或直接选择接收的专家医生，并发起转诊申请。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支持审核，下级机构审核医师审核是否同意上转，审核通过后上级机构通过平台实时审核并决定是否接收，同意转入，安排接诊医生进行接诊，不同意说明情况并返回。</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支持获取患者院外转诊信息并直接存储于医院信息系统，如 DICOM 影像、患者基本信息、检验结果、检查报告等。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支持获取并保存患者在院外机构产生的资料，并在总院内共享。</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支持转诊患者在转入机构就诊时提示医生此患者为转诊患者。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2.协同转诊移动端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转诊移动端，医院转诊管理员可以在手机端对转出申请与转入申请进行确认处理，可以查看转诊单详细信息，对于实名认证的患者，可以查看该患者的健康信息，可以对需要转诊的转折发起上转、下转申请，转入机构确认后为患者提供诊疗服务，诊疗完毕对于需要下转的患者可以直接完成下转申请与确认处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3.协同转诊统计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支持转出统计，转出机构可以查询统计自己所有的转出申请。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支持转入统计，转入机构可以查询统计自己所有的转入申请。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支持转诊数据进行统计展示，转入与转出、按疾病，按医院科室等多维度查询。</w:t>
                  </w:r>
                </w:p>
              </w:tc>
            </w:tr>
            <w:tr>
              <w:tc>
                <w:tcPr>
                  <w:tcW w:type="dxa" w:w="638"/>
                  <w:vMerge w:val="restart"/>
                </w:tcPr>
                <w:p>
                  <w:pPr>
                    <w:pStyle w:val="null3"/>
                  </w:pPr>
                  <w:r>
                    <w:rPr>
                      <w:rFonts w:ascii="仿宋_GB2312" w:hAnsi="仿宋_GB2312" w:cs="仿宋_GB2312" w:eastAsia="仿宋_GB2312"/>
                    </w:rPr>
                    <w:t>3</w:t>
                  </w:r>
                </w:p>
              </w:tc>
              <w:tc>
                <w:tcPr>
                  <w:tcW w:type="dxa" w:w="638"/>
                  <w:vMerge w:val="restart"/>
                </w:tcPr>
                <w:p>
                  <w:pPr>
                    <w:pStyle w:val="null3"/>
                  </w:pPr>
                  <w:r>
                    <w:rPr>
                      <w:rFonts w:ascii="仿宋_GB2312" w:hAnsi="仿宋_GB2312" w:cs="仿宋_GB2312" w:eastAsia="仿宋_GB2312"/>
                    </w:rPr>
                    <w:t>区域检验中心系统</w:t>
                  </w:r>
                </w:p>
              </w:tc>
              <w:tc>
                <w:tcPr>
                  <w:tcW w:type="dxa" w:w="638"/>
                  <w:vMerge w:val="restart"/>
                </w:tcPr>
                <w:p>
                  <w:pPr>
                    <w:pStyle w:val="null3"/>
                  </w:pPr>
                  <w:r>
                    <w:rPr>
                      <w:rFonts w:ascii="仿宋_GB2312" w:hAnsi="仿宋_GB2312" w:cs="仿宋_GB2312" w:eastAsia="仿宋_GB2312"/>
                    </w:rPr>
                    <w:t>区域检验数据采</w:t>
                  </w:r>
                  <w:r>
                    <w:br/>
                  </w:r>
                  <w:r>
                    <w:rPr>
                      <w:rFonts w:ascii="仿宋_GB2312" w:hAnsi="仿宋_GB2312" w:cs="仿宋_GB2312" w:eastAsia="仿宋_GB2312"/>
                    </w:rPr>
                    <w:t xml:space="preserve"> 集与存储应用</w:t>
                  </w:r>
                </w:p>
              </w:tc>
              <w:tc>
                <w:tcPr>
                  <w:tcW w:type="dxa" w:w="638"/>
                </w:tcPr>
                <w:p>
                  <w:pPr>
                    <w:pStyle w:val="null3"/>
                  </w:pPr>
                  <w:r>
                    <w:rPr>
                      <w:rFonts w:ascii="仿宋_GB2312" w:hAnsi="仿宋_GB2312" w:cs="仿宋_GB2312" w:eastAsia="仿宋_GB2312"/>
                    </w:rPr>
                    <w:t>1.登记工作站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支持预制码方式管理标本，降低医疗差错风险。</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支持根据患者姓名、条码状态、登记时间查询已登记的申请信息。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支持医疗机构用户登记新申请信息、编辑、删除已登记的申请信息。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 登记内容，包括患者姓名、性别、年龄、开单科室、开单医生、临床诊断、备注选择收费项目等信息。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支持通过病历号自动记录患者信息，用户可通过病历号快速录入住院患者的信息。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支持表格格式批量导入检验申请信息。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2.报告查阅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支持按报告发布时间、患者姓名、条码号等信息，多条件查询中心医院已经发布的报告单。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支持单个/批量下载、打印报告单。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支持提示报告总数、阳性报告数量、危急值报告数量。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支持设置阳性报告置顶，方便用户优先处理异常报告。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3.标本查询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支持按标本登记日期、标本状态、患者姓名、条码号、派单号查询标本状态。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支持按患者年龄、性别、科室、登记人、收费项目、取样时间、审核时间进行查询。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支持结果查询，包括标本状态、登记日期、条码号、患者姓名、年龄、性别、科室、床号、收费项目等信息。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4.统计查阅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支持对工作量进行统计，支持按登记时间、标本状态、收费项目、登记人等信息进行统计，并可将统计结果导出为表格。</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区域检验数据共</w:t>
                  </w:r>
                  <w:r>
                    <w:br/>
                  </w:r>
                  <w:r>
                    <w:rPr>
                      <w:rFonts w:ascii="仿宋_GB2312" w:hAnsi="仿宋_GB2312" w:cs="仿宋_GB2312" w:eastAsia="仿宋_GB2312"/>
                    </w:rPr>
                    <w:t xml:space="preserve"> 享与交互应用</w:t>
                  </w:r>
                </w:p>
              </w:tc>
              <w:tc>
                <w:tcPr>
                  <w:tcW w:type="dxa" w:w="638"/>
                </w:tcPr>
                <w:p>
                  <w:pPr>
                    <w:pStyle w:val="null3"/>
                  </w:pPr>
                  <w:r>
                    <w:rPr>
                      <w:rFonts w:ascii="仿宋_GB2312" w:hAnsi="仿宋_GB2312" w:cs="仿宋_GB2312" w:eastAsia="仿宋_GB2312"/>
                    </w:rPr>
                    <w:t>1.检验申请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支持接收检验申请，自动获取包括申请科室、申请医生、申请日期、检验项目、标本类型、费用及是否急诊等检验申请信息。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支持获取包括诊疗卡号、姓名、性别、年龄、住院病历号、病区、床号、临床诊断等患者基本信息。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支持由检验系统生成检验申请，包含姓名、性别、年龄、申请科室、申请医生、申请日期、检验项目、标本类型、费用等信息，支持输入代码、简拼等形式快速添加检验项目。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2.标本检验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支持检验系统自动提取就诊患者的基本信息以及临床诊断等相关信息。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支持自动从实验仪器或单机实验系统获取结果数据，自动生成计算项目的结果值。</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支持根据患者年龄、性别等因素自动给出相应的参考范围，并自动判断当前结果状态，并能以显著的颜色加以区分。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支持达到或超过危急值范围的结果以特殊、显著标识加以区分。出现危急值进行危急值登记，记录登记人、通知人、联系方式等。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支持多种形式的报告模板和常用术语字典录入工具，辅助书写检验报告。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支持手工输入检验结果、自定义输入默认结果，可以自定义常见结果。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3.审核发布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支持自动接收、分析、处理、保存实验数据，可自动判断并按照常规、质控标本进行分类，并将正确的结果显示到LIS系统中，供审核者对检验结果进行审阅。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支持手工更改结果，支持显示修改前后所有内容。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支持查看对应项目的检验仪器及其提示的异常信息等。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支持查看检验项目的临床意义，包括项目的高低值代表的不同意义，新开展的项目信息等情况，能随时提供给临床，便于查询。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4.报告打印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支持多种格式的纸张，如A4、A5、B5等，可在一张A4纸上打印一张、两张、甚至三张检验报告，系统提供多种检验报告格式模板，供实验室选择。</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支持单个或者批量打印检验报告。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支持通过查询门诊号（病历号）或者姓名的方式批量打印该患者一定时间段内的所有检验报告。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支持患者的既往检验结果和当前的检验结果进行图文对比分析；同时支持对历史结果进行查询和打印。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5.报表设计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支持多种格式的纸张，如A4、A4半张、B5、连续Letter等。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支持自动单双列模式，使报表整体更美观、更协调。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支持套打、彩打以及客户提出的其他模式。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6.质控管理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支持更换质控品时直接复制原有的项目、靶值、标准差等，无需再次录入。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支持根据一定时间段内实验室自测的质控值，自动计算当前项目的靶值和标准差，并能把计算结果作为任意时间段内该项目的靶值和标准差。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支持根据各个质控图的规则，自动判断当前结果是否失控。如果失控，提供失控的数据值、符合哪一种失控规则。支持失控处理、失控原因分析、失控报表。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支持记录失控原因，失控时间，失控处理和处理结果，审核人，失控时间。</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支持质控数据的导出，质控图的打印等。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7.查询统计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支持按照姓名、住院号、科室、医生等相关信息进行查询。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支持对患者的历史检验结果进行查询、打印。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支持对患者既往结果和现在结果进行图文比对分析。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支持实现以数据、趋势图的方式统计某一项目的开展情况。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支持实现检验结果类统计，包括检验结果数字、图形分析对比；异常、阳性结果统计；均值、集中度统计分析。</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区域检验标本流转及报告回传应用</w:t>
                  </w:r>
                </w:p>
              </w:tc>
              <w:tc>
                <w:tcPr>
                  <w:tcW w:type="dxa" w:w="638"/>
                </w:tcPr>
                <w:p>
                  <w:pPr>
                    <w:pStyle w:val="null3"/>
                  </w:pPr>
                  <w:r>
                    <w:rPr>
                      <w:rFonts w:ascii="仿宋_GB2312" w:hAnsi="仿宋_GB2312" w:cs="仿宋_GB2312" w:eastAsia="仿宋_GB2312"/>
                    </w:rPr>
                    <w:t>1.报告查阅管理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支持获取各医院查询的授权，管理员查询为“1”可点击输入条件进行查询，普通查询为“2”只可列表查看。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支持通过机构、时间、患者标识、姓名、ID等条件检索患者检验报告。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支持查询报告以时间轴列表展示，可多页展示查询人员报告。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支持具备查看检验报告详情功能，报告时间、患者信息、检验项目等。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支持图文的方式展示患者检验报告。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支持报告调整操作，支持报告旋转、预览、打印、导出的功能。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支持报告单个下载，可选择下载目录，本地保存。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2.物流交接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支持将已经登记的患者申请信息，生成为与物流交接的标本派送单。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支持在物流交接打印派送单选择样本接收单位。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支持派送单，包括来源医疗机构名称、派送单号/二维码、标本明细、交接时间等，如遇污损等情况派送单可重复打印。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支持生成派送单，申请信息不可修改，如必须修改，则先撤销派送单后，再进行修改，中心医院已接收标本后，派送单不允许撤销。</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支持历史派送单，可根据申请登记时间、患者姓名、派送单号、条码号查询。</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区域检验 BI分析</w:t>
                  </w:r>
                </w:p>
              </w:tc>
              <w:tc>
                <w:tcPr>
                  <w:tcW w:type="dxa" w:w="638"/>
                </w:tcPr>
                <w:p>
                  <w:pPr>
                    <w:pStyle w:val="null3"/>
                  </w:pPr>
                  <w:r>
                    <w:rPr>
                      <w:rFonts w:ascii="仿宋_GB2312" w:hAnsi="仿宋_GB2312" w:cs="仿宋_GB2312" w:eastAsia="仿宋_GB2312"/>
                    </w:rPr>
                    <w:t>1.数据分析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支持以地区地图的方式展示地区内医疗机构接入情况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支持根据各机构的标本量采用颜色标识区分医疗机构。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支持就诊量分析，总就诊量、总标本量、总报告量数据统计。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支持统计记录机构的6个月内的标本量变化趋势。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 统计医疗机构的1个月内的标本量变化趋势。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支持根据住院、门诊、体检三种就诊类型分析就诊类型占比。</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支持统计标本量排名前五的医疗机构依次展示。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支持提供生化、发光、尿常规、免疫、血常规的设备类型占比分析。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支持统计地区内不同性别的阳性数量分析及不同年龄区间内的标本量分析。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2.检验情况分析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支持展示地区内所有医疗机构整体的门诊量、住院量、体检量数。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 统计地区医疗机构的检验量，及科室检验量前五排名展示。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支持不同检验项目的标本量占比分析。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支持根据年度统计地区整体的标本检验量变化趋势，体检、门诊、住院。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支持以年为单位分析地区不同标本检验类型。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支持分析地区医疗机构内不同设备类型的工作量。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支持根据地区外送标本量以6个月为单位分析地区外送趋势。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支持统计地区医疗机构的外送检验标本的前五排名展示。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支持统计地区医疗机构的收费项目的前五排名展示。</w:t>
                  </w:r>
                </w:p>
              </w:tc>
            </w:tr>
            <w:tr>
              <w:tc>
                <w:tcPr>
                  <w:tcW w:type="dxa" w:w="638"/>
                  <w:vMerge w:val="restart"/>
                </w:tcPr>
                <w:p>
                  <w:pPr>
                    <w:pStyle w:val="null3"/>
                  </w:pPr>
                  <w:r>
                    <w:rPr>
                      <w:rFonts w:ascii="仿宋_GB2312" w:hAnsi="仿宋_GB2312" w:cs="仿宋_GB2312" w:eastAsia="仿宋_GB2312"/>
                    </w:rPr>
                    <w:t>4</w:t>
                  </w:r>
                </w:p>
              </w:tc>
              <w:tc>
                <w:tcPr>
                  <w:tcW w:type="dxa" w:w="638"/>
                  <w:vMerge w:val="restart"/>
                </w:tcPr>
                <w:p>
                  <w:pPr>
                    <w:pStyle w:val="null3"/>
                  </w:pPr>
                  <w:r>
                    <w:rPr>
                      <w:rFonts w:ascii="仿宋_GB2312" w:hAnsi="仿宋_GB2312" w:cs="仿宋_GB2312" w:eastAsia="仿宋_GB2312"/>
                    </w:rPr>
                    <w:t>区域影像中心系统</w:t>
                  </w:r>
                </w:p>
              </w:tc>
              <w:tc>
                <w:tcPr>
                  <w:tcW w:type="dxa" w:w="638"/>
                  <w:vMerge w:val="restart"/>
                </w:tcPr>
                <w:p>
                  <w:pPr>
                    <w:pStyle w:val="null3"/>
                  </w:pPr>
                  <w:r>
                    <w:rPr>
                      <w:rFonts w:ascii="仿宋_GB2312" w:hAnsi="仿宋_GB2312" w:cs="仿宋_GB2312" w:eastAsia="仿宋_GB2312"/>
                    </w:rPr>
                    <w:t>PACS中心应用系统</w:t>
                  </w:r>
                </w:p>
              </w:tc>
              <w:tc>
                <w:tcPr>
                  <w:tcW w:type="dxa" w:w="638"/>
                </w:tcPr>
                <w:p>
                  <w:pPr>
                    <w:pStyle w:val="null3"/>
                  </w:pPr>
                  <w:r>
                    <w:rPr>
                      <w:rFonts w:ascii="仿宋_GB2312" w:hAnsi="仿宋_GB2312" w:cs="仿宋_GB2312" w:eastAsia="仿宋_GB2312"/>
                    </w:rPr>
                    <w:t>1.机构管理与设置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下级医院信息设置功能，系统可实现对区域内所有医院的上下级关系进行全面维护，包括新增下级医院、编辑医院基础信息、调整上下级隶属关系、删除无效医院信息等操作，确保医院层级架构清晰、信息准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支持根据上下级医院的设备差异，按不同设备名称分别设置对应的报告模板，针对各级医院所使用的检查检验设备型号、参数不同的特点，定制适配的报告模板格式，确保报告内容规范、数据呈现统一。</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申请医院对患者信息进行区分显示，系统可自动识别患者各项医疗服务的申请医院，在患者信息列表、诊疗记录、报告详情等页面，明确标注申请医院信息，便于医护人员快速区分不同医院发起的诊疗申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2.区域影像协同管理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支持上下级医院远程诊断报告功能，打破空间限制，下级医院可将患者检查检验报告、影像资料等提交至上级医院，上级医院医生可基于共享数据出具远程诊断意见，实现上下级医疗诊断协同。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支持报告同步功能，提供手动同步与自动同步两种方式，自动同步可实现报告生成后实时同步至信息共享中心及相关关联医院，确保数据及时更新；手动同步可由医护人员根据实际需求，主动发起报告同步操作。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支持上级医院对下级医院提交的各类报告进行诊断与审核，上级医院医生可查看下级医院出具的报告内容、诊断结果，结合患者完整诊疗数据，给出审核意见、修正建议及最终诊断结论，规范下级医院诊疗行为。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影像同步功能，实现上下级医院患者影像资料的实时互通，下级医院上传的患者影像文件可快速同步至上级医院及信息共享中心，确保医护人员在远程诊断、会诊过程中，能够实时调阅完整、清晰的影像资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影像文件上传及权限控制功能，下级医院可按规范上传患者各类影像文件（如CT、B超、X光等），系统对影像文件进行加密存储；同时基于分级权限管理机制，对影像文件的调阅、查看权限进行严格控制，仅授权医护人员可访问对应影像资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支持分别对上下级医院的相关信息进行统计汇总，可按医院层级（上级、下级）分别统计就诊量、报告数量、影像上传量、远程诊断次数等核心数据，生成专属统计报表，清晰呈现各级医院的医疗服务开展情况。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3.影像与报告归档存储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影像归档服务，系统可对上下级医院上传的所有患者影像文件（包括CT、B超、X光、核磁共振等各类影像资料）进行规范化归档管理，按照患者身份、就诊时间、检查类型、所属医院等维度进行分类整理、有序存储，实现影像资料的集中归档、快速检索与长期留存，确保影像数据可追溯、不丢失。</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影像和报告存储服务，构建安全、高效的存储体系，可对患者影像文件及各类诊疗报告（检查检验报告、诊断报告、远程会诊报告等）进行统一存储，兼顾数据存储的安全性与可用性。存储过程中对数据进行加密处理，防止数据篡改、泄露，同时支持海量数据的稳定存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4.数据管理与质控服务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查询和提取服务，提供便捷、高效的数据查询功能，医护人员可根据患者姓名、就诊号、检查日期、申请医院、数据类型等多种关键词，快速查询所需的影像、报告及相关诊疗数据；同时支持数据提取功能，可按规范导出所需数据，满足临床诊疗、病例统计、科研教学等多场景的数据使用需求。</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权限控制功能，延续系统分级权限管理体系，针对影像、报告、诊疗数据等不同类型的信息，按医护人员所在机构、岗位、职称等分配精准的访问、操作权限，明确各级用户的数据访问范围，仅授权人员可进行数据查询、提取、编辑等操作，严格保护患者隐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质控管理功能，建立完善的医疗数据质量控制体系，对上传的影像文件、报告内容、诊疗数据等进行全方位质量审核，重点核查数据的完整性、准确性、规范性，对异常数据、不规范报告进行标记并提醒相关人员修正，确保共享数据的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数据交换管理功能，规范上下级医院及各关联机构间的数据交换流程，建立标准化的数据交换机制，实现不同机构、不同系统间的数据高效、安全交换，确保影像、报告、患者诊疗等数据在协同医疗机构间同步一致。</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5.图文核对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支持通过DICOM3.0接口自动采集患者的动、静态图像。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支持视频采集支持静态图像（照相、定时采集）和动态图像（录像）两种采集方式。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支持静态图像采集定时采集，可定义最小1秒钟采集一幅图像，连续自动采集多幅图像。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支持脚踏板采集方式和键盘鼠标采集方式。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支持实时显示图像内容。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支持采集一帧图像到采集图像列表中。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支持连续采集图像到图像列表中。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支持删除图像列表中选中的图像。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支持录制动态影像保存为avi格式。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支持对录制的动态影像进行回放。</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支持用户身份验证以密码保密。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支持无人使用后定时屏幕锁定功能，用户重新输入密码后才可以使用，保障系统安全。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支持密码维护功能。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支持保存操作系统异常前已经采集的图像，重新进入图文报告系统后能够恢复。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支持对图像的移动、翻转、镜像、放大、缩小等图像显示处理工具，提供角度、直线、箭头、圆、矩形、多边形、手绘线和文字等批注工具。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6.图文报告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支持在图像采集之后，对诊断报告进行编辑，在诊断报告编辑过程中可以调入已有的报告模板，同时也可以将新写的报告以报告模板的形式保存起来，供以后的诊断应用。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支持根据患者的诊断部位调用已定义的典型报告模板，模板调入后可进行简单的编辑，快速生成影像诊断报告。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支持对检查结果为阳性或典型病例可将该患者的检查标记为“阳性”和“典型病例”，供科研和教学使用。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7.设备联机</w:t>
                  </w:r>
                  <w:r>
                    <w:br/>
                  </w:r>
                  <w:r>
                    <w:rPr>
                      <w:rFonts w:ascii="仿宋_GB2312" w:hAnsi="仿宋_GB2312" w:cs="仿宋_GB2312" w:eastAsia="仿宋_GB2312"/>
                    </w:rPr>
                    <w:t xml:space="preserve"> 系统需提供DICOM的标准接口，可直接接收所有符合DICOM3.0标准的影像数据。</w:t>
                  </w:r>
                  <w:r>
                    <w:br/>
                  </w:r>
                  <w:r>
                    <w:rPr>
                      <w:rFonts w:ascii="仿宋_GB2312" w:hAnsi="仿宋_GB2312" w:cs="仿宋_GB2312" w:eastAsia="仿宋_GB2312"/>
                    </w:rPr>
                    <w:t xml:space="preserve"> 系统需支持连接DICOM影像软件和工作站。</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放射中心应用系统</w:t>
                  </w:r>
                </w:p>
              </w:tc>
              <w:tc>
                <w:tcPr>
                  <w:tcW w:type="dxa" w:w="638"/>
                </w:tcPr>
                <w:p>
                  <w:pPr>
                    <w:pStyle w:val="null3"/>
                  </w:pPr>
                  <w:r>
                    <w:rPr>
                      <w:rFonts w:ascii="仿宋_GB2312" w:hAnsi="仿宋_GB2312" w:cs="仿宋_GB2312" w:eastAsia="仿宋_GB2312"/>
                    </w:rPr>
                    <w:t>1.信息查询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病人编号、病人姓名、性别、年龄、检查日期、检查号、诊断医师、申请科室、设备类型、检查部位、申请医师、报告医师、操作医师、审核医师、显示诊断结论、显示阅片状态、显示报告状态、显示审核状态等查询条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支持通过患者标识、归档类型、报告/检查属性、报告描述、诊断信息等多种方式的组合、模糊查询功能。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支持自主设定过滤器来产生工作列表。工作列表可以以病人、检查、序列和影像四种层次提供信息。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支持图像标记功能，选取单幅和多幅图像建立KIN object，并可存储于PACS服务器上；具有关键影像信息的分类归档能力并提供查询检索关键影像能力。</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2.菜单结构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支持图像导入功能（将光盘内的DICOM图像或硬盘中其他图像导入到工作站中）。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支持图像布局功能，使图像的各个系列独立显示在窗口的功能。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支持预设窗宽、窗位功能。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支持工作表清单中能看到序列号和影像。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支持在同一界面中查看病人影像和报告。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3.图像调阅及显示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支持DICOM Q/R SCU，支持Patient和study 级别的查询检索，并可通过此功能从标准DICOM服务器中查询并获取影像；可按照患者ID，AccessNo.，检查日期和时间和设备类型等各检索关键字来检索影像。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支持接收和显示多种设备的不同种类影像，如CR、CT、MRI、US、DSA等，支持动（静）态影像显示。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支持通过网络进行影像数据快速查询与调阅。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支持采用多线程调阅技术，支持影像的后台调阅，当第一屏影像显示完成后即可以进行图像处理，不需要等待全部影像传输完毕。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支持标准DICOM PDI（便携式DICOM影像数据）光盘的导入功能，能够将光盘中的数据归档到PACS系统中。支持便携式影像数据模型。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支持标准DICOM PDI（便携式DICOM影像数据）光盘的读取功能，可以浏览光盘内各影像及报告信息；支持便携式影像数据模型。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支持图像显示满足检查模式、序列模式和图像模式三种不同模式。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支持按检查类型相关的显示设置自动安排显示布局。</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支持同屏显示一个病人的多次检查的图像，允许经特殊授权用户显示非本科室产生的图像。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支持同时调阅一个病人或多个患者不同诊断序列、不同体位、不同时期、不同成像设备的影像对比显示和诊断。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4.图像处理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支持图像旋转、翻转。</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支持图像移动漫游。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支持图像黑白翻转。</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支持伪彩。</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支持放大镜。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支持图像复制。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支持窗宽、窗位调节。</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支持预设窗宽/窗位。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支持根据不同图像要求预设多种窗宽/窗位及快捷方式调整窗宽/窗位。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支持ROI自动窗宽、窗位调节。</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5.报告编辑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支持急诊检查红色显示。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支持报告任务自动刷新，支持任务优先级。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支持浏览电子申请单和已拍摄申请单。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支持在无图状态下书写诊断报告。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支持报告单预览功能（在书写、审核、打印时都可随时预览报告）。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支持报告模板可以按设备类型和检查部位进行分类；支持输出报告设计，功能包括输出模板文件管理，模板编辑功能，图像内容编辑，文字内容编辑和布局编辑。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支持在书写报告过程中可随时切换报告单样式。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支持历史诊断报告列表功能，审核医生可查看当前病人同模态的历史诊断报告。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支持常用词汇管理，支持报告模板管理。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支持报告模板功能，有常见疾病的模板，模板分为公有模板和私有模板，并可以互相转换。</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超声中心应用系统</w:t>
                  </w:r>
                </w:p>
              </w:tc>
              <w:tc>
                <w:tcPr>
                  <w:tcW w:type="dxa" w:w="638"/>
                </w:tcPr>
                <w:p>
                  <w:pPr>
                    <w:pStyle w:val="null3"/>
                  </w:pPr>
                  <w:r>
                    <w:rPr>
                      <w:rFonts w:ascii="仿宋_GB2312" w:hAnsi="仿宋_GB2312" w:cs="仿宋_GB2312" w:eastAsia="仿宋_GB2312"/>
                    </w:rPr>
                    <w:t>1.科室管理工作站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支持PACS和RIS的用户单点登录，统一维护。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支持基础信息管理、权限设置、维护管理等功能。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支持根据用户类别或组类别赋予使用权限。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支持系统所有用户由系统管理员统一创建，并根据该用户在业务流程中担任的角色设置用户权限。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支持根据用户需求设置初始密码。可按用户或者组类别赋予使用权限，支持对于个别用户或者用户组，分配使用或者变更系统资源及数据的使用控制功能。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支持每个用户使用各自的ID和密码登录系统，访问系统中的数据。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支持多种索引方式快速检索病人基本信息/检查基本信息。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支持特殊疾病的统计和查询。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支持将检查信息导出到表格。</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2.技师工作站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支持使用条码扫描的方式定位病人。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支持调出当前患者的基本信息、检查信息、收费信息等，进行确认并修改。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支持查看当前患者的电子或扫描申请单。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支持检查情况的记录。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支持重拍、补拍及紧急拍片。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支持影像质控功能，可以对胶片质量进行分级，并可对胶片的使用进行统计查询。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支持胶片打印管理，保存胶片打印记录。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3.超声/内镜图文报告工作站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支持通过DICOM3.0接口自动采集患者的动、静态图像。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支持视频采集支持静态图像（照相、定时采集）和动态图像（录像）两种采集方式。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支持静态图像采集定时采集，可定义最小1秒钟采集一幅图像，连续自动采集多幅图像。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支持脚踏板采集方式和键盘鼠标采集方式。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支持实时显示图像内容。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支持采集一帧图像到采集图像列表中。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支持连续采集图像到图像列表中。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支持删除图像列表中选中的图像。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支持录制动态影像保存为avi格式。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支持对录制的动态影像进行回放。</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支持用户身份验证以密码保密。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支持无人使用后定时屏幕锁定功能，用户重新输入密码后才可以使用，保障系统安全。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支持密码维护功能。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支持保存操作系统异常前已经采集的图像，重新进入图文报告系统后能够恢复。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支持对图像的移动、翻转、镜像、放大、缩小等图像显示处理工具，提供角度、直线、箭头、圆、矩形、多边形、手绘线和文字等批注工具。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支持当医生在完成一份诊断报告之后，认为该报告可作为典型模板保存起来，可以使用该功能，将已写的报告自动按检查设备、部位等保存为私有模板，便于以后同类型诊断使用。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支持显示本病人的所有不同时间、不同设备的相关影像检查资料。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支持在打印之前可以选择系统中已定义好的输出报告模板，以确定输出报告的形式。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支持内镜检查标记并打印示意图功能。</w:t>
                  </w:r>
                </w:p>
              </w:tc>
            </w:tr>
            <w:tr>
              <w:tc>
                <w:tcPr>
                  <w:tcW w:type="dxa" w:w="638"/>
                  <w:vMerge w:val="restart"/>
                </w:tcPr>
                <w:p>
                  <w:pPr>
                    <w:pStyle w:val="null3"/>
                  </w:pPr>
                  <w:r>
                    <w:rPr>
                      <w:rFonts w:ascii="仿宋_GB2312" w:hAnsi="仿宋_GB2312" w:cs="仿宋_GB2312" w:eastAsia="仿宋_GB2312"/>
                    </w:rPr>
                    <w:t>5</w:t>
                  </w:r>
                </w:p>
              </w:tc>
              <w:tc>
                <w:tcPr>
                  <w:tcW w:type="dxa" w:w="638"/>
                  <w:vMerge w:val="restart"/>
                </w:tcPr>
                <w:p>
                  <w:pPr>
                    <w:pStyle w:val="null3"/>
                  </w:pPr>
                  <w:r>
                    <w:rPr>
                      <w:rFonts w:ascii="仿宋_GB2312" w:hAnsi="仿宋_GB2312" w:cs="仿宋_GB2312" w:eastAsia="仿宋_GB2312"/>
                    </w:rPr>
                    <w:t>区域病理中心系统</w:t>
                  </w:r>
                </w:p>
              </w:tc>
              <w:tc>
                <w:tcPr>
                  <w:tcW w:type="dxa" w:w="638"/>
                </w:tcPr>
                <w:p>
                  <w:pPr>
                    <w:pStyle w:val="null3"/>
                  </w:pPr>
                  <w:r>
                    <w:rPr>
                      <w:rFonts w:ascii="仿宋_GB2312" w:hAnsi="仿宋_GB2312" w:cs="仿宋_GB2312" w:eastAsia="仿宋_GB2312"/>
                    </w:rPr>
                    <w:t>区域病理影像采集与归档</w:t>
                  </w:r>
                </w:p>
              </w:tc>
              <w:tc>
                <w:tcPr>
                  <w:tcW w:type="dxa" w:w="638"/>
                </w:tcPr>
                <w:p>
                  <w:pPr>
                    <w:pStyle w:val="null3"/>
                  </w:pPr>
                  <w:r>
                    <w:rPr>
                      <w:rFonts w:ascii="仿宋_GB2312" w:hAnsi="仿宋_GB2312" w:cs="仿宋_GB2312" w:eastAsia="仿宋_GB2312"/>
                    </w:rPr>
                    <w:t>支持与各类型数字病理显微镜、显微镜相机等病理扫描仪进行对接。</w:t>
                  </w:r>
                  <w:r>
                    <w:br/>
                  </w:r>
                  <w:r>
                    <w:rPr>
                      <w:rFonts w:ascii="仿宋_GB2312" w:hAnsi="仿宋_GB2312" w:cs="仿宋_GB2312" w:eastAsia="仿宋_GB2312"/>
                    </w:rPr>
                    <w:t xml:space="preserve"> 支持接收各个病理申请端的数字切片图像以及报告、患者信息。</w:t>
                  </w:r>
                  <w:r>
                    <w:br/>
                  </w:r>
                  <w:r>
                    <w:rPr>
                      <w:rFonts w:ascii="仿宋_GB2312" w:hAnsi="仿宋_GB2312" w:cs="仿宋_GB2312" w:eastAsia="仿宋_GB2312"/>
                    </w:rPr>
                    <w:t xml:space="preserve"> 支持将数字切片图像和患者、报告信息传输给病理数据服务器。</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区域病理样本流转服务</w:t>
                  </w:r>
                </w:p>
              </w:tc>
              <w:tc>
                <w:tcPr>
                  <w:tcW w:type="dxa" w:w="638"/>
                </w:tcPr>
                <w:p>
                  <w:pPr>
                    <w:pStyle w:val="null3"/>
                  </w:pPr>
                  <w:r>
                    <w:rPr>
                      <w:rFonts w:ascii="仿宋_GB2312" w:hAnsi="仿宋_GB2312" w:cs="仿宋_GB2312" w:eastAsia="仿宋_GB2312"/>
                    </w:rPr>
                    <w:t>1.交接与签收流程</w:t>
                  </w:r>
                  <w:r>
                    <w:br/>
                  </w:r>
                  <w:r>
                    <w:rPr>
                      <w:rFonts w:ascii="仿宋_GB2312" w:hAnsi="仿宋_GB2312" w:cs="仿宋_GB2312" w:eastAsia="仿宋_GB2312"/>
                    </w:rPr>
                    <w:t xml:space="preserve"> 支持执行双人双签核对制度，核对标本数量、条码、部位、固定状态、申请单信息；系统自动生成交接记录。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2.报警机制</w:t>
                  </w:r>
                  <w:r>
                    <w:br/>
                  </w:r>
                  <w:r>
                    <w:rPr>
                      <w:rFonts w:ascii="仿宋_GB2312" w:hAnsi="仿宋_GB2312" w:cs="仿宋_GB2312" w:eastAsia="仿宋_GB2312"/>
                    </w:rPr>
                    <w:t xml:space="preserve"> 支持建立标本超时预警机制，超过规定时限未送达、未签收、未入库系统自动弹窗报警并通知责任人。</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区域病理监管统计</w:t>
                  </w:r>
                </w:p>
              </w:tc>
              <w:tc>
                <w:tcPr>
                  <w:tcW w:type="dxa" w:w="638"/>
                </w:tcPr>
                <w:p>
                  <w:pPr>
                    <w:pStyle w:val="null3"/>
                  </w:pPr>
                  <w:r>
                    <w:rPr>
                      <w:rFonts w:ascii="仿宋_GB2312" w:hAnsi="仿宋_GB2312" w:cs="仿宋_GB2312" w:eastAsia="仿宋_GB2312"/>
                    </w:rPr>
                    <w:t>支持常用关键信息的快捷查询。</w:t>
                  </w:r>
                  <w:r>
                    <w:br/>
                  </w:r>
                  <w:r>
                    <w:rPr>
                      <w:rFonts w:ascii="仿宋_GB2312" w:hAnsi="仿宋_GB2312" w:cs="仿宋_GB2312" w:eastAsia="仿宋_GB2312"/>
                    </w:rPr>
                    <w:t xml:space="preserve"> 支持多条件组合查询、支持模糊查询、二次查询。</w:t>
                  </w:r>
                  <w:r>
                    <w:br/>
                  </w:r>
                  <w:r>
                    <w:rPr>
                      <w:rFonts w:ascii="仿宋_GB2312" w:hAnsi="仿宋_GB2312" w:cs="仿宋_GB2312" w:eastAsia="仿宋_GB2312"/>
                    </w:rPr>
                    <w:t xml:space="preserve"> 支持高级查询，设置查询条件和显示列表。</w:t>
                  </w:r>
                  <w:r>
                    <w:br/>
                  </w:r>
                  <w:r>
                    <w:rPr>
                      <w:rFonts w:ascii="仿宋_GB2312" w:hAnsi="仿宋_GB2312" w:cs="仿宋_GB2312" w:eastAsia="仿宋_GB2312"/>
                    </w:rPr>
                    <w:t xml:space="preserve"> 支持针对同一病例、不同检查类型的诊断对照查询机制。</w:t>
                  </w:r>
                  <w:r>
                    <w:br/>
                  </w:r>
                  <w:r>
                    <w:rPr>
                      <w:rFonts w:ascii="仿宋_GB2312" w:hAnsi="仿宋_GB2312" w:cs="仿宋_GB2312" w:eastAsia="仿宋_GB2312"/>
                    </w:rPr>
                    <w:t xml:space="preserve"> 支持患者日志查询。</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病理标本采集登记</w:t>
                  </w:r>
                </w:p>
              </w:tc>
              <w:tc>
                <w:tcPr>
                  <w:tcW w:type="dxa" w:w="638"/>
                </w:tcPr>
                <w:p>
                  <w:pPr>
                    <w:pStyle w:val="null3"/>
                  </w:pPr>
                  <w:r>
                    <w:rPr>
                      <w:rFonts w:ascii="仿宋_GB2312" w:hAnsi="仿宋_GB2312" w:cs="仿宋_GB2312" w:eastAsia="仿宋_GB2312"/>
                    </w:rPr>
                    <w:t>1.登记工作站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支持标本分库登记，可设置各库的报告时间，组织学支持大小标本分类设置报告期限，系统自动提醒延期的报告。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支持传染性标本，病例记录黄色提醒，保护医疗人员。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支持记录不合格标本拒收原因。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支持登记时出现病理号重号有自动提示。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支持纸质申请单数字化存储功能，支持自动批量电子化，支持诊断对申请单档案的直接调阅。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支持工作站的登记，取材，包埋，切片，诊断，延期，报告，打印主要状态色标颜色提示，用户可自定义提醒颜色。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2.取材工作站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支持活检标本取材、手术标本取材、术中冰冻取材、细胞学取材、分子病理分样管理。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支持未取材、已取材、医嘱、全部状态病例列表查询。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支持标本扫码定位患者，未编码分配病理号。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支持便捷的大体描述结构化模板。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支持对蜡块的来源、部位名称、组织数、直径、备注等标注。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支持针对免疫组化、分子病理、淋巴结的任务来源，可配置不同序号规则。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支持已取材蜡块的复制、快速添加、送检标本添加。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支持常规病例自动提示术中冰冻，查看冰冻结果，同名病例查阅。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支持取材拍照、录音功能，蜡块取材保存时分配给某技术组。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支持取材医嘱查看，新增，标注蜡块补取、重取、脱钙。</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病理标本外送</w:t>
                  </w:r>
                </w:p>
              </w:tc>
              <w:tc>
                <w:tcPr>
                  <w:tcW w:type="dxa" w:w="638"/>
                </w:tcPr>
                <w:p>
                  <w:pPr>
                    <w:pStyle w:val="null3"/>
                  </w:pPr>
                  <w:r>
                    <w:rPr>
                      <w:rFonts w:ascii="仿宋_GB2312" w:hAnsi="仿宋_GB2312" w:cs="仿宋_GB2312" w:eastAsia="仿宋_GB2312"/>
                    </w:rPr>
                    <w:t>支持记录标本转运流程。</w:t>
                  </w:r>
                  <w:r>
                    <w:br/>
                  </w:r>
                  <w:r>
                    <w:rPr>
                      <w:rFonts w:ascii="仿宋_GB2312" w:hAnsi="仿宋_GB2312" w:cs="仿宋_GB2312" w:eastAsia="仿宋_GB2312"/>
                    </w:rPr>
                    <w:t xml:space="preserve"> 支持标本码生成管理。</w:t>
                  </w:r>
                  <w:r>
                    <w:br/>
                  </w:r>
                  <w:r>
                    <w:rPr>
                      <w:rFonts w:ascii="仿宋_GB2312" w:hAnsi="仿宋_GB2312" w:cs="仿宋_GB2312" w:eastAsia="仿宋_GB2312"/>
                    </w:rPr>
                    <w:t xml:space="preserve"> 支持标本外送管理。</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标本条码流程管理</w:t>
                  </w:r>
                </w:p>
              </w:tc>
              <w:tc>
                <w:tcPr>
                  <w:tcW w:type="dxa" w:w="638"/>
                </w:tcPr>
                <w:p>
                  <w:pPr>
                    <w:pStyle w:val="null3"/>
                  </w:pPr>
                  <w:r>
                    <w:rPr>
                      <w:rFonts w:ascii="仿宋_GB2312" w:hAnsi="仿宋_GB2312" w:cs="仿宋_GB2312" w:eastAsia="仿宋_GB2312"/>
                    </w:rPr>
                    <w:t>1.标本包埋工作站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支持脱水中的蜡块记录查询，进行核对并执行脱水完成。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支持脱水篮拍照图像留证存储。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支持蜡块由哪台脱水机、哪批次脱水液、哪个医生、什么时间开始脱水的。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支持脱水完成但未包埋的蜡块记录查询，进行批量包埋核对执行。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支持蜡块扫码执行包埋操作，查看取材提醒备注。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支持蜡块显示由哪台包埋机、哪批次石蜡、哪个技师、什么时间执行包埋的。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支持蜡块评价，如记录材块“翻盖”、“无组织”、“立”“皮”等情况。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支持包埋盒扫描，样本包含的信息及包埋盒信息显示到工作站界面，依次扫描包埋盒验证信息的准确性，核对信息包括但不限于病理号，患者姓名，性别。支持补打包埋盒号。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2.标本制片工作站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支持从蜡块切片、染色、封片、医嘱执行的全流程制片管理。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支持未切片、未染色记录查询，进行批量核对执行。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支持蜡块扫码执行切片、捞片操作，支持双人工作模式记录。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支持蜡块扫码后自动打印载玻片，可评价蜡块包埋质量。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支持切片由哪台切片机、哪批次刀片、浸泡液、哪个技师、什么时间执行的。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支持批量染色封片操作，支持整板切片拍照留证。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支持切片由哪台染色机、哪批染液、哪个技师、什么时间开始染色的，什么时候结束染色封片的。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支持蜡块扫码执行技术医嘱，包括重取、补取、重切、深切、连切及医嘱状态。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支持细胞制片全流程管理，支持标本制片、染色、封片。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支持细胞制片评价，如记录细胞量不足等特殊情况。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支持定制接口将载玻片打号机连入网络，以网络传输的方式取代手工录入，可将切片明细列表直接传给载玻片打号机打印。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支持切片抽检评价。由技师进行切片质量评价工作，并支持切片质量月报表、日报表、统计切片优良率。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3.标本病理诊断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支持病理检查项目的平台化管理，对于不同检查项目(常规、冰冻、细胞学、TCT、HPV、分子病理、外院会诊、尸检等检查项目)在同一平台下进行统一查询、编辑、对比等操作。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支持医生接收切片任务功能，支持对已分片和未分片的报告记录进行接收，支持初诊接收、复诊接收。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支持待诊断、诊断中、已审核、已打印、已上传、全部状态病例列表查询，支持切片标签扫码定位患者。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支持病例基本信息、原始申请单、大体描述、蜡块记录、同名病例、历次检查、医嘱信息、会诊信息、临床信息等。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支持发起技术医嘱、特检医嘱、科内会诊、延期报告、补充报告、随访、典型病例收藏夹等。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支持按需会诊，可记录初诊意见和信心度，复诊医师可对初诊进行准确性评价，不受状态限制，支持会诊患者切片流转管理。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支持查看术中冰冻报告、术中冰冻与石蜡诊断符合评价。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支持病理报告三级阅片制，可单独记录初诊、复诊、审核诊断结论。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支持根据任务来源自动提取淋巴结蜡块的部位名称导入病理诊断中。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支持免疫组化医嘱诊断完成自动回填常规报告。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支持支持病理诊断结果冲突智能匹配识别，危急值上报。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支持对患者沟通情况、临床沟通情况、查房记录等信息的信息化文本记录。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支持支持重要报告痕迹记录和溯源查询。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支持对于同一患者当次检查的多份病理报告，例如：多次冰冻报告、多次补充报告等，系统支持以纵向标签页的形式排列显示，编写当前报告的同时，可快捷切换标签页参考其它报告结果。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支持支持镜下阅片摄像，实时图像浏览、拍摄, 不同患者根据拍摄规则自动切换。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支持支持拍摄图像规则设置多种摄像头参数自动切换，调整摄像头亮度、饱和度。</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支持图文混排报告，支持报告版式自定义功能，允许报告标题、字体、布局等的定制，允许图像大小和布局的调整，支持报告的打印输出。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支持对冰冻符合、临床符合、细胞符合、取材评价、切片质量评价、报告质量评价等质控结果导出或打印。</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报告管理</w:t>
                  </w:r>
                </w:p>
              </w:tc>
              <w:tc>
                <w:tcPr>
                  <w:tcW w:type="dxa" w:w="638"/>
                </w:tcPr>
                <w:p>
                  <w:pPr>
                    <w:pStyle w:val="null3"/>
                  </w:pPr>
                  <w:r>
                    <w:rPr>
                      <w:rFonts w:ascii="仿宋_GB2312" w:hAnsi="仿宋_GB2312" w:cs="仿宋_GB2312" w:eastAsia="仿宋_GB2312"/>
                    </w:rPr>
                    <w:t>支持报告确诊后上传报告浏览器，支持犹豫期，时间限制。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支持面向临床、医技、病案室等科室调阅病理报告功能。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支持根据科室配置访问权限。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支持查看图文报告、查看复制文字报告、打印图文报告等。</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临床报告调阅管理</w:t>
                  </w:r>
                </w:p>
              </w:tc>
              <w:tc>
                <w:tcPr>
                  <w:tcW w:type="dxa" w:w="638"/>
                </w:tcPr>
                <w:p>
                  <w:pPr>
                    <w:pStyle w:val="null3"/>
                  </w:pPr>
                  <w:r>
                    <w:rPr>
                      <w:rFonts w:ascii="仿宋_GB2312" w:hAnsi="仿宋_GB2312" w:cs="仿宋_GB2312" w:eastAsia="仿宋_GB2312"/>
                    </w:rPr>
                    <w:t>支持医共体平台信息共享集中调阅。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支持根据各单位权限调阅不同内容。</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查询统计</w:t>
                  </w:r>
                </w:p>
              </w:tc>
              <w:tc>
                <w:tcPr>
                  <w:tcW w:type="dxa" w:w="638"/>
                </w:tcPr>
                <w:p>
                  <w:pPr>
                    <w:pStyle w:val="null3"/>
                  </w:pPr>
                  <w:r>
                    <w:rPr>
                      <w:rFonts w:ascii="仿宋_GB2312" w:hAnsi="仿宋_GB2312" w:cs="仿宋_GB2312" w:eastAsia="仿宋_GB2312"/>
                    </w:rPr>
                    <w:t>支持统计病理检查登记本、病理报告签收本、取材工作单、切片工作单、染色工作表（按标记物）、染色工作表（按病理号）、病理检查底单、门诊回执、借片凭证等。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支持报告发放统计、收费统计、病理医生工作量统计、科室工作量月报表、送检工作量月报表、技术医嘱月报表、特检医嘱月报表、切片质量月报表、诊断符合率月报表表、复片率和复片准确率统计等。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支持对所有病例的诊断随机抽查质控，评价，统计查询和报表功能。</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病理远程会诊中心</w:t>
                  </w:r>
                </w:p>
              </w:tc>
              <w:tc>
                <w:tcPr>
                  <w:tcW w:type="dxa" w:w="638"/>
                </w:tcPr>
                <w:p>
                  <w:pPr>
                    <w:pStyle w:val="null3"/>
                  </w:pPr>
                  <w:r>
                    <w:rPr>
                      <w:rFonts w:ascii="仿宋_GB2312" w:hAnsi="仿宋_GB2312" w:cs="仿宋_GB2312" w:eastAsia="仿宋_GB2312"/>
                    </w:rPr>
                    <w:t>1.病理申请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申请，病理诊断中心系统可向区域内其他有条件的接入机构提供病理远程会诊申请服务。基层医疗机构可使用病理诊断中心系统病理会诊申请服务向病理会诊中心申请病理会诊，在申请会诊的同时将患者基本信息、检查信息、病人主诉等情况和病理相关资料数据一并上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2.病理审核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支持病理审核功能。远程病理中心系统提供病理会诊审核功能，管理员或病理诊断中心可以根据病理会诊要求对发来的病理会诊申请进行审核操作。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3.病理安排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支持病理安排功能。审核通过的病理会诊申请，管理员或病理诊断中心可进行会诊安排操作，为会诊申请分配邀请病理诊断中心专家库中的专家等。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4.病理执行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支持病理执行功能。支持提供管理员或病理会诊诊断中心操作人员进行病理会诊执行确认操作。点击病历会诊执行按钮后，该病理申请进入执行状态，等待病理专家编辑完成病历会诊报告。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5.病理报告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支持病理报告功能。远程病理中心系统提供病理图片和资料展示调阅以及病理会诊报告编辑功能。专家完成病理会诊报告后。基层医疗机构可对病理会诊报告进行调阅、下载。</w:t>
                  </w:r>
                </w:p>
              </w:tc>
            </w:tr>
            <w:tr>
              <w:tc>
                <w:tcPr>
                  <w:tcW w:type="dxa" w:w="638"/>
                  <w:vMerge w:val="restart"/>
                </w:tcPr>
                <w:p>
                  <w:pPr>
                    <w:pStyle w:val="null3"/>
                  </w:pPr>
                  <w:r>
                    <w:rPr>
                      <w:rFonts w:ascii="仿宋_GB2312" w:hAnsi="仿宋_GB2312" w:cs="仿宋_GB2312" w:eastAsia="仿宋_GB2312"/>
                    </w:rPr>
                    <w:t>6</w:t>
                  </w:r>
                </w:p>
              </w:tc>
              <w:tc>
                <w:tcPr>
                  <w:tcW w:type="dxa" w:w="638"/>
                  <w:vMerge w:val="restart"/>
                </w:tcPr>
                <w:p>
                  <w:pPr>
                    <w:pStyle w:val="null3"/>
                  </w:pPr>
                  <w:r>
                    <w:rPr>
                      <w:rFonts w:ascii="仿宋_GB2312" w:hAnsi="仿宋_GB2312" w:cs="仿宋_GB2312" w:eastAsia="仿宋_GB2312"/>
                    </w:rPr>
                    <w:t>区域心电中心系统</w:t>
                  </w:r>
                </w:p>
              </w:tc>
              <w:tc>
                <w:tcPr>
                  <w:tcW w:type="dxa" w:w="638"/>
                </w:tcPr>
                <w:p>
                  <w:pPr>
                    <w:pStyle w:val="null3"/>
                  </w:pPr>
                  <w:r>
                    <w:rPr>
                      <w:rFonts w:ascii="仿宋_GB2312" w:hAnsi="仿宋_GB2312" w:cs="仿宋_GB2312" w:eastAsia="仿宋_GB2312"/>
                    </w:rPr>
                    <w:t>点位扩展覆盖</w:t>
                  </w:r>
                </w:p>
              </w:tc>
              <w:tc>
                <w:tcPr>
                  <w:tcW w:type="dxa" w:w="638"/>
                </w:tcPr>
                <w:p>
                  <w:pPr>
                    <w:pStyle w:val="null3"/>
                  </w:pPr>
                  <w:r>
                    <w:rPr>
                      <w:rFonts w:ascii="仿宋_GB2312" w:hAnsi="仿宋_GB2312" w:cs="仿宋_GB2312" w:eastAsia="仿宋_GB2312"/>
                    </w:rPr>
                    <w:t>本项目需将可运行的心电区域平台扩展覆盖到18家乡镇卫生机构，保障心电平台在全县域内共享互通，主要功能要求如下：</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病例管理</w:t>
                  </w:r>
                </w:p>
              </w:tc>
              <w:tc>
                <w:tcPr>
                  <w:tcW w:type="dxa" w:w="638"/>
                </w:tcPr>
                <w:p>
                  <w:pPr>
                    <w:pStyle w:val="null3"/>
                  </w:pPr>
                  <w:r>
                    <w:rPr>
                      <w:rFonts w:ascii="仿宋_GB2312" w:hAnsi="仿宋_GB2312" w:cs="仿宋_GB2312" w:eastAsia="仿宋_GB2312"/>
                    </w:rPr>
                    <w:t>支持具有数字接口的心电图机设备的无缝接入，连接原始数据，实现统一存储、管理、统计检索。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支持医院心电图数据进行数字化集中存储及管理，可对心电数据进行查找、统计、测量。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支持心电数据以XML标准定义的格式进行波形的存储，建立标准心电数据库。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支持在病例申请单管理界面快速查看申请单测量值以及诊断信息， 不需要进入波形分析界面。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支持在登记患者信息时快速选择临床症状， 供诊断医生参考。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支持导出病例申请单详情， 导出字段可自定义配置。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支持病例列表字段名称自定义配置。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支持同时显示不同状态申请单的数量。</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消息提醒</w:t>
                  </w:r>
                </w:p>
              </w:tc>
              <w:tc>
                <w:tcPr>
                  <w:tcW w:type="dxa" w:w="638"/>
                </w:tcPr>
                <w:p>
                  <w:pPr>
                    <w:pStyle w:val="null3"/>
                  </w:pPr>
                  <w:r>
                    <w:rPr>
                      <w:rFonts w:ascii="仿宋_GB2312" w:hAnsi="仿宋_GB2312" w:cs="仿宋_GB2312" w:eastAsia="仿宋_GB2312"/>
                    </w:rPr>
                    <w:t>支持新检查病历到达提醒、会诊病历到达提醒及会诊病历返回提醒功能，并支持设置是否提醒、声音提醒开启时间设置及提醒方式的设置。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支持未读消息和已读消息区分， 且未读消息应有明显标识提醒医生。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支持未读消息一键已读能力， 已读消息根据消息类型及时间检索查看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支持根据医生职责自定义配置消息提醒内容及提醒方式。</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心电数据采集</w:t>
                  </w:r>
                </w:p>
              </w:tc>
              <w:tc>
                <w:tcPr>
                  <w:tcW w:type="dxa" w:w="638"/>
                </w:tcPr>
                <w:p>
                  <w:pPr>
                    <w:pStyle w:val="null3"/>
                  </w:pPr>
                  <w:r>
                    <w:rPr>
                      <w:rFonts w:ascii="仿宋_GB2312" w:hAnsi="仿宋_GB2312" w:cs="仿宋_GB2312" w:eastAsia="仿宋_GB2312"/>
                    </w:rPr>
                    <w:t>支持连接县医院及基层现有的心电图机，包括获取12导联、15导联、18导联心电图机的原始数据，并能进行分析、参数值显示和归档存储。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支持兼容不同品牌、型号的心电图机数据对接，具有数据输出功能、数字接口的心电图机均可接入系统。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支持心电信号质量检测功能，可通过弹窗、波形变色、结论描述等方式，提醒医生了解导联连接状况。</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数据分析</w:t>
                  </w:r>
                </w:p>
              </w:tc>
              <w:tc>
                <w:tcPr>
                  <w:tcW w:type="dxa" w:w="638"/>
                </w:tcPr>
                <w:p>
                  <w:pPr>
                    <w:pStyle w:val="null3"/>
                  </w:pPr>
                  <w:r>
                    <w:rPr>
                      <w:rFonts w:ascii="仿宋_GB2312" w:hAnsi="仿宋_GB2312" w:cs="仿宋_GB2312" w:eastAsia="仿宋_GB2312"/>
                    </w:rPr>
                    <w:t>1.数据服务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要求系统软件采用B/S架构设计，支持医生客户端每一次操作均直接访问服务器端，保障数据一致性。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支持登录系统后的功能模块全面显示，含概心电电生理检查业务的全流程，包含以下模块预约登记、心电检查、病历管理、分析诊断、报告打印、统计分析、系统管理等模块。</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2.数据分析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支持多种分析工具，至少包括：梯形图生成技术、平均模板分析、单心搏分析等，以辅助医生分析诊断。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 ST 段专用分析工具。</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支持频谱心电、高频心电、Q离散度、时间心电向量、空间心电向量、心室晚电位、心率变异等高级分析诊断功能。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支持丰富的测量分析值显示、打印，基本测量值至少包括HR、P时限、PR间期、QRS时限、QT/QTc间期等。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支持包括纵向和横向模式等多种排版设置。</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危急值管理</w:t>
                  </w:r>
                </w:p>
              </w:tc>
              <w:tc>
                <w:tcPr>
                  <w:tcW w:type="dxa" w:w="638"/>
                </w:tcPr>
                <w:p>
                  <w:pPr>
                    <w:pStyle w:val="null3"/>
                  </w:pPr>
                  <w:r>
                    <w:rPr>
                      <w:rFonts w:ascii="仿宋_GB2312" w:hAnsi="仿宋_GB2312" w:cs="仿宋_GB2312" w:eastAsia="仿宋_GB2312"/>
                    </w:rPr>
                    <w:t>支持危急值参数自定义设置，危急值自动预警， 紧急/危急申请单置顶并以红色标识等危急值管理功能。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支持经诊断医生确认的危急，可推送危急信息至临床提醒。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支持针对危急申请单优先诊断。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支持危急值接收以及接收超时提醒。</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心电会诊</w:t>
                  </w:r>
                </w:p>
              </w:tc>
              <w:tc>
                <w:tcPr>
                  <w:tcW w:type="dxa" w:w="638"/>
                </w:tcPr>
                <w:p>
                  <w:pPr>
                    <w:pStyle w:val="null3"/>
                  </w:pPr>
                  <w:r>
                    <w:rPr>
                      <w:rFonts w:ascii="仿宋_GB2312" w:hAnsi="仿宋_GB2312" w:cs="仿宋_GB2312" w:eastAsia="仿宋_GB2312"/>
                    </w:rPr>
                    <w:t>支持多种类型的远程会诊，至少包括：静息心电、动态心电、动态血压、动态心电/动态血压二合一、运动心电等。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支持多种场景的远程会诊，至少包括：多级会诊、多个会诊医院选择等。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支持基层医院向诊断中心医院的疑难心电会诊请求。</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质控管理</w:t>
                  </w:r>
                </w:p>
              </w:tc>
              <w:tc>
                <w:tcPr>
                  <w:tcW w:type="dxa" w:w="638"/>
                </w:tcPr>
                <w:p>
                  <w:pPr>
                    <w:pStyle w:val="null3"/>
                  </w:pPr>
                  <w:r>
                    <w:rPr>
                      <w:rFonts w:ascii="仿宋_GB2312" w:hAnsi="仿宋_GB2312" w:cs="仿宋_GB2312" w:eastAsia="仿宋_GB2312"/>
                    </w:rPr>
                    <w:t>支持心电质控功能，包含图像质控、报告质控、综合质控。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支持图像质控，对心电波形图像是否良好、是否存在干扰及导联错接情况进行质控。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支持对报告诊断的规范与否，是否误诊断进行报告质量的质控。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支持图像质控与报告质量双重质控，全面评价心电图像采集与诊断的质量。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支持对所有质控报告进行统一列表管理，并显示质控不合格原因。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支持根据时间范围、报告医生，按比例抽取心电图进行质控。</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数据统计</w:t>
                  </w:r>
                </w:p>
              </w:tc>
              <w:tc>
                <w:tcPr>
                  <w:tcW w:type="dxa" w:w="638"/>
                </w:tcPr>
                <w:p>
                  <w:pPr>
                    <w:pStyle w:val="null3"/>
                  </w:pPr>
                  <w:r>
                    <w:rPr>
                      <w:rFonts w:ascii="仿宋_GB2312" w:hAnsi="仿宋_GB2312" w:cs="仿宋_GB2312" w:eastAsia="仿宋_GB2312"/>
                    </w:rPr>
                    <w:t>支持自由定制的数据统计模块，所有的字段信息都可作为统计条件，并组合使用；根据需要可进行工作量、科研、教学统计。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支持阳性率统计，统计指定时间段内，各个检查项目的检查人次，阳性人次数，阳性率，阴性人次数，阴性比；可按检查项目汇总阳性率。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支持工作量统计，统计指定时间段内，检查医生工作量、科室工作量、审核医生工作量、报告医生工作量。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支持报告时间统计，统计指定时间段内，门诊、急诊、住院等报告时限的统计。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支持显示统计列表、统计数量、趋势图/直方图/柱状图等多种样式的统计图表，并支持导出。</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教学收藏</w:t>
                  </w:r>
                </w:p>
              </w:tc>
              <w:tc>
                <w:tcPr>
                  <w:tcW w:type="dxa" w:w="638"/>
                </w:tcPr>
                <w:p>
                  <w:pPr>
                    <w:pStyle w:val="null3"/>
                  </w:pPr>
                  <w:r>
                    <w:rPr>
                      <w:rFonts w:ascii="仿宋_GB2312" w:hAnsi="仿宋_GB2312" w:cs="仿宋_GB2312" w:eastAsia="仿宋_GB2312"/>
                    </w:rPr>
                    <w:t>支持对病例进行收藏和管理， 并可以对收藏病例进行类别筛选、查看原始波形及诊断信息、 报告打印等操作。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支持按照公共、科室、个人等多个级别进行收藏，满足不同场景和需求下收藏病例的维护和管理。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支持根据心电图诊断结论进行收藏。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支持根据不同检查类型，进行分类数据收藏。</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数据展示</w:t>
                  </w:r>
                </w:p>
              </w:tc>
              <w:tc>
                <w:tcPr>
                  <w:tcW w:type="dxa" w:w="638"/>
                </w:tcPr>
                <w:p>
                  <w:pPr>
                    <w:pStyle w:val="null3"/>
                  </w:pPr>
                  <w:r>
                    <w:rPr>
                      <w:rFonts w:ascii="仿宋_GB2312" w:hAnsi="仿宋_GB2312" w:cs="仿宋_GB2312" w:eastAsia="仿宋_GB2312"/>
                    </w:rPr>
                    <w:t>支持大屏显示的心电数据BI展示平台，提供包括检查量趋势、工作量、检查机构排名、异常类疾病排名、诊断医生排名、报告时效质控、诊断分布、诊断分级等丰富全面的图表及仪表盘样式，通过业务指标数据分析与可视化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支持阳性率、危急值占比的图表展示。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支持月度业务时效分析展示，直观展示医生的审核用时、报告用时，方便科室内质控管理，有效提升报告诊断效率。</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电生理模块</w:t>
                  </w:r>
                </w:p>
              </w:tc>
              <w:tc>
                <w:tcPr>
                  <w:tcW w:type="dxa" w:w="638"/>
                </w:tcPr>
                <w:p>
                  <w:pPr>
                    <w:pStyle w:val="null3"/>
                  </w:pPr>
                  <w:r>
                    <w:rPr>
                      <w:rFonts w:ascii="仿宋_GB2312" w:hAnsi="仿宋_GB2312" w:cs="仿宋_GB2312" w:eastAsia="仿宋_GB2312"/>
                    </w:rPr>
                    <w:t>1.心电报告工作站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支持对异常测量参数标红显示，同时支持以每一个分析测量值进行手动修改。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支持丰富的测量分析工具，电子测量尺、平行尺、波形微调、波形定标、多种波形显示方式、波形放大等。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支持导联纠错功能，在肢体导联接反或胸导联接错的情况下，可以通过软件直接修正，无需重复采集。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支持复合波与选中心搏两种分析模式，医生可根据波形情况在分析诊断界面手动选择不同的分析模式。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支持导联标识等特殊字符快速输入功能，医生快速书写诊断结论。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支持报告助手功能，提供常用公共模板及个人模板，医生可使用诊断术语库内容完成心电图诊断。</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支持报告记录功能，可详细查看每一个医生对本份病历的每一次操作及报告修改记录，并查看操作人、操作时间及修改具备内容。</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支持典型病例收藏功能：支持个人收藏及公共收藏两种方式，个人收藏仅病例的收藏者有权限进行查看，公共收藏所有用户均有权限进行查看；支持单独的已收藏病历显示列表，快速查看已收藏病历。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支持危急值自动预警级别的设置，用户可自定义设置危急值预警级别。</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支持报告打印输出和上传。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2.临床浏览工作站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支持无需安装客户端软件，任意电脑中浏览器直接登录访。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支持提供WEB心电诊断功能：具有在线WEB心电图分析功能，查看长时间原始心电波形，调整走纸和增益，提供心电图处理测量功能，波形显示、幅值调整等功能。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支持临床查看心电检查报告。</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实时心电模块</w:t>
                  </w:r>
                </w:p>
              </w:tc>
              <w:tc>
                <w:tcPr>
                  <w:tcW w:type="dxa" w:w="638"/>
                </w:tcPr>
                <w:p>
                  <w:pPr>
                    <w:pStyle w:val="null3"/>
                  </w:pPr>
                  <w:r>
                    <w:rPr>
                      <w:rFonts w:ascii="仿宋_GB2312" w:hAnsi="仿宋_GB2312" w:cs="仿宋_GB2312" w:eastAsia="仿宋_GB2312"/>
                    </w:rPr>
                    <w:t>支持三通道、十二通道实时监测显示方式，同屏监控≥20 位患者实时数据。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支持实时预警，检测到心律失常等异常时报警提醒， 同时系统可通过弹窗、 语音。等方式通知医生， 并可查看分析异常片段图。</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支持采集盒数据自动导入转化为动态心电进行分析。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支持在实时心电监护过程中，对过往监护数据进行整体回顾。</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支持实时传输、 定时间隔、 自动触发、 手动触发等不同工作模式。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支持用户配置同一消息类型在设定时间内不重复提醒。</w:t>
                  </w:r>
                </w:p>
              </w:tc>
            </w:tr>
            <w:tr>
              <w:tc>
                <w:tcPr>
                  <w:tcW w:type="dxa" w:w="638"/>
                  <w:vMerge w:val="restart"/>
                </w:tcPr>
                <w:p>
                  <w:pPr>
                    <w:pStyle w:val="null3"/>
                  </w:pPr>
                  <w:r>
                    <w:rPr>
                      <w:rFonts w:ascii="仿宋_GB2312" w:hAnsi="仿宋_GB2312" w:cs="仿宋_GB2312" w:eastAsia="仿宋_GB2312"/>
                    </w:rPr>
                    <w:t>7</w:t>
                  </w:r>
                </w:p>
              </w:tc>
              <w:tc>
                <w:tcPr>
                  <w:tcW w:type="dxa" w:w="638"/>
                  <w:vMerge w:val="restart"/>
                </w:tcPr>
                <w:p>
                  <w:pPr>
                    <w:pStyle w:val="null3"/>
                  </w:pPr>
                  <w:r>
                    <w:rPr>
                      <w:rFonts w:ascii="仿宋_GB2312" w:hAnsi="仿宋_GB2312" w:cs="仿宋_GB2312" w:eastAsia="仿宋_GB2312"/>
                    </w:rPr>
                    <w:t>共享中心药房</w:t>
                  </w:r>
                  <w:r>
                    <w:br/>
                  </w:r>
                  <w:r>
                    <w:rPr>
                      <w:rFonts w:ascii="仿宋_GB2312" w:hAnsi="仿宋_GB2312" w:cs="仿宋_GB2312" w:eastAsia="仿宋_GB2312"/>
                    </w:rPr>
                    <w:t xml:space="preserve"> 统一采配系统</w:t>
                  </w:r>
                </w:p>
              </w:tc>
              <w:tc>
                <w:tcPr>
                  <w:tcW w:type="dxa" w:w="638"/>
                  <w:vMerge w:val="restart"/>
                </w:tcPr>
                <w:p>
                  <w:pPr>
                    <w:pStyle w:val="null3"/>
                  </w:pPr>
                  <w:r>
                    <w:rPr>
                      <w:rFonts w:ascii="仿宋_GB2312" w:hAnsi="仿宋_GB2312" w:cs="仿宋_GB2312" w:eastAsia="仿宋_GB2312"/>
                    </w:rPr>
                    <w:t>目录管理</w:t>
                  </w:r>
                </w:p>
              </w:tc>
              <w:tc>
                <w:tcPr>
                  <w:tcW w:type="dxa" w:w="638"/>
                </w:tcPr>
                <w:p>
                  <w:pPr>
                    <w:pStyle w:val="null3"/>
                  </w:pPr>
                  <w:r>
                    <w:rPr>
                      <w:rFonts w:ascii="仿宋_GB2312" w:hAnsi="仿宋_GB2312" w:cs="仿宋_GB2312" w:eastAsia="仿宋_GB2312"/>
                    </w:rPr>
                    <w:t>1.区域共享目录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支持药品目录为“总医院总管”，可通过医院核心系统导出当前使用目录，期初采用表格的方式进行导入。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支持区域内所有医疗机构药品目录采用本次项目梳理目录，原有核心系统目录需进行替换或者进行对照。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支持区域目录共享：统一区域药品目录创建后供应给所有医疗机构，医疗机构只可查看当前区域内药品信息，不可使用。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2.区域机构目录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支持以区域共享目录为基础，中心药房根据医院业务特点为其分配满足医院管理的药品目录，可通过选择药品目录或者选择医疗机构进行目录分配，满足单体和批量操作需求。</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支持医疗机构目录新增：对于医疗机构目录，出现不存在的药品时，可通过区域药品目录进行新药入院申请，由中心审核通过后添加至医疗机构目录。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3.集中带量管理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支持以医疗机构为单位，不改变原有管理模式，由医院自主填写其带量管理目标。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支持药品的带量管控，可以按照单品、组合（多个药品打包一起进行管控）两种模式进行设计其带量控制数据，包括带量的上下限制、开始截止时间。</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支持建立带量监管机制，以带量设置为基础，对带量产品设定预警机制，可按照月度、季度、半年度、年度等模式进行设定，系统自定根据设定的规则进行监管。可以根据医院的管理需求自定义异常监管规则。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支持出现带量采购数据低于或高于限制时，系统能够自动进行提醒，并提供统一的查询页面，对于低库存的，可通过选择产品生成对应的采购计划。</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采购目录管理</w:t>
                  </w:r>
                </w:p>
              </w:tc>
              <w:tc>
                <w:tcPr>
                  <w:tcW w:type="dxa" w:w="638"/>
                </w:tcPr>
                <w:p>
                  <w:pPr>
                    <w:pStyle w:val="null3"/>
                  </w:pPr>
                  <w:r>
                    <w:rPr>
                      <w:rFonts w:ascii="仿宋_GB2312" w:hAnsi="仿宋_GB2312" w:cs="仿宋_GB2312" w:eastAsia="仿宋_GB2312"/>
                    </w:rPr>
                    <w:t>1.统一档案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支持建立统一的供应商档案，有中心药房进行统一化管理，覆盖供应商的基础信息、资质证照信息、价格信息、合同信息、供货结算情况等。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2.入驻管理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支持通过平台进行注册申请，申请后由供应商申请建立对应合作关系，申请时，由供应自主完善对应资料（基础信息、证照、产品等），发布由中心药房进行审批，审批后完成对应入驻。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支持通过中心药房进行添加，并由中心药房维护对应的基础信息资料。双方信息自动完成同步。</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采购管理</w:t>
                  </w:r>
                </w:p>
              </w:tc>
              <w:tc>
                <w:tcPr>
                  <w:tcW w:type="dxa" w:w="638"/>
                </w:tcPr>
                <w:p>
                  <w:pPr>
                    <w:pStyle w:val="null3"/>
                  </w:pPr>
                  <w:r>
                    <w:rPr>
                      <w:rFonts w:ascii="仿宋_GB2312" w:hAnsi="仿宋_GB2312" w:cs="仿宋_GB2312" w:eastAsia="仿宋_GB2312"/>
                    </w:rPr>
                    <w:t>1.采购流程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原有的采购流程中加入“中心药房”审核节点，各级医疗机构发起采购申请后，由中心医院进行审批，审批后通过平台发送至各个供应商，对于不同机构的采购订单发送至供应商时不进行单据合并，该机制便于供应商针对不同的医疗机构进行发货和配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2.配送流程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支持配送模式：供应商根据下级单位申请进行配送到对应医疗机构。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供应商在平台接收订单后对采购订单进行发货处理时，采购单位可以实时查看当前订单处理情况，供应商通过平台进行发货后，打印发货随行单进行，医院根据该单据进行验收，验收可通过扫描二维码进行整体验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3.结算流程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支持已统一财务管理的医共体，由中心药房统一与配送企业结算。尚未统一财务管理的医共体，由各成员单位分别与配送企业签订采购协议，予以独立结算，本项目采用独立结算模式。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支持各个医疗结构与供应商进行独立结算，结算模式为乡镇卫生院、社区中心、乡镇等采用收货结算模式，牵头医院“总医院”根据需求选择收货结算或者使用结算。</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发票管理</w:t>
                  </w:r>
                </w:p>
              </w:tc>
              <w:tc>
                <w:tcPr>
                  <w:tcW w:type="dxa" w:w="638"/>
                </w:tcPr>
                <w:p>
                  <w:pPr>
                    <w:pStyle w:val="null3"/>
                  </w:pPr>
                  <w:r>
                    <w:rPr>
                      <w:rFonts w:ascii="仿宋_GB2312" w:hAnsi="仿宋_GB2312" w:cs="仿宋_GB2312" w:eastAsia="仿宋_GB2312"/>
                    </w:rPr>
                    <w:t>支持结算申请由医疗机构自主进行创建，创建时系统自动筛选符合结算的药品信息，由医院内部审核后同步至供应商，由供应商（医院）进行票据上传，形成应付单据。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支持医院或者供应商根据待开发票进行录入发票的功能。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支持对供应商的各类开票信息进行查询的功能。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支持参照单据对采购物资进行开具发票的功能。</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开票凭证</w:t>
                  </w:r>
                </w:p>
              </w:tc>
              <w:tc>
                <w:tcPr>
                  <w:tcW w:type="dxa" w:w="638"/>
                </w:tcPr>
                <w:p>
                  <w:pPr>
                    <w:pStyle w:val="null3"/>
                  </w:pPr>
                  <w:r>
                    <w:rPr>
                      <w:rFonts w:ascii="仿宋_GB2312" w:hAnsi="仿宋_GB2312" w:cs="仿宋_GB2312" w:eastAsia="仿宋_GB2312"/>
                    </w:rPr>
                    <w:t>支持与医院的院内系统进行对接，将供应商寄售委托代销的药品，根据消耗汇总生成开票凭证，供应商根据开票凭证进行开票结算的功能。</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请款管理</w:t>
                  </w:r>
                </w:p>
              </w:tc>
              <w:tc>
                <w:tcPr>
                  <w:tcW w:type="dxa" w:w="638"/>
                </w:tcPr>
                <w:p>
                  <w:pPr>
                    <w:pStyle w:val="null3"/>
                  </w:pPr>
                  <w:r>
                    <w:rPr>
                      <w:rFonts w:ascii="仿宋_GB2312" w:hAnsi="仿宋_GB2312" w:cs="仿宋_GB2312" w:eastAsia="仿宋_GB2312"/>
                    </w:rPr>
                    <w:t>支持对已验收的发票进行请款功能，可对请款单进行新增、编辑、删除、审核操作。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支持对同一个供应商，不同类型的采购发票进行统一请款管理的功能。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支持形成请款信息汇总，供医院财务使用。</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药品库存管理</w:t>
                  </w:r>
                </w:p>
              </w:tc>
              <w:tc>
                <w:tcPr>
                  <w:tcW w:type="dxa" w:w="638"/>
                </w:tcPr>
                <w:p>
                  <w:pPr>
                    <w:pStyle w:val="null3"/>
                  </w:pPr>
                  <w:r>
                    <w:rPr>
                      <w:rFonts w:ascii="仿宋_GB2312" w:hAnsi="仿宋_GB2312" w:cs="仿宋_GB2312" w:eastAsia="仿宋_GB2312"/>
                    </w:rPr>
                    <w:t>1.库房管理模式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库存跨机构的调度，了解医院各级库房、药房的实际库存，在库存管理模式中，通过接口的方式进行“双库并行”的管理模式，即区域内医疗机构一级库（药库）统一采用中心药房系统，院内药库业务部分由总院核心系统进行管理，同时在中心药房系统中建立对应药库，以接口的方式和总院核心系统药库库存进行数据同步，同步模式采用每天定时进行扣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2.区域中心药房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支持所有采购后的药品出库到对应的医疗机构，在中心药房层级，可查询到各医疗机构进销存流水，实现统一管理。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支持库存监管，中心药房通过报表可查询区域内所有机构的药品库存信息，可通过机构、药品等进行条件筛选。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3.医疗机构药库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支持设立总医院为实体库、乡镇卫生院、社区服务中心、村级医疗单位均为虚拟库。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支持通过系统实时监控其医院药库信息，通过打通总院核心系统实现药库-药房的无缝对接。为每个药库设定其药库管理预警值。通过系统实时可查看区域内的药品存储情况。</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质量控制管理</w:t>
                  </w:r>
                </w:p>
              </w:tc>
              <w:tc>
                <w:tcPr>
                  <w:tcW w:type="dxa" w:w="638"/>
                </w:tcPr>
                <w:p>
                  <w:pPr>
                    <w:pStyle w:val="null3"/>
                  </w:pPr>
                  <w:r>
                    <w:rPr>
                      <w:rFonts w:ascii="仿宋_GB2312" w:hAnsi="仿宋_GB2312" w:cs="仿宋_GB2312" w:eastAsia="仿宋_GB2312"/>
                    </w:rPr>
                    <w:t>1.资质证照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实现证照管理无纸化，满足对产品证照、厂家证照、供应商证照等进行管理，在线可查看所有证照信息，包括附件情况，效期情况等。证照到期后系统自动进行预警提醒，并通过消息的方式告知对应的管理人员，可在参数配置中自由设置证照提醒周期便于医院能够及时进行证照更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支持统一化的管理页面，可查看当前证照的情况，对于证照近效期、过效期的通过颜色进行区分，在医院需要时可通过系统进行集中打印或者导出表格信息。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2.药品效期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支持对所有药品建立效期预警体系，根据医疗机构的不同可以设定不同的产品效期，结合医院的使用量、供应商供货退货机制等多种因素进行综合考虑。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支持对于近效期的及时进行预警和提醒，当出现近效期无法消耗的，可申请中心药品进行药品调剂或者退货操作。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3.安全库存管理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库房为单位，为每个库房设定其管理药品的安全库存上限和下限，通过系统实时对该库存信息进行监管，当出现异常值时，系统自动进行预警和提醒，确保药品在各级医院的库存数量。出现异常库存时，可通过异常数据转换为对应的采购计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4.供应商评价指标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支持将供应商业务进行指标化管理，提高对于优质供应商的筛选，指标包括订单接收时长、供货率、退货率、日常服务等，以月、季、年为单位进行数据分析。</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供应链管理</w:t>
                  </w:r>
                </w:p>
              </w:tc>
              <w:tc>
                <w:tcPr>
                  <w:tcW w:type="dxa" w:w="638"/>
                </w:tcPr>
                <w:p>
                  <w:pPr>
                    <w:pStyle w:val="null3"/>
                  </w:pPr>
                  <w:r>
                    <w:rPr>
                      <w:rFonts w:ascii="仿宋_GB2312" w:hAnsi="仿宋_GB2312" w:cs="仿宋_GB2312" w:eastAsia="仿宋_GB2312"/>
                    </w:rPr>
                    <w:t>1.业务管理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支持打通院外供应链协同平台实现医院院内业务与院内业务的全流程管控，覆盖注册、采购、调价、配送、合同业务。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2.基础档案协同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院外供应商在平台注册后，通过接口的方式传递到院内，医院管理人员在系统中可对其基础信息进行审核，审核通过后生成对应的供应商信息。供应商新增厂家信息后自动传递到待审核区域，医院人员审核后创建对应厂家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3.药品信息协同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支持供应商通过平台创建的药品信息后，医院端可对其进行审核，审核完成后自动创建对应的药品方案，并自动完成药品与供应商之间的关联。</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4.调价协同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支持供应商通过平台对药品发起调价申请后，医院对其进行审核，审核完成后自动对药品价格进行变更。</w:t>
                  </w:r>
                </w:p>
              </w:tc>
            </w:tr>
            <w:tr>
              <w:tc>
                <w:tcPr>
                  <w:tcW w:type="dxa" w:w="638"/>
                  <w:vMerge w:val="restart"/>
                </w:tcPr>
                <w:p>
                  <w:pPr>
                    <w:pStyle w:val="null3"/>
                  </w:pPr>
                  <w:r>
                    <w:rPr>
                      <w:rFonts w:ascii="仿宋_GB2312" w:hAnsi="仿宋_GB2312" w:cs="仿宋_GB2312" w:eastAsia="仿宋_GB2312"/>
                    </w:rPr>
                    <w:t>8</w:t>
                  </w:r>
                </w:p>
              </w:tc>
              <w:tc>
                <w:tcPr>
                  <w:tcW w:type="dxa" w:w="638"/>
                  <w:vMerge w:val="restart"/>
                </w:tcPr>
                <w:p>
                  <w:pPr>
                    <w:pStyle w:val="null3"/>
                  </w:pPr>
                  <w:r>
                    <w:rPr>
                      <w:rFonts w:ascii="仿宋_GB2312" w:hAnsi="仿宋_GB2312" w:cs="仿宋_GB2312" w:eastAsia="仿宋_GB2312"/>
                    </w:rPr>
                    <w:t>共享中心药房处方流转系统</w:t>
                  </w:r>
                </w:p>
              </w:tc>
              <w:tc>
                <w:tcPr>
                  <w:tcW w:type="dxa" w:w="638"/>
                  <w:vMerge w:val="restart"/>
                </w:tcPr>
                <w:p>
                  <w:pPr>
                    <w:pStyle w:val="null3"/>
                  </w:pPr>
                  <w:r>
                    <w:rPr>
                      <w:rFonts w:ascii="仿宋_GB2312" w:hAnsi="仿宋_GB2312" w:cs="仿宋_GB2312" w:eastAsia="仿宋_GB2312"/>
                    </w:rPr>
                    <w:t>目录管理</w:t>
                  </w:r>
                </w:p>
              </w:tc>
              <w:tc>
                <w:tcPr>
                  <w:tcW w:type="dxa" w:w="638"/>
                </w:tcPr>
                <w:p>
                  <w:pPr>
                    <w:pStyle w:val="null3"/>
                  </w:pPr>
                  <w:r>
                    <w:rPr>
                      <w:rFonts w:ascii="仿宋_GB2312" w:hAnsi="仿宋_GB2312" w:cs="仿宋_GB2312" w:eastAsia="仿宋_GB2312"/>
                    </w:rPr>
                    <w:t>1.统一组织库房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支持以组织为单位，对每个组织建立不同的库房信息，区域内除牵头医院一级库为实体库，其它单位一级库均采用虚拟库进行管理，所有库存全放置在药房中进行管理和控制。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2.机构组织库房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支持设立区域中心药库：区域中心药库作为虚拟库房进行设定，区域内所有采购均需要通过该库进行业务流转。</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支持设立医院药库：总医院为实体库、乡镇卫生院、社区服务中心、村级医疗单位均为虚拟库。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支持设立医院药房：所有医疗机构均为实体库。</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中西医处方管理</w:t>
                  </w:r>
                </w:p>
              </w:tc>
              <w:tc>
                <w:tcPr>
                  <w:tcW w:type="dxa" w:w="638"/>
                </w:tcPr>
                <w:p>
                  <w:pPr>
                    <w:pStyle w:val="null3"/>
                  </w:pPr>
                  <w:r>
                    <w:rPr>
                      <w:rFonts w:ascii="仿宋_GB2312" w:hAnsi="仿宋_GB2312" w:cs="仿宋_GB2312" w:eastAsia="仿宋_GB2312"/>
                    </w:rPr>
                    <w:t>1.审方中心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支持集中审方与分散审核相结合的模式，采用统一的药品规则库，统一的工作流程，统一的工作平台。</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支持医生开具处方（医嘱）后，系统立即自动监测提示不合理用药问题，医生自查后可返回修改或提请药师审核，提请药师审核后，由药师对处方（医嘱）进行人工复核。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支持审查过程中，药师可就处方（医嘱）用药问题与开嘱医生实时互动沟通，直到处方（医嘱）通过审查离开系统，进入医院处方（医嘱）管理流程的下一环节，实现药师审方干预效果。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支持医生开具新处方或修改处方后，先进行系统审查，无不合理用药问题或者问题严重程度较低的处方直接通过进入下一环节，无需药师再人工审查。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支持通过屏幕弹框和声音提示药师有待审查新处方（医嘱）或已修改处方（医嘱）。</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2.药师人工审查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支持查看患者检验检查、手术、EMR链接、其他处方、会诊（住院）等信息。药师可在审方界面收藏当前任务、比对版本变化，以便进行回顾性分析。药师还可以查看系统审查结果详细信息，作为人工审查的参考。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师人工审查时，医生端将自动弹出等待窗口，提示医生需要等待药师审核。等待窗口将显示审方药师和药剂科的联系电话，并可查看审方倒计时。等待期间医生不可进行其他操作，药师审方结束后将在医生端自动弹窗，提示人工审查结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师可以选择系统不合理用药问题或预设的问题模板，并在此基础上编辑不通过理由发送给开嘱医生，医生修改处方（医嘱）信息或填写理由双签后，处方（医嘱）重新进入系统审查（双签无该步骤）-人工审查-修改处方（医嘱）环节，直至处方（医嘱）审查通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师可选择“必须修改”进行拒绝发药操作。药师在人工审查界面可以查看当前已修改处方（医嘱）的各个历史提交版本详细信息、不通过理由（状态记录）和干预记录等。同时，药师可以根据具体情况赋予医生双签通过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支持区分审查通过后的处方，会添加不同的标记如“系统预判通过”、“药师直接通过”、“自动通过-干预功能关闭”、“超时通过”等类似功能。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3.审方模式设置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支持药师设置“我要离开”模式，启动了离开模式后，系统会将新任务自动分配给其它药师。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支持不接受新任务模式，药师只需要完成当前任务审核，不会再接到新任务。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4.自动审方和监测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支持设置审方模式，根据医院审方工作分配进行模式选择，更好地满足用户的审方需求。门诊监测提供按任务审核、按处方审核、分药房审核三种模式，住院监测提供按任务审核、分药房审核两种模式。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支持设置审方时限，超过规定时限，待审查任务自动通过，避免医生和患者等待时间过长。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支持设置药师监测标准和自动监测标准：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药师监测标准：支持当处方（医嘱）的问题严重程度和审查项目达到药师监测标准时，则可提交给药师审核。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自动监测标准：支持针对药师不审的任务（例如监测科室内药房不匹配的任务）或药师不监测的科室的任务，当处方（医嘱）中发生符合自动监测标准的问题时，需要医生双签才可通过，且该问题不发送给药师审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非药师审方工作时间，可将人工干预关闭，关闭时若有未处理任务，系统先提示，用户确认后，未处理的任务全部自动通过，处方状态标记为“自动通过-干预功能关闭”。系统关闭期间传过来的处方自动通过，不影响处方（医嘱）执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任意科室、医生、患者、疾病、药品设置为重点关注对象，也可按科室、医生、患者、疾病、药品、问题类型、警示级别多条件组合设置重点关注对象，包含重点关注对象的处方（医嘱）由药师进行全面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支持根据实际情况对医生双签通过模式进行设置，并且可以设置双签通过、双签复核时，医生端填写双签理由的方式。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所有药师都下班后，无药师审核处方的情况下，若医生端有问题处方（医嘱），系统会要求医生填写用药理由，处方（医嘱）才可通过进入下一环节。用户还可设置自动干预开启后，医生端填写理由的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支持根据医院处方（医嘱）的特点，决定是否开启重复问题不再反复提示的功能。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支持预设问题模板，当药师反馈审核意见给医生时可快捷选择，节省时间。</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5.审查任务分配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支持多个药师同时工作时先根据权限分配（不同的药师审核不同科室的处方），相同权限范围内随机分配。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门诊医生一次提交的一张或多张处方即为一个任务，若有多个任务，按1原则分配。一个任务没有通过之前，所有修改版本都分配给同一个药师。住院医嘱以病人为单位进行管理，同一个病人的所有医嘱任务都分配给同一个药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支持按科室分配时，可查看到科室已分配的审方药师人数；按药师分配时，可查看到每个药师监测的科室数量，便于医院进行任务分配管理。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支持按照医嘱数进行统计，统计指标包括医生提交医嘱数、药师审核医嘱数、药师审核率、药师干预静脉用药集中调配医嘱数、药师干预静脉用药集中调配医嘱率。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6.审查功能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物相互作用审查，提供国内外权威资料的药物-药物、药物-食物、药物-咖啡因、药物-酒精、药物-保健品、保健品-保健品相互作用信息，相互作用详细信息包括药物相互作用的结果、机制、严重级别、临床处理、案例及报道的分析讨论等内容，并提供查询和审查两种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注射剂配，提供国内外药物经大输液、注射器、Y形管配伍的信息，注射剂配伍详细信息包括注射剂配伍的结论、严重级别、配伍类型、配制方法、结论的说明和相关实验数据等内容，并提供查询和审查两种功能。</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结算对账</w:t>
                  </w:r>
                </w:p>
              </w:tc>
              <w:tc>
                <w:tcPr>
                  <w:tcW w:type="dxa" w:w="638"/>
                </w:tcPr>
                <w:p>
                  <w:pPr>
                    <w:pStyle w:val="null3"/>
                  </w:pPr>
                  <w:r>
                    <w:rPr>
                      <w:rFonts w:ascii="仿宋_GB2312" w:hAnsi="仿宋_GB2312" w:cs="仿宋_GB2312" w:eastAsia="仿宋_GB2312"/>
                    </w:rPr>
                    <w:t>支持根据医疗机构的每日处方数量及金额汇总与平台的处方数汇总及金额汇总进行日常对账功能。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支持对不平账目，进行对账明细查看功能。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支持异常对账数据查看功能。</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在线提醒</w:t>
                  </w:r>
                </w:p>
              </w:tc>
              <w:tc>
                <w:tcPr>
                  <w:tcW w:type="dxa" w:w="638"/>
                </w:tcPr>
                <w:p>
                  <w:pPr>
                    <w:pStyle w:val="null3"/>
                  </w:pPr>
                  <w:r>
                    <w:rPr>
                      <w:rFonts w:ascii="仿宋_GB2312" w:hAnsi="仿宋_GB2312" w:cs="仿宋_GB2312" w:eastAsia="仿宋_GB2312"/>
                    </w:rPr>
                    <w:t>与澄城县医共体互联网服务对接，患者通过服务号实时查看处方的配送进度。</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消耗统计</w:t>
                  </w:r>
                </w:p>
              </w:tc>
              <w:tc>
                <w:tcPr>
                  <w:tcW w:type="dxa" w:w="638"/>
                </w:tcPr>
                <w:p>
                  <w:pPr>
                    <w:pStyle w:val="null3"/>
                  </w:pPr>
                  <w:r>
                    <w:rPr>
                      <w:rFonts w:ascii="仿宋_GB2312" w:hAnsi="仿宋_GB2312" w:cs="仿宋_GB2312" w:eastAsia="仿宋_GB2312"/>
                    </w:rPr>
                    <w:t>支持基础的报表查询功能，提供基础的业务数据查询追溯，各种单据可根据时间等查询条件进行查询。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支持医共体中心药房多个层级的报表查询服务，如成员单位层级的静态报表展现，中心药房层级的动态报表，牵头医院层级的指标展示。多维度、多方面的展示。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支持对订单采购信息进行消息通知功能，能够及时的将采购信息通知到各供应商。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支持抽取各医疗机构的库存信息，并对库存的效期进行预警，及时通知到相关负责人，进行异常干预。通过系统可以及时掌握各医疗机构滞销药房情况。</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区域合理用药</w:t>
                  </w:r>
                </w:p>
              </w:tc>
              <w:tc>
                <w:tcPr>
                  <w:tcW w:type="dxa" w:w="638"/>
                </w:tcPr>
                <w:p>
                  <w:pPr>
                    <w:pStyle w:val="null3"/>
                  </w:pPr>
                  <w:r>
                    <w:rPr>
                      <w:rFonts w:ascii="仿宋_GB2312" w:hAnsi="仿宋_GB2312" w:cs="仿宋_GB2312" w:eastAsia="仿宋_GB2312"/>
                    </w:rPr>
                    <w:t>西药规则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1.剂量范围审查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药品用法用量是否处于药品说明书推荐的剂量范围内。对最大、最小剂量（次剂量、日剂量）、用药频率、用药持续时间、疗程总剂量进行审查，支持按照科室、诊断、患者、年龄、体重、体表面积、性别与年龄，诊断等前提条件设定不同的审核点，包括单次剂量、给药频次、疗程、每日剂量、给药途径、特殊人群、医院药控要求等，以适应复杂的用药环境。</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2.药物相互作用审查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两种或以上药物审查，能够提示两种药品同时或一定时间不同科室给予同一个病人时，可能出现的药理学效应。能实现自动审查当前处方/医嘱潜在的由于产生药物相互作用而引起的不合理用药问题。如果药物联用存在相互作用问题会依据药品说明书提示内容包括结果、严重程度、参考来源等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3.配伍浓度审查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支持检查注射剂药物配伍使用时，配伍后的药品浓度是否在药品说明书推荐的给药浓度范围内，若不在此范围内则提示用药问题。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4.药物禁忌症审查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支持将病人的诊断情况与药物禁忌症关联起来，若处方中的药品禁忌症与病人诊断相关时，说明病人存在使用某个药物的禁忌症，则系统发出警告提醒医生。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5.不良反应审查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结合药品说明书以及国家公布的不良反应公告，将病人的诊断情况与药物不良反应关联起来，若处方中的药品可能引起的某种不良反应，恰好与病人存在诊断相同或类似时，会加剧患者病情，则系统发出警告提醒医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6.儿童/成人用药审查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支持当病人年龄阶段为儿童时，（儿童年龄段可以由用户自行设定全局的标准）检查病人处方中是否存在不适于儿童使用的药品，同时对药品的儿童剂量进行审查，比如按照体表，体重审查等。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支持当病人年龄阶段为成人时，（成人年龄段可以由用户自行设定全局的标准）检查病人处方中是否存在不适宜成年人使用的药品。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7.老人用药审查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支持当病人年龄阶段为老人时，（老人年龄段可以由用户自行设定全局的标准）检查病人处方中是否存在不适宜老年人使用的药品。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8.妊娠用药审查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支持当病人为妊娠期妇女时，检查病人处方中是否存在不适于妊娠期使用的药品。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9.哺乳用药审查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支持哺乳期妇女用药时，药物除对母亲产生影响外，还可通过乳汁进入婴儿体内，从而对婴儿也产生影响。可提示当病人为哺乳期妇女时，检查病人处方中是否存在不适宜哺乳妇女使用的药品。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10.性别用药审查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支持病人处方中是否存在不适宜用于该病人性别的药品提示医生或药师修改药品。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11.药物过敏审查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支持在获取病人既往过敏原，皮试结果或过敏类信息的基础上，提示病人处方中是否存在与病人既往过敏原相关、可能导致类似过敏反应的药品。提醒医生或药师修改药品。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12.给药途径审查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支持病人处方中是否存在药品剂型与给药途径不匹配，或者药品不能用于某些给药途径。临床上如果有此类用药不规范的情况，提示用户可能有处方录入错误。同时对中药的一些特殊煎煮方式也会进行审查提示。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13.重复用药审查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人用药处方中的两个或多个药品是否存在相同的药物成分，可能导致重复用药问题；重复治疗审查提示处方中的两个或多个药品同属某个药物治疗分类，可能存在重复用药的问题。当患者在多个科室开立处方是，系统会将多个处方联合审核重复用药问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14.药物检验值审查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支持根据获取的患者检验值审查处方（医嘱）药品是否与检验结果有相互关联关系，如果存在不合理则给予医生警示，提醒医生修改药品。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15.检验检查申请单审查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支持检查审查医生开处方时，开具的检验检查申请单是否与患者基本情况（性别、年龄、诊断）相符，如男性患者开具了妇科相关检查，系统会警示提醒医生该检查项目与患者性别不符。</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支持检查病人的疾病情况是否在处方中的药品适应症范围内，若病人存在超药品适应症用药的情况，系统则发出警告提醒医生修改药品。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16.肝损害剂量审查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支持病人存在肝功能损害时，给药剂量与常规剂量范围有一定差异，需检测该类人群使用药品剂量是否合理，如果使用剂量不在药品说明书推荐的剂量范围内。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17.肾损害剂量审查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支持病人存在肾功能损害时，给药剂量与常规剂量范围有一定差异，需检测该类人群使用药品剂量是否合理，如果使用剂量不在药品说明书推荐的剂量范围内，则系统发出警告提醒医生调整药物剂量。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18.越权用药审查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支持根据医院规定的医生、科室处方权限类别和对应的药品清单，检查医生开出的处方药品是否在其可以使用的权限范围内，可以对越权用药行为进行警示提醒，监控医生越级使用药物、越级使用特殊管制药品。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19.围术期用药审查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患者手术情况，围手术期内使用抗菌药物是否合理，包括抗菌药物品种是否合理，使用抗菌药物的时机和时限是否合理。若在围手术期若使用抗菌药物的品种不在已维护的手术能够使用的抗菌药物的品种范围内、手术使用抗菌药物时长不在医院规定的时间内(可以精确到小时)，则系统发出警告提醒医生可能需要调整病人处方药品或更改用药方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20.细菌耐药率审查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支持提示病人处方中药品以及微生物送检结果结合本院细菌耐药情况（包括哪些细菌对处方药品耐药和耐药率），如有超限警示提醒调整处方药品或更改用药方案。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21.规范性审查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支持根据国家处方管理办法要求的内容对医生开具的处方的规范性，完整性进行审查。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22.监测指标审查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支持结合医嘱药品提醒医生应做相关检查，如果住院病人在使用这些药品期间未监测这些指标，则给予警示。如使用特殊及抗菌药物要做病原学送检。</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23.TPN审查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支持通过营养均衡性、配伍合理性、肠外营养浓度和渗透压等不同维度设置TPN规则，提供设置药品系数设置功能。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24.超多日用量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支持设置药品/药品组的提前取药天数、药品最大最小开出数量，如果医生开具的医嘱超过天数或者数量，则会发出警告。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25.体外配伍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支持设置两种或者多种药品配伍规则，当医生开具两种或者两种以上药品时，如果启用了该条规则，且不符合体外配伍规则，系统则会向医生发出警告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26.门诊输液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支持设置科室的输液权限、不允许输液的疾病，如果医生开具的医嘱/处方中存在违背规则的药品，则会根据警示级别进行提醒或者警告。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27.药品专项管控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支持药品专项管控的规则设置，包含质子泵抑制剂等多种药品的规则，当开具处方/医嘱时，系统会根据设置过且开启的规则进行审查，进行提示或警告。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中药规则</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1.中药毒性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支持根据中药说明书，将中药的毒性分为无毒、小毒、中毒、大毒四个等级，在开具中药相关处方/医嘱时，系统审查会根据中药的毒性判断用药是否合理。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2.中药妊娠</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支持遵循中药说明书，识别用药人群，如果是妊娠期间的患者，在开具中药相关处方/医嘱时，系统审查会根据中药是否有妊娠禁用等条件，判断用药是否合理。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3.中药剂量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支持遵循中药说明书， 在医生开具中药相关处方/医嘱时，通过设置中药剂量的标准范围，严格筛查不符合剂量范围内的中药处方/医嘱。</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4.中药煎煮方法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支持根据院内设定的中药煎煮方法匹配上中药材，当医生开具医嘱/处方中的中药，不符合煎煮条件时，系统将会给与警告。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5.中药十八反十九畏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支持根据中药材的十八反十九畏性质，结合药材药理，系统内置十八反十九畏规则，当医生开具处方/医嘱违背十八反十九畏规则时，系统将给与警告。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用药综合应用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1.中医药信息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支持提供医院在用药品的药品说明书、中药材专论与重要提示信息查询功能。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2.合理用药标识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支持包括药品重要信息、医院药品重要信息和药品属性信息，其中医院药品重要信息和药品属性信息如兴奋剂药品标识提示；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麻醉药品、精神类药品标识提示；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医保药品、基本药物等标识提示；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毒性药品标识提示；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放射性药品标识提示；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支持由用户根据医院实际情况对显示内容进行自定义维护。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3.患者用药指导</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支持提供患者用药教育指导单生成功能，医生开具处方后，系统可以根据患者基本信息、疾病情况以及处方药品信息自动生成有针对性的患者用药教育指导单，方便医生指导病人准确用药。</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区域处方点评中心</w:t>
                  </w:r>
                </w:p>
              </w:tc>
              <w:tc>
                <w:tcPr>
                  <w:tcW w:type="dxa" w:w="638"/>
                </w:tcPr>
                <w:p>
                  <w:pPr>
                    <w:pStyle w:val="null3"/>
                  </w:pPr>
                  <w:r>
                    <w:rPr>
                      <w:rFonts w:ascii="仿宋_GB2312" w:hAnsi="仿宋_GB2312" w:cs="仿宋_GB2312" w:eastAsia="仿宋_GB2312"/>
                    </w:rPr>
                    <w:t>1.门急诊处方点评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医院处方点评管理规范（试行）》、《处方点评监测网工作手册》等相关规定中对门急诊处方点评的要求，需要将《医院处方点评管理规范（试行）》中对处方的28项评价点进行标准化处理，需要在程序预判的基础上结合临床实际情况对处方书写规范性、药品用法用量、适应症、禁忌症、给药途径、相互作用等多项情况进行评价。点评完成后，需要将点评结果进行电子化存储，并可根据相关规定的要求生产点评相关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2.门诊病人医嘱点评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医院处方点评管理规范（试行）》、《处方点评监测网工作手册》等相关规定中对门急诊处方点评的要求，需要把《医院处方点评管理规范（试行）》中对处方的28项评价点进行标准化处理，需要在程序预判的基础上结合临床实际情况对处方书写规范性、药品用法用量、适应症、禁忌症、给药途径、相互作用等多项情况进行评价。点评完成后，需将点评结果进行电子化存储，并可根据相关规定的要求生产点评相关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3.住院病人医嘱点评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医院处方点评管理规范（试行）》、《处方点评监测网工作手册》等相关规定中对住院病人医嘱点评的要求，系统设置针对住院病人医嘱点评合理性评价的评价点，需要在程序预判的基础上结合临床实际情况对医嘱中药品用法用量、适应症、禁忌症、给药途径、相互作用等多项情况进行评价。点评完成后，需要将点评结果进行电子化存储，并可根据相关规定的要求生产点评相关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4.门急诊抗菌药物处方点评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根据《三级综合医院评审标准实施细则》、《2013年全国抗菌药物专项整治活动督导检查手册》、《处方管理办法》和《医院处方点评管理规范（试行） 》等相关规定对临床门急诊使用抗菌药物的要求，需要提供门急诊处方抗菌药物使用的和合理性的评价功能，实现对门急诊抗菌药物处方的专项点评。点评完成后，支持将点评结果进行电子化存储，并可根据相关规定的要求生产点评相关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5.围术期抗菌药物医嘱点评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根据《三级综合医院评审标准实施细则》、《2013年全国抗菌药物专项整治活动督导检查手册》、《卫生部办公厅关于抗菌药物临床应用管理有关问题的通知（卫办医政发[2009]38号）》、 《普通外科Ⅰ类(清洁)切口手术围手术期预防用抗菌药物管理实施细则》 和《剖宫产手术围手术期预防用抗菌药物管理实施细则》等相关规定对围手术期使用抗菌药物的相关要求，支持设置针对抗菌药物围手术期使用是否合理的评价点，实现对抗菌药物围手术期使用的专项点评。能够结合临床实际情况对围手术期用抗菌药物的用法用量、适应症、联合用药、术前给药时机、预防用药疗程等多项情况进行评价。点评完成后，支持点评结果进行电子化存储，并可根据相关规定的要求生产点评相关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6.住院病人医嘱专项药品点评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医院处方点评管理规范（试行）》等相关政策对血液制品、糖皮质激素、高危药品、辅助药物、中药注射剂的专项点评要求，需要提供对住院病人血液制品、糖皮质激素、高危药品、辅助药物、中药注射剂医嘱的专项点评，点评完成后，需要将点评结果进行电子化存储，并可根据相关规定的要求生产点评相关报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7.门（急）诊处方专项药品点评</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根据《医院处方点评管理规范（试行）》等相关政策对血液制品、糖皮质激素、高危药品、辅助药物、中药注射剂的专项点评要求，提供对血液制品、糖皮质激素、高危药品、辅助药物、中药注射剂处方的专项点评，需要结合临床实际情况对相应处方的规范性、糖皮质激素药物用法用量、溶媒、禁忌症、联合用药等进行合理性点评。点评完成后，支持将点评结果进行电子化存储，并可根据相关规定的要求生产点评相关报表。</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区域用药分析</w:t>
                  </w:r>
                </w:p>
              </w:tc>
              <w:tc>
                <w:tcPr>
                  <w:tcW w:type="dxa" w:w="638"/>
                </w:tcPr>
                <w:p>
                  <w:pPr>
                    <w:pStyle w:val="null3"/>
                  </w:pPr>
                  <w:r>
                    <w:rPr>
                      <w:rFonts w:ascii="仿宋_GB2312" w:hAnsi="仿宋_GB2312" w:cs="仿宋_GB2312" w:eastAsia="仿宋_GB2312"/>
                    </w:rPr>
                    <w:t>1.合理性指标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药事数据统计中，合理性指标通过多维度评估用药规范性，涵盖门（急）诊处方指标、门（急）诊病人指标、住（出）院病人指标、一般手术指标、重点及特殊手术指标。同时，药占比（药品费用占医疗总收入比例）监控医疗费用结构，合理用药监测指标、门诊处方点评率及合格率、住院病人医嘱处方点评率及合格率、自定义药品使用率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2.药物强度及消耗指标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按照收费时间、医嘱等维度以医院、科室、医疗组、医生等数据统计药品使用强度，支持药品金额/数量及DDDS趋势分析统计、医疗组药品消耗情况及使用量DDDS统计表、药品使用强度科室统计表。物强度及消耗量指标主要用于量化药品使用情况，监测用药趋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3.金额数量人次指标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支持以医院、科室、医生为维度统计药品使用金额及数量，同时支持查询相同维度的药品使用人次。系统还提供药品使用金额及用药人数排名表、医院药品使用金额及数量排名趋势表。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4.抗菌药物指标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全院使用量排名前十位抗菌药物、抗菌药物分级管理目录、临床微生物标本送检率、医疗机构抗菌药物品种、规格和使用量统计调查表、医疗机构抗菌药物临床应用指标数据上报表、某疾病治疗效果与抗菌药物使用情况分析表、出院病人围术期抗菌药物使用情况清单表、出院病人抗菌药物使用情况清单表、门（急）诊病人抗菌药物使用情况清单表、门（急）诊处方抗菌药物使用情况清单表、抗菌药物使用指标、抗菌药物使用量指标、抗菌药物临床应用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5.自定义指标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支持用户自定义门（急）诊处方指标、门（急）诊病人指标、住（出）院病人指标、一般手术指标、重点及特殊手术指标等报表类型的报表。并支持按照全院、科室、医疗组、医生等维度进行筛选。</w:t>
                  </w:r>
                </w:p>
              </w:tc>
            </w:tr>
            <w:tr>
              <w:tc>
                <w:tcPr>
                  <w:tcW w:type="dxa" w:w="638"/>
                  <w:vMerge w:val="restart"/>
                </w:tcPr>
                <w:p>
                  <w:pPr>
                    <w:pStyle w:val="null3"/>
                  </w:pPr>
                  <w:r>
                    <w:rPr>
                      <w:rFonts w:ascii="仿宋_GB2312" w:hAnsi="仿宋_GB2312" w:cs="仿宋_GB2312" w:eastAsia="仿宋_GB2312"/>
                    </w:rPr>
                    <w:t>9</w:t>
                  </w:r>
                </w:p>
              </w:tc>
              <w:tc>
                <w:tcPr>
                  <w:tcW w:type="dxa" w:w="638"/>
                  <w:vMerge w:val="restart"/>
                </w:tcPr>
                <w:p>
                  <w:pPr>
                    <w:pStyle w:val="null3"/>
                  </w:pPr>
                  <w:r>
                    <w:rPr>
                      <w:rFonts w:ascii="仿宋_GB2312" w:hAnsi="仿宋_GB2312" w:cs="仿宋_GB2312" w:eastAsia="仿宋_GB2312"/>
                    </w:rPr>
                    <w:t>综合监管中心</w:t>
                  </w:r>
                </w:p>
              </w:tc>
              <w:tc>
                <w:tcPr>
                  <w:tcW w:type="dxa" w:w="638"/>
                  <w:vMerge w:val="restart"/>
                </w:tcPr>
                <w:p>
                  <w:pPr>
                    <w:pStyle w:val="null3"/>
                  </w:pPr>
                  <w:r>
                    <w:rPr>
                      <w:rFonts w:ascii="仿宋_GB2312" w:hAnsi="仿宋_GB2312" w:cs="仿宋_GB2312" w:eastAsia="仿宋_GB2312"/>
                    </w:rPr>
                    <w:t>区域卫生决策支持系统</w:t>
                  </w:r>
                </w:p>
              </w:tc>
              <w:tc>
                <w:tcPr>
                  <w:tcW w:type="dxa" w:w="638"/>
                </w:tcPr>
                <w:p>
                  <w:pPr>
                    <w:pStyle w:val="null3"/>
                  </w:pPr>
                  <w:r>
                    <w:rPr>
                      <w:rFonts w:ascii="仿宋_GB2312" w:hAnsi="仿宋_GB2312" w:cs="仿宋_GB2312" w:eastAsia="仿宋_GB2312"/>
                    </w:rPr>
                    <w:t>1.系统设置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支持基础功能设置，包括系统标题设置、用户信息选项、机构名称、卡片数据格式、列表数据格式等基础参数设置。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2.报表设置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可视化报表菜单的管理、报表内容的管理、报表过滤器的管理等功能，提供了报表可视化的基础图表组件功能、数据绑定功能等。报表菜单管理包括创建、修改、复制、导出报表等操作功能；报表内容管理包括报表模块设计、主题指标设计、布局设计等功能；报表过滤器管理包括创建过滤器、编辑过滤器控件（日期、文本框、下拉框等控件）等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3.指标管理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的统一维护管理功能，包括指标的创建、指标属性的维护（指标代码、指标名称、计算公式、指标全市、计算单位等）、指标来源管理等，同时提供指标概况数量统计显示，包括指标总数量、原子指标数、综合计算指标数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4.人口概况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支持展示辖区内的人口统计数量和基本信息，具体指标包含：各区域人口分布、不同年龄和性别的人口统计、人口变化、新增人口趋势等。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5.门诊概况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从管理者视角，对管辖区域内门诊就诊总人次数（挂号）、急诊就诊总人次数（挂号）、门（急）诊人次数、门诊使用总处方数（含草药）、急诊使用总处方数（含草药）、门（急）诊使用总处方数（含草药）、门诊收入、急诊收入、门（急）诊收入、门（急）诊医保总费用、门（急）诊医保费用占比、特需门诊人次、特需门诊人次占比、预约人次、预约门诊人次占比、门（急）诊抗菌药物费用、门（急）诊抗菌药物费用占比、医保患者门（急）诊自费费用、医保患者门（急）诊自费费用占比、医保门（急）诊人次、医保门（急）诊人次占比等指标进行汇总统计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6.住院概况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从管理者视角，对管辖区域内出院患者好转人数、出院患者治疗好转率、出院患者治愈率、出院患者治愈人数、出院人次数、出院患者总费用、住院甲级病案例数、住院甲级病案例数占比、住院药品收入（含中药饮片）、住院药品收入占比、住院医保总费用、住院医保费用占比等指标进行汇总统计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7.公卫概况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从管理者视角，对管辖区域内3岁以下儿童数、6岁以下儿童数、孕产妇建册数、孕产妇人数、孕产妇建册率、区域内高血压患者总数、年内已管理高血压人数、高血压患者健康管理率、高血压患者规范管理数、高血压随访人次、年内已管理糖尿病患者数、区域内糖尿病患者总数、糖尿病患者健康管理率、糖尿病患者规范管理数、肿瘤患者管理人数、肿瘤患者规范管理人数、肿瘤患者规范管理率等指标进行汇总统计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8.医疗效率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监测医院病床使用情况、病床周转情况、患者平均住院情况，反映医院工作效率和服务能力。通过监测医务人员工作效率，为医务人员工作评价提供数据支撑，对平均住院日、床位使用率、床位周转次数、每医生门（急）诊人次、每医生出院人次、每医技人员门（急）诊人次、每医技人员出院人次等指标进行汇总统计展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9.医疗质量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支持通过建立医疗质量指标体系，开展医院质量监测，对诊疗质量、服务规范和患者安全进行监测。监测指标包括甲级病案率、出院患者治愈好转率、住院危重抢救占比、住院感染发生率、31天再次入院率等。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10.医疗收入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全面掌握医院运行状况，加强区域内医院全成本核算、效益分析，实现医疗费用监管，合理控制医疗费用增长，对医疗费用、医疗费用构成、平均床日费用、均次费用、药品费用占比、检查检验收入占比等指标进行汇总统计展示，可发挥各类医疗保险对医疗服务行为和费用的调控引导与监督制约作用，有效控制医疗成本。</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11.医疗行为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区域门（急）诊、住院、手术、处方等医疗行为重点指标进行统计和展示，运用图表展现各指标的机构排名、月/年趋势。逐步实现从对医疗机构服务的监管延伸到对医务人员医疗服务行为的监管，对所有医疗卫生机构门诊、住院诊疗行为的全程监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12.公卫服务分析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支持在成功采集现有公共卫生系统数据的前提下，实现公卫服务分析功能。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13.药品服务分析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遵循国家基本用药制度，以数据采集整合和决策分析支撑为主要手段，实现对区域内医疗卫生机构的药品使用情况和药品费用的监督管理，利用数据处理和数据分析手段，对药品用量、金额、使用频度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14.医疗保障分析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支持确保医疗保障体制的完善与监管，实现对区域医保业务数据的监管与统计分析。</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智慧卫生监管中心（BI大屏展示系统）</w:t>
                  </w:r>
                </w:p>
              </w:tc>
              <w:tc>
                <w:tcPr>
                  <w:tcW w:type="dxa" w:w="638"/>
                </w:tcPr>
                <w:p>
                  <w:pPr>
                    <w:pStyle w:val="null3"/>
                  </w:pPr>
                  <w:r>
                    <w:rPr>
                      <w:rFonts w:ascii="仿宋_GB2312" w:hAnsi="仿宋_GB2312" w:cs="仿宋_GB2312" w:eastAsia="仿宋_GB2312"/>
                    </w:rPr>
                    <w:t>1.工作负荷管理主题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支持对门急诊工作量、住院工作量进行趋势分析。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2.患者负担管理主题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支持对门急诊费用、住院费用以及医保费用进行统计，了解患者负担情况。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3.门诊动态管理主题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支持统计分析实时候诊人次、实时已就诊人次、门诊患者平均预约诊疗率等数据。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4.工作效率管理主题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支持对床日效率进行分析，如：平均住院日、床位使用率。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5.患者医疗质量与安全主题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支持对手术患者并发症发生率、手术患者并发症发生例数、Ⅰ类切口手术部位感染率几个手术质量方面质量数据的统计。</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6.药品监测主题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支持对点评处方占处方总数的比例、抗菌药使用强度、基药使用率、基药采购品种数等方面监督患者用药情况。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7.医疗收入主题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支持将医院整体医疗收入、药品收入、门诊收入、住院收入等各分项收入的趋势变化等进行综合性分析。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8.医疗人员主题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支持对床位数、卫生技术人员数配置等进行宏观统计，提供数据决策支撑。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9.资源共享主题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支持资源共享落实情况监管，包括影像诊断、心电诊断、信息共享等。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10.实时监测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支持以仪表盘方式实时展示区域级、院级领导日常关注的主要指标）和领导查询。</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11.门急诊分析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曲线图等不同的方式展示门急诊量、门急诊处方数、门急诊收入、门急诊药占比、门急诊平均费用、门急诊量科室TOP、门急诊收入科室TOP、门急诊量月趋势、收入月趋势等指标，并实现关键指标从全域到机构层级下钻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12.住院分析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曲线图等不同的方式展示门出院人次、平均住院日(天)、住院收入(万元)、住院药占比、每住院均费用(元)、抗菌药使用强度(DDD)、平均住院日科室TOP5、住院收入科室TOP5、抗菌药物使用强度科室TOP5、出院人次月趋势、住院收入&amp;药品收入月趋势、床位使用率月趋势等指标,并实现关键指标从全域到机构层级下钻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13.医疗质量分析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支持分别以柱状图、饼图等不同的方式展示入院出院诊断符合率、门诊出院诊断符合率、总死亡率、抢救成功率、新生儿死亡率等指标,并实现关键指标从全域到机构的层级下钻分析。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14.医疗收入分析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曲线图等不同的方式展示药品收入(万元)、总收入(万元)、总药占比、药占比科室TOP、药品收入科室TOP、医疗总收入科室TOP、药占比月趋势、医疗收入、药品收入月趋势等指标,并实现关键指标从全域到机构层级下钻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15.资源共享分析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支持分别以柱状图、饼图、曲线图等不同的方式展示影像诊断、心电诊断、病历共享等相关的指标分析，并实现关键指标从全域到机构层级下钻分析。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16.医疗资源分析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支持分别以柱状图、饼图、曲线图等不同的方式展示床位、医疗人员等相关的指标分析，并实现关键指标从全域到机构层级下钻分析。</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区域卫生移动决策支持系统</w:t>
                  </w:r>
                </w:p>
              </w:tc>
              <w:tc>
                <w:tcPr>
                  <w:tcW w:type="dxa" w:w="638"/>
                </w:tcPr>
                <w:p>
                  <w:pPr>
                    <w:pStyle w:val="null3"/>
                  </w:pPr>
                  <w:r>
                    <w:rPr>
                      <w:rFonts w:ascii="仿宋_GB2312" w:hAnsi="仿宋_GB2312" w:cs="仿宋_GB2312" w:eastAsia="仿宋_GB2312"/>
                    </w:rPr>
                    <w:t>1.实时监测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门急诊挂号、就诊情况，住院在院、入出转、危重患者、死亡人次、在院患者护理等级等情况，当日门诊收入、住院收入、收入构成情况，计划手术例数、完成手术例数、完成手术分级例数、完成手术分级构成情况进行监测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支持对门急诊挂号人次、已就诊人次、未就诊人次、开立处方、中药处方、西药处方、精麻处方、检查申请、检验申请、治疗申请等情况进行监测。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支持对床位数、在院患者数、住院患者完成手术例数、危重患者、死亡患者、床位使用率、在院患者护理等级、在院重症患者、重症入院、出院、危重患者死亡情况进行监测。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支持对总收入、门诊收入、住院收入、总收入构成、门诊收入构成、住院收入构成进行检测。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支持对手术完成例数、计划手术、手术室完成例数按科室、可术间进行监测。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支持对检查/检验申请、缴费数量、退费数量、执行数量进行监测。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2.日报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支持对昨日门急诊科室挂号、就诊情况进行分析。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支持对总床位数、病人数、手术、危重患者、一级护理进行分析，支持按科室统计床位、病人数、手术、危重患者及一级护理患者，支持分析加床科室top5、空床科室top5。</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3.医疗收入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支持对本期总收入、同比、环比进行分析，可以对收入的构成进行大类分析，支持对近6个月收入的月度趋势进行分析。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支持对本期门诊收入、同比、环比进行分析，可以对收入的构成进行大类分析，支持对近6个月收入的月度趋势进行分析。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支持对本期住院收入、同比、环比进行分析，可以对收入的构成进行大类分析，支持对近6个月收入的月度趋势进行分析。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4.患者负担</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支持对门急诊次均费用进行分析，可以进行本期、环比、同比分析，近6个月趋势进行分析。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支持对住院患者次均费用进行分析，可以进行本期、环比、同比分析，近6个月趋势进行分析。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支持对门急诊次均药费进行分析，可以进行本期、环比、同比分析，近6个月趋势进行分析。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支持对住院患者次均药费进行分析，可以进行本期、环比、同比分析，近6个月趋势进行分析。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5.医疗质量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支持分别以柱状图、饼图等不同的方式展示入院出院诊断符合率、门诊出院诊断符合率、总死亡率、抢救成功率、新生儿死亡率等指标,并实现关键指标从全院到科室再到医生的层级下钻分析。</w:t>
                  </w:r>
                </w:p>
              </w:tc>
            </w:tr>
            <w:tr>
              <w:tc>
                <w:tcPr>
                  <w:tcW w:type="dxa" w:w="638"/>
                  <w:vMerge w:val="restart"/>
                </w:tcPr>
                <w:p>
                  <w:pPr>
                    <w:pStyle w:val="null3"/>
                  </w:pPr>
                  <w:r>
                    <w:rPr>
                      <w:rFonts w:ascii="仿宋_GB2312" w:hAnsi="仿宋_GB2312" w:cs="仿宋_GB2312" w:eastAsia="仿宋_GB2312"/>
                    </w:rPr>
                    <w:t>10</w:t>
                  </w:r>
                </w:p>
              </w:tc>
              <w:tc>
                <w:tcPr>
                  <w:tcW w:type="dxa" w:w="638"/>
                  <w:vMerge w:val="restart"/>
                </w:tcPr>
                <w:p>
                  <w:pPr>
                    <w:pStyle w:val="null3"/>
                  </w:pPr>
                  <w:r>
                    <w:rPr>
                      <w:rFonts w:ascii="仿宋_GB2312" w:hAnsi="仿宋_GB2312" w:cs="仿宋_GB2312" w:eastAsia="仿宋_GB2312"/>
                    </w:rPr>
                    <w:t>县医院质量指标管理系统</w:t>
                  </w:r>
                </w:p>
              </w:tc>
              <w:tc>
                <w:tcPr>
                  <w:tcW w:type="dxa" w:w="638"/>
                  <w:vMerge w:val="restart"/>
                </w:tcPr>
                <w:p>
                  <w:pPr>
                    <w:pStyle w:val="null3"/>
                  </w:pPr>
                  <w:r>
                    <w:rPr>
                      <w:rFonts w:ascii="仿宋_GB2312" w:hAnsi="仿宋_GB2312" w:cs="仿宋_GB2312" w:eastAsia="仿宋_GB2312"/>
                    </w:rPr>
                    <w:t>床位配置/运行指标/麻醉专业/重症医学专业/药事管理专业指标</w:t>
                  </w:r>
                </w:p>
              </w:tc>
              <w:tc>
                <w:tcPr>
                  <w:tcW w:type="dxa" w:w="638"/>
                </w:tcPr>
                <w:p>
                  <w:pPr>
                    <w:pStyle w:val="null3"/>
                  </w:pPr>
                  <w:r>
                    <w:rPr>
                      <w:rFonts w:ascii="仿宋_GB2312" w:hAnsi="仿宋_GB2312" w:cs="仿宋_GB2312" w:eastAsia="仿宋_GB2312"/>
                    </w:rPr>
                    <w:t>1.指标维护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支持维护医院评审指标体系。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支持维护指标的统计口径、填报权限、查看权限。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支持维护指标的目标值与预警值，可配置预警消息。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支持对指标数据进行实时查询，并自定义查询数据。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2.指标分析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支持指标图表分析功能，通过时间维度、数据范围维度限定统计分析数据，以图表形式呈现指标年度、季度、月度、日度趋势变化情况。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支持指标维度分析报表，通过时间维度、数据范围维度限定统计分析数据，支持选择不同数据维度，查看不同指标的同比值、同比增长率，支持报表导出。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支持指标目标达成情况查询功能，通过时间维度、数据范围维度限定统计分析数据，根据目标值设定以及指标导向判断指标考核结果：缺陷指标、优秀指标、稳定指标、改善指标。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支持指标预警情况查询功能，通过时间维度、数据范围维度限定统计分析数据，根据预警值设定情况触发预警，并发送消息给相关负责人，支持查看预警明细。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3.指标填报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支持指标填报功能，对不可自动化采集指标进行结果填报，不同时间周期、不同数据范围进行填报。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4.目标值分析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支持目标值分析报表，支持查询公立医院绩效考核指标的考核结果：缺陷指标、优秀指标、稳定指标、改善指标，实现各指标间的横向对比。</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医疗服务能力/医院质量指标/医疗安全指标（年度医院获得性指标）</w:t>
                  </w:r>
                </w:p>
              </w:tc>
              <w:tc>
                <w:tcPr>
                  <w:tcW w:type="dxa" w:w="638"/>
                </w:tcPr>
                <w:p>
                  <w:pPr>
                    <w:pStyle w:val="null3"/>
                  </w:pPr>
                  <w:r>
                    <w:rPr>
                      <w:rFonts w:ascii="仿宋_GB2312" w:hAnsi="仿宋_GB2312" w:cs="仿宋_GB2312" w:eastAsia="仿宋_GB2312"/>
                    </w:rPr>
                    <w:t>1.指标维护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支持维护医院评审指标体系。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支持维护指标的统计口径、填报权限、查看权限。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支持维护指标的目标值与预警值，可配置预警消息。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支持对指标数据进行实时查询，并自定义查询数据。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2.指标分析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支持指标图表分析功能，通过时间维度、数据范围维度限定统计分析数据，以图表形式呈现指标年度、季度、月度、日度趋势变化情况。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支持指标维度分析报表，通过时间维度、数据范围维度限定统计分析数据，支持选择不同数据维度，查看不同指标的同比值、同比增长率，支持报表导出。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支持指标目标达成情况查询功能，通过时间维度、数据范围维度限定统计分析数据，根据目标值设定以及指标导向判断指标考核结果：缺陷指标、优秀指标、稳定指标、改善指标。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支持指标预警情况查询功能，通过时间维度、数据范围维度限定统计分析数据，根据预警值设定情况触发预警，并发送消息给相关负责人，支持查看预警明细。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3.指标填报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支持指标填报功能，对不可自动化采集指标进行结果填报，不同时间周期、不同数据范围进行填报。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4.目标值分析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支持目标值分析报表，支持查询公立医院绩效考核指标的考核结果：缺陷指标、优秀指标、稳定指标、改善指标，实现各指标间的横向对比。</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单病种质量控制指标</w:t>
                  </w:r>
                </w:p>
              </w:tc>
              <w:tc>
                <w:tcPr>
                  <w:tcW w:type="dxa" w:w="638"/>
                </w:tcPr>
                <w:p>
                  <w:pPr>
                    <w:pStyle w:val="null3"/>
                  </w:pPr>
                  <w:r>
                    <w:rPr>
                      <w:rFonts w:ascii="仿宋_GB2312" w:hAnsi="仿宋_GB2312" w:cs="仿宋_GB2312" w:eastAsia="仿宋_GB2312"/>
                    </w:rPr>
                    <w:t>1.指标维护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支持维护医院评审指标体系。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支持维护指标的统计口径、填报权限、查看权限。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支持维护指标的目标值与预警值，可配置预警消息。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支持对指标数据进行实时查询，并自定义查询数据。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2.指标分析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支持指标图表分析功能，通过时间维度、数据范围维度限定统计分析数据，以图表形式呈现指标年度、季度、月度、日度趋势变化情况。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支持指标维度分析报表，通过时间维度、数据范围维度限定统计分析数据，支持选择不同数据维度，查看不同指标的同比值、同比增长率，支持报表导出。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支持指标目标达成情况查询功能，通过时间维度、数据范围维度限定统计分析数据，根据目标值设定以及指标导向判断指标考核结果：缺陷指标、优秀指标、稳定指标、改善指标。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支持指标预警情况查询功能，通过时间维度、数据范围维度限定统计分析数据，根据预警值设定情况触发预警，并发送消息给相关负责人，支持查看预警明细。</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急诊专业/临床检验专业/病理专业</w:t>
                  </w:r>
                  <w:r>
                    <w:br/>
                  </w:r>
                  <w:r>
                    <w:rPr>
                      <w:rFonts w:ascii="仿宋_GB2312" w:hAnsi="仿宋_GB2312" w:cs="仿宋_GB2312" w:eastAsia="仿宋_GB2312"/>
                    </w:rPr>
                    <w:t xml:space="preserve"> /医院感染管理/临床用血/呼吸内科专业/产科专业/神经系统疾病/肾病专业/护理专业/病案管理/心血管系统疾病相关/超声诊断专业//康复医学专业/临床营养专业医疗质量控制指标</w:t>
                  </w:r>
                </w:p>
              </w:tc>
              <w:tc>
                <w:tcPr>
                  <w:tcW w:type="dxa" w:w="638"/>
                </w:tcPr>
                <w:p>
                  <w:pPr>
                    <w:pStyle w:val="null3"/>
                  </w:pPr>
                  <w:r>
                    <w:rPr>
                      <w:rFonts w:ascii="仿宋_GB2312" w:hAnsi="仿宋_GB2312" w:cs="仿宋_GB2312" w:eastAsia="仿宋_GB2312"/>
                    </w:rPr>
                    <w:t>1.指标维护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支持维护医院评审指标体系。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支持维护指标的统计口径、填报权限、查看权限。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支持维护指标的目标值与预警值，可配置预警消息。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支持对指标数据进行实时查询，并自定义查询数据。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2.指标分析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支持指标图表分析功能，通过时间维度、数据范围维度限定统计分析数据，以图表形式呈现指标年度、季度、月度、日度趋势变化情况。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支持指标维度分析报表，通过时间维度、数据范围维度限定统计分析数据，支持选择不同数据维度，查看不同指标的同比值、同比增长率，支持报表导出。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支持指标目标达成情况查询功能，通过时间维度、数据范围维度限定统计分析数据，根据目标值设定以及指标导向判断指标考核结果：缺陷指标、优秀指标、稳定指标、改善指标。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支持指标预警情况查询功能，通过时间维度、数据范围维度限定统计分析数据，根据预警值设定情况触发预警，并发送消息给相关负责人，支持查看预警明细。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3.目标值分析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支持目标值分析报表，支持查询公立医院绩效考核指标的考核结果：缺陷指标、优秀指标、稳定指标、改善指标，实现各指标间的横向对比。</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4.指标库管理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库管理，显示指标编码、指标名称、指标类型等；支持新增指标内容分为基础信息、分类指标和统计信息三大模块，基础信息含指标编码、指标类型、指标名称、指标方向、指标维度等内容，可控制指标的“启用”“停用”状态，分类指标含业务域和业务分类，统计信息含统计周期、负责人、计算公式、指标意义等功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5.指标规则管理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支持查看科室和院级规则，新增的科室规则含科室名称、指标目标值、指标维度、上线预警值、下线预警值、提醒方式、提醒频率、指标科室负责人、科室审核等功能。</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卫生技术人员配备/相关科室资源配置/科研指标</w:t>
                  </w:r>
                </w:p>
              </w:tc>
              <w:tc>
                <w:tcPr>
                  <w:tcW w:type="dxa" w:w="638"/>
                </w:tcPr>
                <w:p>
                  <w:pPr>
                    <w:pStyle w:val="null3"/>
                  </w:pPr>
                  <w:r>
                    <w:rPr>
                      <w:rFonts w:ascii="仿宋_GB2312" w:hAnsi="仿宋_GB2312" w:cs="仿宋_GB2312" w:eastAsia="仿宋_GB2312"/>
                    </w:rPr>
                    <w:t>1.指标维护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支持维护医院评审指标体系。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支持维护指标的统计口径、填报权限、查看权限。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支持维护指标的目标值与预警值，可配置预警消息。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支持对指标数据进行实时查询，并自定义查询数据。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2.指标分析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支持指标图表分析功能，通过时间维度、数据范围维度限定统计分析数据，以图表形式呈现指标年度、季度、月度、日度趋势变化情况。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支持指标维度分析报表，通过时间维度、数据范围维度限定统计分析数据，支持选择不同数据维度，查看不同指标的同比值、同比增长率，支持报表导出。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支持指标目标达成情况查询功能，通过时间维度、数据范围维度限定统计分析数据，根据目标值设定以及指标导向判断指标考核结果：缺陷指标、优秀指标、稳定指标、改善指标。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支持指标预警情况查询功能，通过时间维度、数据范围维度限定统计分析数据，根据预警值设定情况触发预警，并发送消息给相关负责人，支持查看预警明细。</w:t>
                  </w:r>
                </w:p>
              </w:tc>
            </w:tr>
            <w:tr>
              <w:tc>
                <w:tcPr>
                  <w:tcW w:type="dxa" w:w="638"/>
                  <w:vMerge/>
                </w:tcPr>
                <w:p/>
              </w:tc>
              <w:tc>
                <w:tcPr>
                  <w:tcW w:type="dxa" w:w="638"/>
                  <w:vMerge/>
                </w:tcPr>
                <w:p/>
              </w:tc>
              <w:tc>
                <w:tcPr>
                  <w:tcW w:type="dxa" w:w="638"/>
                  <w:vMerge w:val="restart"/>
                </w:tcPr>
                <w:p>
                  <w:pPr>
                    <w:pStyle w:val="null3"/>
                  </w:pPr>
                  <w:r>
                    <w:rPr>
                      <w:rFonts w:ascii="仿宋_GB2312" w:hAnsi="仿宋_GB2312" w:cs="仿宋_GB2312" w:eastAsia="仿宋_GB2312"/>
                    </w:rPr>
                    <w:t>国家限制类医疗技术/人体器官捐献、获取与移植技术/其他重点医疗技术质量控制指标</w:t>
                  </w:r>
                </w:p>
              </w:tc>
              <w:tc>
                <w:tcPr>
                  <w:tcW w:type="dxa" w:w="638"/>
                </w:tcPr>
                <w:p>
                  <w:pPr>
                    <w:pStyle w:val="null3"/>
                  </w:pPr>
                  <w:r>
                    <w:rPr>
                      <w:rFonts w:ascii="仿宋_GB2312" w:hAnsi="仿宋_GB2312" w:cs="仿宋_GB2312" w:eastAsia="仿宋_GB2312"/>
                    </w:rPr>
                    <w:t>1.指标维护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支持维护医院评审指标体系。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支持维护指标的统计口径、填报权限、查看权限。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支持维护指标的目标值与预警值，可配置预警消息。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支持对指标数据进行实时查询，并自定义查询数据。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2.指标分析</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支持指标图表分析功能，通过时间维度、数据范围维度限定统计分析数据，以图表形式呈现指标年度、季度、月度、日度趋势变化情况。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支持指标维度分析报表，通过时间维度、数据范围维度限定统计分析数据，支持选择不同数据维度，查看不同指标的同比值、同比增长率，支持报表导出。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支持指标目标达成情况查询功能，通过时间维度、数据范围维度限定统计分析数据，根据目标值设定以及指标导向判断指标考核结果：缺陷指标、优秀指标、稳定指标、改善指标。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支持指标预警情况查询功能，通过时间维度、数据范围维度限定统计分析数据，根据预警值设定情况触发预警，并发送消息给相关负责人，支持查看预警明细。</w:t>
                  </w:r>
                </w:p>
              </w:tc>
            </w:tr>
          </w:tbl>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软件后续服务期不少于2年。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三、信息化建设硬件要求</w:t>
            </w:r>
          </w:p>
          <w:p>
            <w:pPr>
              <w:pStyle w:val="null3"/>
            </w:pPr>
            <w:r>
              <w:rPr>
                <w:rFonts w:ascii="仿宋_GB2312" w:hAnsi="仿宋_GB2312" w:cs="仿宋_GB2312" w:eastAsia="仿宋_GB2312"/>
              </w:rPr>
              <w:t>1、区域平台业务汇聚交换机(数量：2）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1.1、国产化产品，满足信创要求；</w:t>
            </w:r>
          </w:p>
          <w:p>
            <w:pPr>
              <w:pStyle w:val="null3"/>
            </w:pPr>
            <w:r>
              <w:rPr>
                <w:rFonts w:ascii="仿宋_GB2312" w:hAnsi="仿宋_GB2312" w:cs="仿宋_GB2312" w:eastAsia="仿宋_GB2312"/>
              </w:rPr>
              <w:t>1.2、交换容量≥4.8Tbps;(以官网所列最低参数为准)</w:t>
            </w:r>
          </w:p>
          <w:p>
            <w:pPr>
              <w:pStyle w:val="null3"/>
            </w:pPr>
            <w:r>
              <w:rPr>
                <w:rFonts w:ascii="仿宋_GB2312" w:hAnsi="仿宋_GB2312" w:cs="仿宋_GB2312" w:eastAsia="仿宋_GB2312"/>
              </w:rPr>
              <w:t>1.3、转发性能≥1620Mpps；(以官网所列最低参数为准)</w:t>
            </w:r>
          </w:p>
          <w:p>
            <w:pPr>
              <w:pStyle w:val="null3"/>
            </w:pPr>
            <w:r>
              <w:rPr>
                <w:rFonts w:ascii="仿宋_GB2312" w:hAnsi="仿宋_GB2312" w:cs="仿宋_GB2312" w:eastAsia="仿宋_GB2312"/>
              </w:rPr>
              <w:t>1.4、实配10 GE 光接口≥32个，100 GE光接口≥4个，扩展插槽≥2个；配置12个万兆多模光模块；</w:t>
            </w:r>
          </w:p>
          <w:p>
            <w:pPr>
              <w:pStyle w:val="null3"/>
            </w:pPr>
            <w:r>
              <w:rPr>
                <w:rFonts w:ascii="仿宋_GB2312" w:hAnsi="仿宋_GB2312" w:cs="仿宋_GB2312" w:eastAsia="仿宋_GB2312"/>
              </w:rPr>
              <w:t>1.5、整机最大路由地址表≥320K，整机最大ARP地址表≥170K，整机最大MAC地址表≥280K；</w:t>
            </w:r>
          </w:p>
          <w:p>
            <w:pPr>
              <w:pStyle w:val="null3"/>
            </w:pPr>
            <w:r>
              <w:rPr>
                <w:rFonts w:ascii="仿宋_GB2312" w:hAnsi="仿宋_GB2312" w:cs="仿宋_GB2312" w:eastAsia="仿宋_GB2312"/>
              </w:rPr>
              <w:t>1.6、要求设备支持不同种类的业务插卡，支持防火墙插卡，提供证明材料；</w:t>
            </w:r>
          </w:p>
          <w:p>
            <w:pPr>
              <w:pStyle w:val="null3"/>
            </w:pPr>
            <w:r>
              <w:rPr>
                <w:rFonts w:ascii="仿宋_GB2312" w:hAnsi="仿宋_GB2312" w:cs="仿宋_GB2312" w:eastAsia="仿宋_GB2312"/>
              </w:rPr>
              <w:t>1.7、支持IPv4静态路由、RIP、OSPF、ISIS、BGP；支持IPv6静态路由、RIPng、OSPFv3、ISISv6、BGP4+；</w:t>
            </w:r>
          </w:p>
          <w:p>
            <w:pPr>
              <w:pStyle w:val="null3"/>
            </w:pPr>
            <w:r>
              <w:rPr>
                <w:rFonts w:ascii="仿宋_GB2312" w:hAnsi="仿宋_GB2312" w:cs="仿宋_GB2312" w:eastAsia="仿宋_GB2312"/>
              </w:rPr>
              <w:t>1.8、要求支持网络质量检测技术，允许管理员通过定期发送测试数据包并分析响应来检查网络链路的可用性和性能，可快速测量网络性能的检测机制，直接对业务报文进行测量，测量数据可以真实反映网络质量状况，实时感知丢包时间、丢包位置、丢包数量，提供证明材料；</w:t>
            </w:r>
          </w:p>
          <w:p>
            <w:pPr>
              <w:pStyle w:val="null3"/>
            </w:pPr>
            <w:r>
              <w:rPr>
                <w:rFonts w:ascii="仿宋_GB2312" w:hAnsi="仿宋_GB2312" w:cs="仿宋_GB2312" w:eastAsia="仿宋_GB2312"/>
              </w:rPr>
              <w:t>1.9、支持IGMP v1/v2/v3，MLD v1/v2；支持IGMP Snooping v1/v2/v3，MLD Snooping v1/v2；支持PIM Snooping；支持MLD Proxy；支持组播VLAN；支持PIM-DM，PIM-SM，PIM-SSM；支持MSDP，MSDP for IPv6；支持MBGP，MBGP for Ipv6；</w:t>
            </w:r>
          </w:p>
          <w:p>
            <w:pPr>
              <w:pStyle w:val="null3"/>
            </w:pPr>
            <w:r>
              <w:rPr>
                <w:rFonts w:ascii="仿宋_GB2312" w:hAnsi="仿宋_GB2312" w:cs="仿宋_GB2312" w:eastAsia="仿宋_GB2312"/>
              </w:rPr>
              <w:t>1.10、支持融合AC功能,支持管理AP设备，最大可管理2K AP，实现有线无线一体化管理，提供证明材料；</w:t>
            </w:r>
          </w:p>
          <w:p>
            <w:pPr>
              <w:pStyle w:val="null3"/>
            </w:pPr>
            <w:r>
              <w:rPr>
                <w:rFonts w:ascii="仿宋_GB2312" w:hAnsi="仿宋_GB2312" w:cs="仿宋_GB2312" w:eastAsia="仿宋_GB2312"/>
              </w:rPr>
              <w:t>1.11、提供工信部入网证和经认证的检测机构出具的检测报告。</w:t>
            </w:r>
          </w:p>
          <w:p>
            <w:pPr>
              <w:pStyle w:val="null3"/>
            </w:pPr>
            <w:r>
              <w:rPr>
                <w:rFonts w:ascii="仿宋_GB2312" w:hAnsi="仿宋_GB2312" w:cs="仿宋_GB2312" w:eastAsia="仿宋_GB2312"/>
              </w:rPr>
              <w:t>2、区域平台应用发布超融合资源主机（数量：4）</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2.1、外型：≥2U机架式国产化服务器，满足信创要求，标配原厂导轨；</w:t>
            </w:r>
          </w:p>
          <w:p>
            <w:pPr>
              <w:pStyle w:val="null3"/>
            </w:pPr>
            <w:r>
              <w:rPr>
                <w:rFonts w:ascii="仿宋_GB2312" w:hAnsi="仿宋_GB2312" w:cs="仿宋_GB2312" w:eastAsia="仿宋_GB2312"/>
              </w:rPr>
              <w:t>2.2、处理器：实配≥2颗国产化 2.2GHz/24核处理器；</w:t>
            </w:r>
          </w:p>
          <w:p>
            <w:pPr>
              <w:pStyle w:val="null3"/>
            </w:pPr>
            <w:r>
              <w:rPr>
                <w:rFonts w:ascii="仿宋_GB2312" w:hAnsi="仿宋_GB2312" w:cs="仿宋_GB2312" w:eastAsia="仿宋_GB2312"/>
              </w:rPr>
              <w:t>2.3、内存：实配≥768GB DDR4 3200内存；</w:t>
            </w:r>
          </w:p>
          <w:p>
            <w:pPr>
              <w:pStyle w:val="null3"/>
            </w:pPr>
            <w:r>
              <w:rPr>
                <w:rFonts w:ascii="仿宋_GB2312" w:hAnsi="仿宋_GB2312" w:cs="仿宋_GB2312" w:eastAsia="仿宋_GB2312"/>
              </w:rPr>
              <w:t>2.4、硬盘；实配≥5块3.84TB SSD硬盘，≥6块6TB SATA硬盘；</w:t>
            </w:r>
          </w:p>
          <w:p>
            <w:pPr>
              <w:pStyle w:val="null3"/>
            </w:pPr>
            <w:r>
              <w:rPr>
                <w:rFonts w:ascii="仿宋_GB2312" w:hAnsi="仿宋_GB2312" w:cs="仿宋_GB2312" w:eastAsia="仿宋_GB2312"/>
              </w:rPr>
              <w:t>2.5、阵列控制器：配置独立磁盘阵列控制器，支持RAID0/1/10/5/6/50/60，阵列卡缓存≥2GB，支持缓存数据保护，且后备保护时间不受限制；</w:t>
            </w:r>
          </w:p>
          <w:p>
            <w:pPr>
              <w:pStyle w:val="null3"/>
            </w:pPr>
            <w:r>
              <w:rPr>
                <w:rFonts w:ascii="仿宋_GB2312" w:hAnsi="仿宋_GB2312" w:cs="仿宋_GB2312" w:eastAsia="仿宋_GB2312"/>
              </w:rPr>
              <w:t>2.6、网络：≥ 8端口千兆电口，≥4端口万兆光口（含模块）；</w:t>
            </w:r>
          </w:p>
          <w:p>
            <w:pPr>
              <w:pStyle w:val="null3"/>
            </w:pPr>
            <w:r>
              <w:rPr>
                <w:rFonts w:ascii="仿宋_GB2312" w:hAnsi="仿宋_GB2312" w:cs="仿宋_GB2312" w:eastAsia="仿宋_GB2312"/>
              </w:rPr>
              <w:t>2.7、I/O：最多提供≥10个标准PCIe 3.0插槽。</w:t>
            </w:r>
          </w:p>
          <w:p>
            <w:pPr>
              <w:pStyle w:val="null3"/>
            </w:pPr>
            <w:r>
              <w:rPr>
                <w:rFonts w:ascii="仿宋_GB2312" w:hAnsi="仿宋_GB2312" w:cs="仿宋_GB2312" w:eastAsia="仿宋_GB2312"/>
              </w:rPr>
              <w:t>2.8、电源风扇：≥2个1300W热插拔冗余电源，支持热插拔冗余风扇；</w:t>
            </w:r>
          </w:p>
          <w:p>
            <w:pPr>
              <w:pStyle w:val="null3"/>
            </w:pPr>
            <w:r>
              <w:rPr>
                <w:rFonts w:ascii="仿宋_GB2312" w:hAnsi="仿宋_GB2312" w:cs="仿宋_GB2312" w:eastAsia="仿宋_GB2312"/>
              </w:rPr>
              <w:t>2.9、智能管理：服务器支持智能管理能力，支持3D图形化的机箱内部温度拓扑图显示；支持风扇监控和管理，包括智能动态调节风扇转速功能；支持对登录服务器BMC管理软件的用户执行基于一次性随机动态密码，需提供证明材料。</w:t>
            </w:r>
          </w:p>
          <w:p>
            <w:pPr>
              <w:pStyle w:val="null3"/>
            </w:pPr>
            <w:r>
              <w:rPr>
                <w:rFonts w:ascii="仿宋_GB2312" w:hAnsi="仿宋_GB2312" w:cs="仿宋_GB2312" w:eastAsia="仿宋_GB2312"/>
              </w:rPr>
              <w:t>3、区域平台超融合软件（数量：1）</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3.1、平台需同时支持容器和虚拟化两种资源，通过一套集群统一管理且两种资源统均在物理机上运行，为保证业务的高性能和高可靠性，容器需直接运行在宿主机操作系统上；</w:t>
            </w:r>
          </w:p>
          <w:p>
            <w:pPr>
              <w:pStyle w:val="null3"/>
            </w:pPr>
            <w:r>
              <w:rPr>
                <w:rFonts w:ascii="仿宋_GB2312" w:hAnsi="仿宋_GB2312" w:cs="仿宋_GB2312" w:eastAsia="仿宋_GB2312"/>
              </w:rPr>
              <w:t>3.2、支持东方通等主流的国产Web应用中间件，并提供容器化部署以满足应用容器化改造需求，与应用全生命周期管理深度集成，实现PaaS组件层的安全可控，提供证明材料；</w:t>
            </w:r>
          </w:p>
          <w:p>
            <w:pPr>
              <w:pStyle w:val="null3"/>
            </w:pPr>
            <w:r>
              <w:rPr>
                <w:rFonts w:ascii="仿宋_GB2312" w:hAnsi="仿宋_GB2312" w:cs="仿宋_GB2312" w:eastAsia="仿宋_GB2312"/>
              </w:rPr>
              <w:t>3.3、为满足不同vpc的网络通信需求，支持创建对等连接实例，支持同项目和异项目VPC的网络打通。异项目对等连接资源申请需通过对端账号授权同意后实例方可生效，提供证明材料；</w:t>
            </w:r>
          </w:p>
          <w:p>
            <w:pPr>
              <w:pStyle w:val="null3"/>
            </w:pPr>
            <w:r>
              <w:rPr>
                <w:rFonts w:ascii="仿宋_GB2312" w:hAnsi="仿宋_GB2312" w:cs="仿宋_GB2312" w:eastAsia="仿宋_GB2312"/>
              </w:rPr>
              <w:t>3.4、为方便数据盘更换，数据盘拔盘时，平台访问正常，虚拟机业务和容器业务正常运行，提供证明材料；</w:t>
            </w:r>
          </w:p>
          <w:p>
            <w:pPr>
              <w:pStyle w:val="null3"/>
            </w:pPr>
            <w:r>
              <w:rPr>
                <w:rFonts w:ascii="仿宋_GB2312" w:hAnsi="仿宋_GB2312" w:cs="仿宋_GB2312" w:eastAsia="仿宋_GB2312"/>
              </w:rPr>
              <w:t>3.5、支持虚拟机回收站管理，可在回收站进行虚拟机还原；支持销毁回收站虚拟机释放计算资源，可以查看回收站列表项信息，包括虚拟机名称/ID、所属项目、创建时间和删除时间，提供证明材料；</w:t>
            </w:r>
          </w:p>
          <w:p>
            <w:pPr>
              <w:pStyle w:val="null3"/>
            </w:pPr>
            <w:r>
              <w:rPr>
                <w:rFonts w:ascii="仿宋_GB2312" w:hAnsi="仿宋_GB2312" w:cs="仿宋_GB2312" w:eastAsia="仿宋_GB2312"/>
              </w:rPr>
              <w:t>3.6、虚拟机多网卡：支持为每个虚拟机配置一个或多个网卡，且可以指定IP地址，提供证明材料；</w:t>
            </w:r>
          </w:p>
          <w:p>
            <w:pPr>
              <w:pStyle w:val="null3"/>
            </w:pPr>
            <w:r>
              <w:rPr>
                <w:rFonts w:ascii="仿宋_GB2312" w:hAnsi="仿宋_GB2312" w:cs="仿宋_GB2312" w:eastAsia="仿宋_GB2312"/>
              </w:rPr>
              <w:t>3.7、支持硬盘或存储节点故障时，系统在集群内硬盘的剩余空间中自动进行数据重建，所有硬盘并发重构，提升重构效率。在无人工干预条件下，1TB 数据恢复时间不超过5分钟，提供证明材料；</w:t>
            </w:r>
          </w:p>
          <w:p>
            <w:pPr>
              <w:pStyle w:val="null3"/>
            </w:pPr>
            <w:r>
              <w:rPr>
                <w:rFonts w:ascii="仿宋_GB2312" w:hAnsi="仿宋_GB2312" w:cs="仿宋_GB2312" w:eastAsia="仿宋_GB2312"/>
              </w:rPr>
              <w:t>3.8、支持秒级快照，对虚拟机连续进行10 次快照操作，虚拟机前后读写 IOPS性能下降不超过 5%，提供证明材料；</w:t>
            </w:r>
          </w:p>
          <w:p>
            <w:pPr>
              <w:pStyle w:val="null3"/>
            </w:pPr>
            <w:r>
              <w:rPr>
                <w:rFonts w:ascii="仿宋_GB2312" w:hAnsi="仿宋_GB2312" w:cs="仿宋_GB2312" w:eastAsia="仿宋_GB2312"/>
              </w:rPr>
              <w:t>3.9、支持容器安全防护，支持自动对容器集群中的容器安全事件进行检测并统计包括容器逃逸风险统计，进程异常行为统计，容器环境检测统计等信息，提供证明材料；</w:t>
            </w:r>
          </w:p>
          <w:p>
            <w:pPr>
              <w:pStyle w:val="null3"/>
            </w:pPr>
            <w:r>
              <w:rPr>
                <w:rFonts w:ascii="仿宋_GB2312" w:hAnsi="仿宋_GB2312" w:cs="仿宋_GB2312" w:eastAsia="仿宋_GB2312"/>
              </w:rPr>
              <w:t>3.10、支持容器镜像仓中的镜像漏洞扫描并进行报告统计，包括危及、严重漏洞占比，每个缺陷码对应的镜像，提供证明材料；</w:t>
            </w:r>
          </w:p>
          <w:p>
            <w:pPr>
              <w:pStyle w:val="null3"/>
            </w:pPr>
            <w:r>
              <w:rPr>
                <w:rFonts w:ascii="仿宋_GB2312" w:hAnsi="仿宋_GB2312" w:cs="仿宋_GB2312" w:eastAsia="仿宋_GB2312"/>
              </w:rPr>
              <w:t>3.11、支持应用全链路拓扑，可以查看应用组、应用、实例和主机相关统计信息。其中包括应用服务支持请求量、慢调用次数、响应时间、链路错误数、日志错误数、待处理告警数等信息，提供证明材料；</w:t>
            </w:r>
          </w:p>
          <w:p>
            <w:pPr>
              <w:pStyle w:val="null3"/>
            </w:pPr>
            <w:r>
              <w:rPr>
                <w:rFonts w:ascii="仿宋_GB2312" w:hAnsi="仿宋_GB2312" w:cs="仿宋_GB2312" w:eastAsia="仿宋_GB2312"/>
              </w:rPr>
              <w:t>3.12、支持通过智能算法自动完成对应用和容器集群智能异常巡检，如创建巡检策略、设置巡检项指标包括应用运行状态异常、成功率、应用平均响应时间、容器节点状态、集群节点cpu和内存使用率等，提供证明材料；</w:t>
            </w:r>
          </w:p>
          <w:p>
            <w:pPr>
              <w:pStyle w:val="null3"/>
            </w:pPr>
            <w:r>
              <w:rPr>
                <w:rFonts w:ascii="仿宋_GB2312" w:hAnsi="仿宋_GB2312" w:cs="仿宋_GB2312" w:eastAsia="仿宋_GB2312"/>
              </w:rPr>
              <w:t>3.13、支持Kafka、RabbitMQ多种消息队列安装部署功能，提供证明材料；</w:t>
            </w:r>
          </w:p>
          <w:p>
            <w:pPr>
              <w:pStyle w:val="null3"/>
            </w:pPr>
            <w:r>
              <w:rPr>
                <w:rFonts w:ascii="仿宋_GB2312" w:hAnsi="仿宋_GB2312" w:cs="仿宋_GB2312" w:eastAsia="仿宋_GB2312"/>
              </w:rPr>
              <w:t>3.14、支持Kafka实例主机Pod资源监控包括系统CPU、系统内存、网络流量发送、网络流量接收数据展示；支持Kafka业务监控，包括Kafka业务监控信息、Kafka partition 信息、监控信息、Kafka数据量等信息，提供证明材料；</w:t>
            </w:r>
          </w:p>
          <w:p>
            <w:pPr>
              <w:pStyle w:val="null3"/>
            </w:pPr>
            <w:r>
              <w:rPr>
                <w:rFonts w:ascii="仿宋_GB2312" w:hAnsi="仿宋_GB2312" w:cs="仿宋_GB2312" w:eastAsia="仿宋_GB2312"/>
              </w:rPr>
              <w:t>3.15、支持选择冷数据和热数据保存市场，支持根据条件批量匹配采集对象实例，解析模式支持json、正则表达式、k-v分离模式等，提供证明材料；</w:t>
            </w:r>
          </w:p>
          <w:p>
            <w:pPr>
              <w:pStyle w:val="null3"/>
            </w:pPr>
            <w:r>
              <w:rPr>
                <w:rFonts w:ascii="仿宋_GB2312" w:hAnsi="仿宋_GB2312" w:cs="仿宋_GB2312" w:eastAsia="仿宋_GB2312"/>
              </w:rPr>
              <w:t>3.16、运维平台：</w:t>
            </w:r>
          </w:p>
          <w:p>
            <w:pPr>
              <w:pStyle w:val="null3"/>
            </w:pPr>
            <w:r>
              <w:rPr>
                <w:rFonts w:ascii="仿宋_GB2312" w:hAnsi="仿宋_GB2312" w:cs="仿宋_GB2312" w:eastAsia="仿宋_GB2312"/>
              </w:rPr>
              <w:t>3.16.1为满足管理员对平台运维管理的便捷性要求，要求平台提供可视化实时监控和展示能力；针对平台软件和硬件资源，提供统一的监控和图表展示，及时掌控平台、资源、服务和应用健康状态。硬件监控包括CPU温度、风扇转速、CPU型号和数量、内存大小和数量、电源状态、网卡状态、物理盘和逻辑盘容量及状态等；可以自定义告警规则进行告警通知。保障资源状态和使用情况的及时感知。</w:t>
            </w:r>
          </w:p>
          <w:p>
            <w:pPr>
              <w:pStyle w:val="null3"/>
            </w:pPr>
            <w:r>
              <w:rPr>
                <w:rFonts w:ascii="仿宋_GB2312" w:hAnsi="仿宋_GB2312" w:cs="仿宋_GB2312" w:eastAsia="仿宋_GB2312"/>
              </w:rPr>
              <w:t>3.16.2一屏掌控业务系统的运行状态，支持展示应用组健康度、应用状态、系统告警、TOP5应用等；提供总体健康度、吞吐量、访问成功率、95%访问的平均响应时间、访问平均时延、全链路拓扑、应用状态、资源使用率、接口监控、日志等多个诊断指标。</w:t>
            </w:r>
          </w:p>
          <w:p>
            <w:pPr>
              <w:pStyle w:val="null3"/>
            </w:pPr>
            <w:r>
              <w:rPr>
                <w:rFonts w:ascii="仿宋_GB2312" w:hAnsi="仿宋_GB2312" w:cs="仿宋_GB2312" w:eastAsia="仿宋_GB2312"/>
              </w:rPr>
              <w:t>3.16.3支持用户自定义健康度算法，比如自定义apdex阈值、应用权重等。支持容器应用和虚拟机应用部署时选择是否开启应用诊断，开启后系统将自动接入该应用，无需用户再次手动接入。</w:t>
            </w:r>
          </w:p>
          <w:p>
            <w:pPr>
              <w:pStyle w:val="null3"/>
            </w:pPr>
            <w:r>
              <w:rPr>
                <w:rFonts w:ascii="仿宋_GB2312" w:hAnsi="仿宋_GB2312" w:cs="仿宋_GB2312" w:eastAsia="仿宋_GB2312"/>
              </w:rPr>
              <w:t>3.16.4支持配置应用性能指标的告警规则、告警信息展示、邮件通知等；支持异常事件的聚合展示，主要包括错误链路事件、错误日志事件和K8S事件；支持日志的全文检索和分析功能，支持查看日志上下文等。</w:t>
            </w:r>
          </w:p>
          <w:p>
            <w:pPr>
              <w:pStyle w:val="null3"/>
            </w:pPr>
            <w:r>
              <w:rPr>
                <w:rFonts w:ascii="仿宋_GB2312" w:hAnsi="仿宋_GB2312" w:cs="仿宋_GB2312" w:eastAsia="仿宋_GB2312"/>
              </w:rPr>
              <w:t>3.16.5实际配置：配置8C虚拟化授权，192T分布式存储授权。</w:t>
            </w:r>
          </w:p>
          <w:p>
            <w:pPr>
              <w:pStyle w:val="null3"/>
            </w:pPr>
            <w:r>
              <w:rPr>
                <w:rFonts w:ascii="仿宋_GB2312" w:hAnsi="仿宋_GB2312" w:cs="仿宋_GB2312" w:eastAsia="仿宋_GB2312"/>
              </w:rPr>
              <w:t>4、区域平台超融合交换机（数量：2）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4.1、国产化产品，满足信创要求；</w:t>
            </w:r>
          </w:p>
          <w:p>
            <w:pPr>
              <w:pStyle w:val="null3"/>
            </w:pPr>
            <w:r>
              <w:rPr>
                <w:rFonts w:ascii="仿宋_GB2312" w:hAnsi="仿宋_GB2312" w:cs="仿宋_GB2312" w:eastAsia="仿宋_GB2312"/>
              </w:rPr>
              <w:t>4.2、交换容量≥2.56Tbps；（以官网所列最低参数为准）</w:t>
            </w:r>
          </w:p>
          <w:p>
            <w:pPr>
              <w:pStyle w:val="null3"/>
            </w:pPr>
            <w:r>
              <w:rPr>
                <w:rFonts w:ascii="仿宋_GB2312" w:hAnsi="仿宋_GB2312" w:cs="仿宋_GB2312" w:eastAsia="仿宋_GB2312"/>
              </w:rPr>
              <w:t>4.3转发性能≥1080Mpps；（以官网所列最低参数为准）</w:t>
            </w:r>
          </w:p>
          <w:p>
            <w:pPr>
              <w:pStyle w:val="null3"/>
            </w:pPr>
            <w:r>
              <w:rPr>
                <w:rFonts w:ascii="仿宋_GB2312" w:hAnsi="仿宋_GB2312" w:cs="仿宋_GB2312" w:eastAsia="仿宋_GB2312"/>
              </w:rPr>
              <w:t>4.4、实配10/100/1000Base-T千兆电口≥24个，10 GE 光接口≥8个，25 GE 光接口≥4个，支持2个扩展插槽；配置12个万兆多模光模块</w:t>
            </w:r>
          </w:p>
          <w:p>
            <w:pPr>
              <w:pStyle w:val="null3"/>
            </w:pPr>
            <w:r>
              <w:rPr>
                <w:rFonts w:ascii="仿宋_GB2312" w:hAnsi="仿宋_GB2312" w:cs="仿宋_GB2312" w:eastAsia="仿宋_GB2312"/>
              </w:rPr>
              <w:t>4.5、整机最大MAC地址表≥32K；</w:t>
            </w:r>
          </w:p>
          <w:p>
            <w:pPr>
              <w:pStyle w:val="null3"/>
            </w:pPr>
            <w:r>
              <w:rPr>
                <w:rFonts w:ascii="仿宋_GB2312" w:hAnsi="仿宋_GB2312" w:cs="仿宋_GB2312" w:eastAsia="仿宋_GB2312"/>
              </w:rPr>
              <w:t>4.6、支持IPv4静态路由、RIP、OSPF、ISIS、BGP；支持IPv6静态路由、RIPng、OSPFv3、ISISv6、BGP4+；支持IPv4和IPv6环境下的策略路由；</w:t>
            </w:r>
            <w:r>
              <w:br/>
            </w:r>
            <w:r>
              <w:rPr>
                <w:rFonts w:ascii="仿宋_GB2312" w:hAnsi="仿宋_GB2312" w:cs="仿宋_GB2312" w:eastAsia="仿宋_GB2312"/>
              </w:rPr>
              <w:t xml:space="preserve"> 支持IPv6手动隧道、6to4隧道和ISATAP隧道；</w:t>
            </w:r>
          </w:p>
          <w:p>
            <w:pPr>
              <w:pStyle w:val="null3"/>
            </w:pPr>
            <w:r>
              <w:rPr>
                <w:rFonts w:ascii="仿宋_GB2312" w:hAnsi="仿宋_GB2312" w:cs="仿宋_GB2312" w:eastAsia="仿宋_GB2312"/>
              </w:rPr>
              <w:t>4.7、支持IGMP v1/v2/v3，MLD v1/v2;支持IGMP Snooping v1/v2/v3，MLD Snooping v1/v2;支持PIM Snooping;支持MLD Proxy; 支持组播VLAN; 支持PIM-DM，PIM-SM，PIM-SSM; 支持MSDP，MSDP for IPv6;支持MBGP，MBGP for Ipv6;</w:t>
            </w:r>
          </w:p>
          <w:p>
            <w:pPr>
              <w:pStyle w:val="null3"/>
            </w:pPr>
            <w:r>
              <w:rPr>
                <w:rFonts w:ascii="仿宋_GB2312" w:hAnsi="仿宋_GB2312" w:cs="仿宋_GB2312" w:eastAsia="仿宋_GB2312"/>
              </w:rPr>
              <w:t>4.8、支持基于第二层、第三层和第四层的ACL；支持基于端口和VLAN的 ACL；支持IPv6 ACL；支持出方向ACL，以便于灵活实现数据包过滤；支持802.1x认证，支持集中式MAC地址认证；</w:t>
            </w:r>
          </w:p>
          <w:p>
            <w:pPr>
              <w:pStyle w:val="null3"/>
            </w:pPr>
            <w:r>
              <w:rPr>
                <w:rFonts w:ascii="仿宋_GB2312" w:hAnsi="仿宋_GB2312" w:cs="仿宋_GB2312" w:eastAsia="仿宋_GB2312"/>
              </w:rPr>
              <w:t>4.9、网管功能一体化，内置智能管理功能，可提供智能管理、智能运维、可视化和智能业务等网管功能，提供证明材料；</w:t>
            </w:r>
          </w:p>
          <w:p>
            <w:pPr>
              <w:pStyle w:val="null3"/>
            </w:pPr>
            <w:r>
              <w:rPr>
                <w:rFonts w:ascii="仿宋_GB2312" w:hAnsi="仿宋_GB2312" w:cs="仿宋_GB2312" w:eastAsia="仿宋_GB2312"/>
              </w:rPr>
              <w:t>4.10、提供工信部入网证和经认证的检测机构出具的检测报告。</w:t>
            </w:r>
          </w:p>
          <w:p>
            <w:pPr>
              <w:pStyle w:val="null3"/>
            </w:pPr>
            <w:r>
              <w:rPr>
                <w:rFonts w:ascii="仿宋_GB2312" w:hAnsi="仿宋_GB2312" w:cs="仿宋_GB2312" w:eastAsia="仿宋_GB2312"/>
              </w:rPr>
              <w:t>5、区域业务汇聚交换机（数量：2）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5.1、国产化产品，满足信创要求；</w:t>
            </w:r>
          </w:p>
          <w:p>
            <w:pPr>
              <w:pStyle w:val="null3"/>
            </w:pPr>
            <w:r>
              <w:rPr>
                <w:rFonts w:ascii="仿宋_GB2312" w:hAnsi="仿宋_GB2312" w:cs="仿宋_GB2312" w:eastAsia="仿宋_GB2312"/>
              </w:rPr>
              <w:t>5.2、交换容量≥4.8Tbps;(以官网所列最低参数为准)</w:t>
            </w:r>
          </w:p>
          <w:p>
            <w:pPr>
              <w:pStyle w:val="null3"/>
            </w:pPr>
            <w:r>
              <w:rPr>
                <w:rFonts w:ascii="仿宋_GB2312" w:hAnsi="仿宋_GB2312" w:cs="仿宋_GB2312" w:eastAsia="仿宋_GB2312"/>
              </w:rPr>
              <w:t>5.3、转发性能≥1620Mpps；(以官网所列最低参数为准)</w:t>
            </w:r>
          </w:p>
          <w:p>
            <w:pPr>
              <w:pStyle w:val="null3"/>
            </w:pPr>
            <w:r>
              <w:rPr>
                <w:rFonts w:ascii="仿宋_GB2312" w:hAnsi="仿宋_GB2312" w:cs="仿宋_GB2312" w:eastAsia="仿宋_GB2312"/>
              </w:rPr>
              <w:t>5.4、实配10 GE 光接口≥32个，100 GE光接口≥4个，扩展插槽≥2个；配置12个万兆多模光模块；</w:t>
            </w:r>
          </w:p>
          <w:p>
            <w:pPr>
              <w:pStyle w:val="null3"/>
            </w:pPr>
            <w:r>
              <w:rPr>
                <w:rFonts w:ascii="仿宋_GB2312" w:hAnsi="仿宋_GB2312" w:cs="仿宋_GB2312" w:eastAsia="仿宋_GB2312"/>
              </w:rPr>
              <w:t>5.5、整机最大路由地址表≥320K，整机最大ARP地址表≥170K，整机最大MAC地址表≥280K</w:t>
            </w:r>
          </w:p>
          <w:p>
            <w:pPr>
              <w:pStyle w:val="null3"/>
            </w:pPr>
            <w:r>
              <w:rPr>
                <w:rFonts w:ascii="仿宋_GB2312" w:hAnsi="仿宋_GB2312" w:cs="仿宋_GB2312" w:eastAsia="仿宋_GB2312"/>
              </w:rPr>
              <w:t>5.6、要求设备支持不同种类的业务插卡，支持防火墙插卡，提供证明材料；</w:t>
            </w:r>
          </w:p>
          <w:p>
            <w:pPr>
              <w:pStyle w:val="null3"/>
            </w:pPr>
            <w:r>
              <w:rPr>
                <w:rFonts w:ascii="仿宋_GB2312" w:hAnsi="仿宋_GB2312" w:cs="仿宋_GB2312" w:eastAsia="仿宋_GB2312"/>
              </w:rPr>
              <w:t>5.7、支持IPv4静态路由、RIP、OSPF、ISIS、BGP；支持IPv6静态路由、RIPng、OSPFv3、ISISv6、BGP4+；</w:t>
            </w:r>
          </w:p>
          <w:p>
            <w:pPr>
              <w:pStyle w:val="null3"/>
            </w:pPr>
            <w:r>
              <w:rPr>
                <w:rFonts w:ascii="仿宋_GB2312" w:hAnsi="仿宋_GB2312" w:cs="仿宋_GB2312" w:eastAsia="仿宋_GB2312"/>
              </w:rPr>
              <w:t>5.8、要求支持网络质量检测技术，允许管理员通过定期发送测试数据包并分析响应来检查网络链路的可用性和性能，可快速测量网络性能的检测机制，直接对业务报文进行测量，测量数据可以真实反映网络质量状况，实时感知丢包时间、丢包位置、丢包数量，提供证明材料；</w:t>
            </w:r>
          </w:p>
          <w:p>
            <w:pPr>
              <w:pStyle w:val="null3"/>
            </w:pPr>
            <w:r>
              <w:rPr>
                <w:rFonts w:ascii="仿宋_GB2312" w:hAnsi="仿宋_GB2312" w:cs="仿宋_GB2312" w:eastAsia="仿宋_GB2312"/>
              </w:rPr>
              <w:t>5.9、支持IGMP v1/v2/v3，MLD v1/v2；支持IGMP Snooping v1/v2/v3，MLD Snooping v1/v2；支持PIM Snooping；支持MLD Proxy；支持组播VLAN；支持PIM-DM，PIM-SM，PIM-SSM；支持MSDP，MSDP for IPv6；支持MBGP，MBGP for Ipv6；</w:t>
            </w:r>
          </w:p>
          <w:p>
            <w:pPr>
              <w:pStyle w:val="null3"/>
            </w:pPr>
            <w:r>
              <w:rPr>
                <w:rFonts w:ascii="仿宋_GB2312" w:hAnsi="仿宋_GB2312" w:cs="仿宋_GB2312" w:eastAsia="仿宋_GB2312"/>
              </w:rPr>
              <w:t>5.10、支持融合AC功能,支持管理AP设备，最大可管理2K AP，实现有线无线一体化管理，提供证明材料；</w:t>
            </w:r>
          </w:p>
          <w:p>
            <w:pPr>
              <w:pStyle w:val="null3"/>
            </w:pPr>
            <w:r>
              <w:rPr>
                <w:rFonts w:ascii="仿宋_GB2312" w:hAnsi="仿宋_GB2312" w:cs="仿宋_GB2312" w:eastAsia="仿宋_GB2312"/>
              </w:rPr>
              <w:t>5.11、提供工信部入网证和经认证的检测机构出具的检测报告。</w:t>
            </w:r>
          </w:p>
          <w:p>
            <w:pPr>
              <w:pStyle w:val="null3"/>
            </w:pPr>
            <w:r>
              <w:rPr>
                <w:rFonts w:ascii="仿宋_GB2312" w:hAnsi="仿宋_GB2312" w:cs="仿宋_GB2312" w:eastAsia="仿宋_GB2312"/>
              </w:rPr>
              <w:t>6、区域业务应用超融合资源主机（数量：6）</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6.1、外型：≥2U机架式国产化服务器，满足信创要求，标配原厂导轨；</w:t>
            </w:r>
          </w:p>
          <w:p>
            <w:pPr>
              <w:pStyle w:val="null3"/>
            </w:pPr>
            <w:r>
              <w:rPr>
                <w:rFonts w:ascii="仿宋_GB2312" w:hAnsi="仿宋_GB2312" w:cs="仿宋_GB2312" w:eastAsia="仿宋_GB2312"/>
              </w:rPr>
              <w:t>6.2、处理器：实配≥2颗国产化 2.2GHz/24核处理器；</w:t>
            </w:r>
          </w:p>
          <w:p>
            <w:pPr>
              <w:pStyle w:val="null3"/>
            </w:pPr>
            <w:r>
              <w:rPr>
                <w:rFonts w:ascii="仿宋_GB2312" w:hAnsi="仿宋_GB2312" w:cs="仿宋_GB2312" w:eastAsia="仿宋_GB2312"/>
              </w:rPr>
              <w:t>6.3、内存：实配≥768GB DDR4 3200内存</w:t>
            </w:r>
          </w:p>
          <w:p>
            <w:pPr>
              <w:pStyle w:val="null3"/>
            </w:pPr>
            <w:r>
              <w:rPr>
                <w:rFonts w:ascii="仿宋_GB2312" w:hAnsi="仿宋_GB2312" w:cs="仿宋_GB2312" w:eastAsia="仿宋_GB2312"/>
              </w:rPr>
              <w:t>6.4、硬盘；实配≥2块960GB SSD硬盘，≥2块3.84TB SSD硬盘，≥6块6TB SATA硬盘；</w:t>
            </w:r>
          </w:p>
          <w:p>
            <w:pPr>
              <w:pStyle w:val="null3"/>
            </w:pPr>
            <w:r>
              <w:rPr>
                <w:rFonts w:ascii="仿宋_GB2312" w:hAnsi="仿宋_GB2312" w:cs="仿宋_GB2312" w:eastAsia="仿宋_GB2312"/>
              </w:rPr>
              <w:t>6.5、阵列控制器：配置独立磁盘阵列控制器，支持RAID0/1/10/5/6/50/60，阵列卡缓存≥2GB，支持缓存数据保护，且后备保护时间不受限制；</w:t>
            </w:r>
          </w:p>
          <w:p>
            <w:pPr>
              <w:pStyle w:val="null3"/>
            </w:pPr>
            <w:r>
              <w:rPr>
                <w:rFonts w:ascii="仿宋_GB2312" w:hAnsi="仿宋_GB2312" w:cs="仿宋_GB2312" w:eastAsia="仿宋_GB2312"/>
              </w:rPr>
              <w:t>6.6、网络：≥ 8端口千兆电口，≥4端口万兆光口（含模块）；</w:t>
            </w:r>
          </w:p>
          <w:p>
            <w:pPr>
              <w:pStyle w:val="null3"/>
            </w:pPr>
            <w:r>
              <w:rPr>
                <w:rFonts w:ascii="仿宋_GB2312" w:hAnsi="仿宋_GB2312" w:cs="仿宋_GB2312" w:eastAsia="仿宋_GB2312"/>
              </w:rPr>
              <w:t>6.7、I/O：最多提供≥10个标准PCIe 3.0插槽；</w:t>
            </w:r>
          </w:p>
          <w:p>
            <w:pPr>
              <w:pStyle w:val="null3"/>
            </w:pPr>
            <w:r>
              <w:rPr>
                <w:rFonts w:ascii="仿宋_GB2312" w:hAnsi="仿宋_GB2312" w:cs="仿宋_GB2312" w:eastAsia="仿宋_GB2312"/>
              </w:rPr>
              <w:t>6.8、电源风扇：≥2个1300W热插拔冗余电源，支持热插拔冗余风扇；</w:t>
            </w:r>
          </w:p>
          <w:p>
            <w:pPr>
              <w:pStyle w:val="null3"/>
            </w:pPr>
            <w:r>
              <w:rPr>
                <w:rFonts w:ascii="仿宋_GB2312" w:hAnsi="仿宋_GB2312" w:cs="仿宋_GB2312" w:eastAsia="仿宋_GB2312"/>
              </w:rPr>
              <w:t>6.9、智能管理：服务器支持智能管理能力，支持3D图形化的机箱内部温度拓扑图显示；当服务器因可更换硬件故障导致启动进程挂死在POST阶段时，可以使用应急诊断功能，提供证明材料。</w:t>
            </w:r>
          </w:p>
          <w:p>
            <w:pPr>
              <w:pStyle w:val="null3"/>
            </w:pPr>
            <w:r>
              <w:rPr>
                <w:rFonts w:ascii="仿宋_GB2312" w:hAnsi="仿宋_GB2312" w:cs="仿宋_GB2312" w:eastAsia="仿宋_GB2312"/>
              </w:rPr>
              <w:t>7、区域业务超融合软件（数量：1）</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7.1、平台需同时支持容器和虚拟化两种资源，通过一套集群统一管理且两种资源统均在物理机上运行，为保证业务的高性能和高可靠性，容器需直接运行在宿主机操作系统上；</w:t>
            </w:r>
          </w:p>
          <w:p>
            <w:pPr>
              <w:pStyle w:val="null3"/>
            </w:pPr>
            <w:r>
              <w:rPr>
                <w:rFonts w:ascii="仿宋_GB2312" w:hAnsi="仿宋_GB2312" w:cs="仿宋_GB2312" w:eastAsia="仿宋_GB2312"/>
              </w:rPr>
              <w:t>7.2、支持东方通等主流的国产Web应用中间件，并提供容器化部署以满足应用容器化改造需求，与应用全生命周期管理深度集成，实现PaaS组件层的安全可控，提供证明材料；</w:t>
            </w:r>
          </w:p>
          <w:p>
            <w:pPr>
              <w:pStyle w:val="null3"/>
            </w:pPr>
            <w:r>
              <w:rPr>
                <w:rFonts w:ascii="仿宋_GB2312" w:hAnsi="仿宋_GB2312" w:cs="仿宋_GB2312" w:eastAsia="仿宋_GB2312"/>
              </w:rPr>
              <w:t>7.3、为满足不同vpc的网络通信需求，支持创建对等连接实例，支持同项目和异项目VPC的网络打通。异项目对等连接资源申请需通过对端账号授权同意后实例方可生效，提供证明材料；</w:t>
            </w:r>
          </w:p>
          <w:p>
            <w:pPr>
              <w:pStyle w:val="null3"/>
            </w:pPr>
            <w:r>
              <w:rPr>
                <w:rFonts w:ascii="仿宋_GB2312" w:hAnsi="仿宋_GB2312" w:cs="仿宋_GB2312" w:eastAsia="仿宋_GB2312"/>
              </w:rPr>
              <w:t>7.4、为方便数据盘更换，数据盘拔盘时，平台访问正常，虚拟机业务和容器业务正常运行，提供证明材料；</w:t>
            </w:r>
          </w:p>
          <w:p>
            <w:pPr>
              <w:pStyle w:val="null3"/>
            </w:pPr>
            <w:r>
              <w:rPr>
                <w:rFonts w:ascii="仿宋_GB2312" w:hAnsi="仿宋_GB2312" w:cs="仿宋_GB2312" w:eastAsia="仿宋_GB2312"/>
              </w:rPr>
              <w:t>7.5、支持虚拟机回收站管理，可在回收站进行虚拟机还原；支持销毁回收站虚拟机释放计算资源，可以查看回收站列表项信息，包括虚拟机名称/ID、所属项目、创建时间和删除时间，提供证明材料；</w:t>
            </w:r>
          </w:p>
          <w:p>
            <w:pPr>
              <w:pStyle w:val="null3"/>
            </w:pPr>
            <w:r>
              <w:rPr>
                <w:rFonts w:ascii="仿宋_GB2312" w:hAnsi="仿宋_GB2312" w:cs="仿宋_GB2312" w:eastAsia="仿宋_GB2312"/>
              </w:rPr>
              <w:t>7.6、虚拟机多网卡：支持为每个虚拟机配置一个或多个网卡，且可以指定IP地址，提供证明材料；</w:t>
            </w:r>
          </w:p>
          <w:p>
            <w:pPr>
              <w:pStyle w:val="null3"/>
            </w:pPr>
            <w:r>
              <w:rPr>
                <w:rFonts w:ascii="仿宋_GB2312" w:hAnsi="仿宋_GB2312" w:cs="仿宋_GB2312" w:eastAsia="仿宋_GB2312"/>
              </w:rPr>
              <w:t>7.7、支持硬盘或存储节点故障时，系统在集群内硬盘的剩余空间中自动进行数据重建，所有硬盘并发重构，提升重构效率。在无人工干预条件下，1TB 数据恢复时间≤5分钟，提供证明材料；</w:t>
            </w:r>
          </w:p>
          <w:p>
            <w:pPr>
              <w:pStyle w:val="null3"/>
            </w:pPr>
            <w:r>
              <w:rPr>
                <w:rFonts w:ascii="仿宋_GB2312" w:hAnsi="仿宋_GB2312" w:cs="仿宋_GB2312" w:eastAsia="仿宋_GB2312"/>
              </w:rPr>
              <w:t>7.8、支持秒级快照，对虚拟机连续进行10 次快照操作，虚拟机前后读写 IOPS性能下降≤5%，提供证明材料；</w:t>
            </w:r>
          </w:p>
          <w:p>
            <w:pPr>
              <w:pStyle w:val="null3"/>
            </w:pPr>
            <w:r>
              <w:rPr>
                <w:rFonts w:ascii="仿宋_GB2312" w:hAnsi="仿宋_GB2312" w:cs="仿宋_GB2312" w:eastAsia="仿宋_GB2312"/>
              </w:rPr>
              <w:t>7.9、支持容器安全防护，支持自动对容器集群中的容器安全事件进行检测并统计包括容器逃逸风险统计，进程异常行为统计，容器环境检测统计等信息，提供证明材料；</w:t>
            </w:r>
          </w:p>
          <w:p>
            <w:pPr>
              <w:pStyle w:val="null3"/>
            </w:pPr>
            <w:r>
              <w:rPr>
                <w:rFonts w:ascii="仿宋_GB2312" w:hAnsi="仿宋_GB2312" w:cs="仿宋_GB2312" w:eastAsia="仿宋_GB2312"/>
              </w:rPr>
              <w:t>7.10、支持容器镜像仓中的镜像漏洞扫描并进行报告统计，包括危及、严重漏洞占比，每个缺陷码对应的镜像，提供证明材料；</w:t>
            </w:r>
          </w:p>
          <w:p>
            <w:pPr>
              <w:pStyle w:val="null3"/>
            </w:pPr>
            <w:r>
              <w:rPr>
                <w:rFonts w:ascii="仿宋_GB2312" w:hAnsi="仿宋_GB2312" w:cs="仿宋_GB2312" w:eastAsia="仿宋_GB2312"/>
              </w:rPr>
              <w:t>7.11、支持应用全链路拓扑，可以查看应用组、应用、实例和主机相关统计信息。其中包括应用服务支持请求量、慢调用次数、响应时间、链路错误数、日志错误数、待处理告警数等信息，提供证明材料；</w:t>
            </w:r>
          </w:p>
          <w:p>
            <w:pPr>
              <w:pStyle w:val="null3"/>
            </w:pPr>
            <w:r>
              <w:rPr>
                <w:rFonts w:ascii="仿宋_GB2312" w:hAnsi="仿宋_GB2312" w:cs="仿宋_GB2312" w:eastAsia="仿宋_GB2312"/>
              </w:rPr>
              <w:t>7.12、支持通过智能算法自动完成对应用和容器集群智能异常巡检，如创建巡检策略、设置巡检项指标包括应用运行状态异常、成功率、应用平均响应时间、容器节点状态、集群节点cpu和内存使用率等，提供证明材料；</w:t>
            </w:r>
          </w:p>
          <w:p>
            <w:pPr>
              <w:pStyle w:val="null3"/>
            </w:pPr>
            <w:r>
              <w:rPr>
                <w:rFonts w:ascii="仿宋_GB2312" w:hAnsi="仿宋_GB2312" w:cs="仿宋_GB2312" w:eastAsia="仿宋_GB2312"/>
              </w:rPr>
              <w:t>7.13、支持Kafka、RabbitMQ多种消息队列安装部署功能，提供证明材料；</w:t>
            </w:r>
          </w:p>
          <w:p>
            <w:pPr>
              <w:pStyle w:val="null3"/>
            </w:pPr>
            <w:r>
              <w:rPr>
                <w:rFonts w:ascii="仿宋_GB2312" w:hAnsi="仿宋_GB2312" w:cs="仿宋_GB2312" w:eastAsia="仿宋_GB2312"/>
              </w:rPr>
              <w:t>7.14、支持Kafka实例主机Pod资源监控包括系统CPU、系统内存、网络流量发送、网络流量接收数据展示；支持Kafka业务监控，包括Kafka业务监控信息、Kafka partition 信息、监控信息、Kafka数据量等信息，提供证明材料；</w:t>
            </w:r>
          </w:p>
          <w:p>
            <w:pPr>
              <w:pStyle w:val="null3"/>
            </w:pPr>
            <w:r>
              <w:rPr>
                <w:rFonts w:ascii="仿宋_GB2312" w:hAnsi="仿宋_GB2312" w:cs="仿宋_GB2312" w:eastAsia="仿宋_GB2312"/>
              </w:rPr>
              <w:t>7.15、支持选择冷数据和热数据保存市场，支持根据条件批量匹配采集对象实例，解析模式支持json、正则表达式、k-v分离模式等，提供证明材料；</w:t>
            </w:r>
          </w:p>
          <w:p>
            <w:pPr>
              <w:pStyle w:val="null3"/>
            </w:pPr>
            <w:r>
              <w:rPr>
                <w:rFonts w:ascii="仿宋_GB2312" w:hAnsi="仿宋_GB2312" w:cs="仿宋_GB2312" w:eastAsia="仿宋_GB2312"/>
              </w:rPr>
              <w:t>7.16、运维平台：</w:t>
            </w:r>
          </w:p>
          <w:p>
            <w:pPr>
              <w:pStyle w:val="null3"/>
            </w:pPr>
            <w:r>
              <w:rPr>
                <w:rFonts w:ascii="仿宋_GB2312" w:hAnsi="仿宋_GB2312" w:cs="仿宋_GB2312" w:eastAsia="仿宋_GB2312"/>
              </w:rPr>
              <w:t>7.16.1支持自定义首页展示大屏信息，通过拖拽方式快速实现首页内容化定制化。可展示信息至少应包括紧急告警、重要告警、次要告警、告警和事件信息，集群、项目、用户、命名空间和PVC数量，全局CPU、内存、GPU、显存的请求率与使用率，服务器状态统计、历史告警趋势和TOP5数量告警，各业务占比TOP5，虚拟机CPU或内存资源使用率TOP5，某具体项目的配额与资源利用率，某具体应用资源同比分析，集群和节点组物理分布图等。</w:t>
            </w:r>
          </w:p>
          <w:p>
            <w:pPr>
              <w:pStyle w:val="null3"/>
            </w:pPr>
            <w:r>
              <w:rPr>
                <w:rFonts w:ascii="仿宋_GB2312" w:hAnsi="仿宋_GB2312" w:cs="仿宋_GB2312" w:eastAsia="仿宋_GB2312"/>
              </w:rPr>
              <w:t>7.16.2、一屏掌控业务系统的运行状态，支持展示应用组健康度、应用状态、系统告警、TOP5应用等；提供总体健康度、吞吐量、访问成功率、95%访问的平均响应时间、访问平均时延、全链路拓扑、应用状态、资源使用率、接口监控、日志等多个诊断指标。</w:t>
            </w:r>
          </w:p>
          <w:p>
            <w:pPr>
              <w:pStyle w:val="null3"/>
            </w:pPr>
            <w:r>
              <w:rPr>
                <w:rFonts w:ascii="仿宋_GB2312" w:hAnsi="仿宋_GB2312" w:cs="仿宋_GB2312" w:eastAsia="仿宋_GB2312"/>
              </w:rPr>
              <w:t>7.16.3支持通过智能算法自动完成对应用和容器集群智能异常巡检，如创建巡检策略、设置巡检项指标包括应用运行状态异常、成功率、应用平均响应时间、容器节点状态、集群节点cpu和内存使用率等。</w:t>
            </w:r>
          </w:p>
          <w:p>
            <w:pPr>
              <w:pStyle w:val="null3"/>
            </w:pPr>
            <w:r>
              <w:rPr>
                <w:rFonts w:ascii="仿宋_GB2312" w:hAnsi="仿宋_GB2312" w:cs="仿宋_GB2312" w:eastAsia="仿宋_GB2312"/>
              </w:rPr>
              <w:t>7.16.4为满足管理员对平台运维管理的便捷性要求，要求平台提供可视化实时监控和展示能力；针对平台软件和硬件资源，提供统一的监控和图表展示，及时掌控平台、资源、服务和应用健康状态。硬件监控包括CPU温度、风扇转速、CPU型号和数量、内存大小和数量、电源状态、网卡状态、物理盘和逻辑盘容量及状态等；可以自定义告警规则进行告警通知。保障资源状态和使用情况的及时感知。</w:t>
            </w:r>
          </w:p>
          <w:p>
            <w:pPr>
              <w:pStyle w:val="null3"/>
            </w:pPr>
            <w:r>
              <w:rPr>
                <w:rFonts w:ascii="仿宋_GB2312" w:hAnsi="仿宋_GB2312" w:cs="仿宋_GB2312" w:eastAsia="仿宋_GB2312"/>
              </w:rPr>
              <w:t>7.16.5实际配置：配置12C虚拟化授权，288T分布式存储授权。</w:t>
            </w:r>
          </w:p>
          <w:p>
            <w:pPr>
              <w:pStyle w:val="null3"/>
            </w:pPr>
            <w:r>
              <w:rPr>
                <w:rFonts w:ascii="仿宋_GB2312" w:hAnsi="仿宋_GB2312" w:cs="仿宋_GB2312" w:eastAsia="仿宋_GB2312"/>
              </w:rPr>
              <w:t>8、区域业务超融合交换机（数量：2）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8.1、国产化产品，满足信创要求；</w:t>
            </w:r>
          </w:p>
          <w:p>
            <w:pPr>
              <w:pStyle w:val="null3"/>
            </w:pPr>
            <w:r>
              <w:rPr>
                <w:rFonts w:ascii="仿宋_GB2312" w:hAnsi="仿宋_GB2312" w:cs="仿宋_GB2312" w:eastAsia="仿宋_GB2312"/>
              </w:rPr>
              <w:t>8.2、交换容量≥2.56Tbps；（以官网所列最低参数为准）</w:t>
            </w:r>
          </w:p>
          <w:p>
            <w:pPr>
              <w:pStyle w:val="null3"/>
            </w:pPr>
            <w:r>
              <w:rPr>
                <w:rFonts w:ascii="仿宋_GB2312" w:hAnsi="仿宋_GB2312" w:cs="仿宋_GB2312" w:eastAsia="仿宋_GB2312"/>
              </w:rPr>
              <w:t>8.3、转发性能≥1080Mpps；（以官网所列最低参数为准）</w:t>
            </w:r>
          </w:p>
          <w:p>
            <w:pPr>
              <w:pStyle w:val="null3"/>
            </w:pPr>
            <w:r>
              <w:rPr>
                <w:rFonts w:ascii="仿宋_GB2312" w:hAnsi="仿宋_GB2312" w:cs="仿宋_GB2312" w:eastAsia="仿宋_GB2312"/>
              </w:rPr>
              <w:t>8.4、实配10/100/1000Base-T千兆电口≥24个，10 GE 光接口≥8个，25 GE 光接口≥4个，支持2个扩展插槽；配置12个万兆多模光模块</w:t>
            </w:r>
          </w:p>
          <w:p>
            <w:pPr>
              <w:pStyle w:val="null3"/>
            </w:pPr>
            <w:r>
              <w:rPr>
                <w:rFonts w:ascii="仿宋_GB2312" w:hAnsi="仿宋_GB2312" w:cs="仿宋_GB2312" w:eastAsia="仿宋_GB2312"/>
              </w:rPr>
              <w:t>8.5、整机最大MAC地址表≥32K；</w:t>
            </w:r>
          </w:p>
          <w:p>
            <w:pPr>
              <w:pStyle w:val="null3"/>
            </w:pPr>
            <w:r>
              <w:rPr>
                <w:rFonts w:ascii="仿宋_GB2312" w:hAnsi="仿宋_GB2312" w:cs="仿宋_GB2312" w:eastAsia="仿宋_GB2312"/>
              </w:rPr>
              <w:t>8.6、支持IPv4静态路由、RIP、OSPF、ISIS、BGP；支持IPv6静态路由、RIPng、OSPFv3、ISISv6、BGP4+；支持IPv4和IPv6环境下的策略路由；</w:t>
            </w:r>
            <w:r>
              <w:br/>
            </w:r>
            <w:r>
              <w:rPr>
                <w:rFonts w:ascii="仿宋_GB2312" w:hAnsi="仿宋_GB2312" w:cs="仿宋_GB2312" w:eastAsia="仿宋_GB2312"/>
              </w:rPr>
              <w:t xml:space="preserve"> 支持IPv6手动隧道、6to4隧道和ISATAP隧道；</w:t>
            </w:r>
          </w:p>
          <w:p>
            <w:pPr>
              <w:pStyle w:val="null3"/>
            </w:pPr>
            <w:r>
              <w:rPr>
                <w:rFonts w:ascii="仿宋_GB2312" w:hAnsi="仿宋_GB2312" w:cs="仿宋_GB2312" w:eastAsia="仿宋_GB2312"/>
              </w:rPr>
              <w:t>8.7、支持IGMP v1/v2/v3，MLD v1/v2;支持IGMP Snooping v1/v2/v3，MLD Snooping v1/v2;支持PIM Snooping;支持MLD Proxy; 支持组播VLAN; 支持PIM-DM，PIM-SM，PIM-SSM; 支持MSDP，MSDP for IPv6;支持MBGP，MBGP for Ipv6;</w:t>
            </w:r>
          </w:p>
          <w:p>
            <w:pPr>
              <w:pStyle w:val="null3"/>
            </w:pPr>
            <w:r>
              <w:rPr>
                <w:rFonts w:ascii="仿宋_GB2312" w:hAnsi="仿宋_GB2312" w:cs="仿宋_GB2312" w:eastAsia="仿宋_GB2312"/>
              </w:rPr>
              <w:t>8.8、支持基于第二层、第三层和第四层的ACL；支持基于端口和VLAN的 ACL；支持IPv6 ACL；支持出方向ACL，以便于灵活实现数据包过滤；支持802.1x认证，支持集中式MAC地址认证；</w:t>
            </w:r>
          </w:p>
          <w:p>
            <w:pPr>
              <w:pStyle w:val="null3"/>
            </w:pPr>
            <w:r>
              <w:rPr>
                <w:rFonts w:ascii="仿宋_GB2312" w:hAnsi="仿宋_GB2312" w:cs="仿宋_GB2312" w:eastAsia="仿宋_GB2312"/>
              </w:rPr>
              <w:t>8.9、网管功能一体化，内置智能管理功能，可提供智能管理、智能运维、可视化和智能业务等网管功能，提供证明材料；</w:t>
            </w:r>
          </w:p>
          <w:p>
            <w:pPr>
              <w:pStyle w:val="null3"/>
            </w:pPr>
            <w:r>
              <w:rPr>
                <w:rFonts w:ascii="仿宋_GB2312" w:hAnsi="仿宋_GB2312" w:cs="仿宋_GB2312" w:eastAsia="仿宋_GB2312"/>
              </w:rPr>
              <w:t>8.10、提供工信部入网证和经认证的检测机构出具的检测报告。</w:t>
            </w:r>
          </w:p>
          <w:p>
            <w:pPr>
              <w:pStyle w:val="null3"/>
            </w:pPr>
            <w:r>
              <w:rPr>
                <w:rFonts w:ascii="仿宋_GB2312" w:hAnsi="仿宋_GB2312" w:cs="仿宋_GB2312" w:eastAsia="仿宋_GB2312"/>
              </w:rPr>
              <w:t>9、互联网业务汇聚交换机（数量：2）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9.1、国产化产品，满足信创要求；</w:t>
            </w:r>
          </w:p>
          <w:p>
            <w:pPr>
              <w:pStyle w:val="null3"/>
            </w:pPr>
            <w:r>
              <w:rPr>
                <w:rFonts w:ascii="仿宋_GB2312" w:hAnsi="仿宋_GB2312" w:cs="仿宋_GB2312" w:eastAsia="仿宋_GB2312"/>
              </w:rPr>
              <w:t>9.2、交换容量≥4.8Tbps;(以官网所列最低参数为准)</w:t>
            </w:r>
          </w:p>
          <w:p>
            <w:pPr>
              <w:pStyle w:val="null3"/>
            </w:pPr>
            <w:r>
              <w:rPr>
                <w:rFonts w:ascii="仿宋_GB2312" w:hAnsi="仿宋_GB2312" w:cs="仿宋_GB2312" w:eastAsia="仿宋_GB2312"/>
              </w:rPr>
              <w:t>9.3、转发性能≥1620Mpps；(以官网所列最低参数为准)</w:t>
            </w:r>
          </w:p>
          <w:p>
            <w:pPr>
              <w:pStyle w:val="null3"/>
            </w:pPr>
            <w:r>
              <w:rPr>
                <w:rFonts w:ascii="仿宋_GB2312" w:hAnsi="仿宋_GB2312" w:cs="仿宋_GB2312" w:eastAsia="仿宋_GB2312"/>
              </w:rPr>
              <w:t>9.4、实配10 GE 光接口≥32个，100 GE光接口≥4个，扩展插槽≥2个；配置12个万兆多模光模块；</w:t>
            </w:r>
          </w:p>
          <w:p>
            <w:pPr>
              <w:pStyle w:val="null3"/>
            </w:pPr>
            <w:r>
              <w:rPr>
                <w:rFonts w:ascii="仿宋_GB2312" w:hAnsi="仿宋_GB2312" w:cs="仿宋_GB2312" w:eastAsia="仿宋_GB2312"/>
              </w:rPr>
              <w:t>9.5、整机最大路由地址表≥320K，整机最大ARP地址表≥170K，整机最大MAC地址表≥280K</w:t>
            </w:r>
          </w:p>
          <w:p>
            <w:pPr>
              <w:pStyle w:val="null3"/>
            </w:pPr>
            <w:r>
              <w:rPr>
                <w:rFonts w:ascii="仿宋_GB2312" w:hAnsi="仿宋_GB2312" w:cs="仿宋_GB2312" w:eastAsia="仿宋_GB2312"/>
              </w:rPr>
              <w:t>9.6、要求设备支持不同种类的业务插卡，支持防火墙插卡，提供证明材料；</w:t>
            </w:r>
          </w:p>
          <w:p>
            <w:pPr>
              <w:pStyle w:val="null3"/>
            </w:pPr>
            <w:r>
              <w:rPr>
                <w:rFonts w:ascii="仿宋_GB2312" w:hAnsi="仿宋_GB2312" w:cs="仿宋_GB2312" w:eastAsia="仿宋_GB2312"/>
              </w:rPr>
              <w:t>9.7、支持IPv4静态路由、RIP、OSPF、ISIS、BGP；支持IPv6静态路由、RIPng、OSPFv3、ISISv6、BGP4+；</w:t>
            </w:r>
          </w:p>
          <w:p>
            <w:pPr>
              <w:pStyle w:val="null3"/>
            </w:pPr>
            <w:r>
              <w:rPr>
                <w:rFonts w:ascii="仿宋_GB2312" w:hAnsi="仿宋_GB2312" w:cs="仿宋_GB2312" w:eastAsia="仿宋_GB2312"/>
              </w:rPr>
              <w:t>9.8、要求支持网络质量检测技术，允许管理员通过定期发送测试数据包并分析响应来检查网络链路的可用性和性能，可快速测量网络性能的检测机制，直接对业务报文进行测量，测量数据可以真实反映网络质量状况，实时感知丢包时间、丢包位置、丢包数量，提供证明材料；</w:t>
            </w:r>
          </w:p>
          <w:p>
            <w:pPr>
              <w:pStyle w:val="null3"/>
            </w:pPr>
            <w:r>
              <w:rPr>
                <w:rFonts w:ascii="仿宋_GB2312" w:hAnsi="仿宋_GB2312" w:cs="仿宋_GB2312" w:eastAsia="仿宋_GB2312"/>
              </w:rPr>
              <w:t>9.9、支持IGMP v1/v2/v3，MLD v1/v2；支持IGMP Snooping v1/v2/v3，MLD Snooping v1/v2；支持PIM Snooping；支持MLD Proxy；支持组播VLAN；支持PIM-DM，PIM-SM，PIM-SSM；支持MSDP，MSDP for IPv6；支持MBGP，MBGP for Ipv6；</w:t>
            </w:r>
          </w:p>
          <w:p>
            <w:pPr>
              <w:pStyle w:val="null3"/>
            </w:pPr>
            <w:r>
              <w:rPr>
                <w:rFonts w:ascii="仿宋_GB2312" w:hAnsi="仿宋_GB2312" w:cs="仿宋_GB2312" w:eastAsia="仿宋_GB2312"/>
              </w:rPr>
              <w:t>9.10、支持融合AC功能,支持管理AP设备，最大可管理2K AP，实现有线无线一体化管理，提供证明材料；</w:t>
            </w:r>
          </w:p>
          <w:p>
            <w:pPr>
              <w:pStyle w:val="null3"/>
            </w:pPr>
            <w:r>
              <w:rPr>
                <w:rFonts w:ascii="仿宋_GB2312" w:hAnsi="仿宋_GB2312" w:cs="仿宋_GB2312" w:eastAsia="仿宋_GB2312"/>
              </w:rPr>
              <w:t>9.11、提供工信部入网证和经认证的检测机构出具的检测报告。</w:t>
            </w:r>
          </w:p>
          <w:p>
            <w:pPr>
              <w:pStyle w:val="null3"/>
            </w:pPr>
            <w:r>
              <w:rPr>
                <w:rFonts w:ascii="仿宋_GB2312" w:hAnsi="仿宋_GB2312" w:cs="仿宋_GB2312" w:eastAsia="仿宋_GB2312"/>
              </w:rPr>
              <w:t>10、互联网前置机服务器（数量：2）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10.1、外型：≥2U机架式国产化服务器，满足信创要求，标配原厂导轨；</w:t>
            </w:r>
          </w:p>
          <w:p>
            <w:pPr>
              <w:pStyle w:val="null3"/>
            </w:pPr>
            <w:r>
              <w:rPr>
                <w:rFonts w:ascii="仿宋_GB2312" w:hAnsi="仿宋_GB2312" w:cs="仿宋_GB2312" w:eastAsia="仿宋_GB2312"/>
              </w:rPr>
              <w:t>10.2、处理器：实配≥2颗国产化 2.5GHz/16核处理器；</w:t>
            </w:r>
          </w:p>
          <w:p>
            <w:pPr>
              <w:pStyle w:val="null3"/>
            </w:pPr>
            <w:r>
              <w:rPr>
                <w:rFonts w:ascii="仿宋_GB2312" w:hAnsi="仿宋_GB2312" w:cs="仿宋_GB2312" w:eastAsia="仿宋_GB2312"/>
              </w:rPr>
              <w:t>10.3、内存：实配≥128GB DDR4 3200内存；</w:t>
            </w:r>
          </w:p>
          <w:p>
            <w:pPr>
              <w:pStyle w:val="null3"/>
            </w:pPr>
            <w:r>
              <w:rPr>
                <w:rFonts w:ascii="仿宋_GB2312" w:hAnsi="仿宋_GB2312" w:cs="仿宋_GB2312" w:eastAsia="仿宋_GB2312"/>
              </w:rPr>
              <w:t>10.4、硬盘；实配≥2块4TB SATA硬盘；</w:t>
            </w:r>
          </w:p>
          <w:p>
            <w:pPr>
              <w:pStyle w:val="null3"/>
            </w:pPr>
            <w:r>
              <w:rPr>
                <w:rFonts w:ascii="仿宋_GB2312" w:hAnsi="仿宋_GB2312" w:cs="仿宋_GB2312" w:eastAsia="仿宋_GB2312"/>
              </w:rPr>
              <w:t>10.5、阵列控制器：配置独立磁盘阵列控制器，支持RAID0/1/10/5/6/50/60，阵列卡缓存≥2GB，支持缓存数据保护，且后备保护时间不受限制；</w:t>
            </w:r>
          </w:p>
          <w:p>
            <w:pPr>
              <w:pStyle w:val="null3"/>
            </w:pPr>
            <w:r>
              <w:rPr>
                <w:rFonts w:ascii="仿宋_GB2312" w:hAnsi="仿宋_GB2312" w:cs="仿宋_GB2312" w:eastAsia="仿宋_GB2312"/>
              </w:rPr>
              <w:t>10.6、网络：≥ 4端口千兆电口，≥4端口万兆光口（含模块）；</w:t>
            </w:r>
          </w:p>
          <w:p>
            <w:pPr>
              <w:pStyle w:val="null3"/>
            </w:pPr>
            <w:r>
              <w:rPr>
                <w:rFonts w:ascii="仿宋_GB2312" w:hAnsi="仿宋_GB2312" w:cs="仿宋_GB2312" w:eastAsia="仿宋_GB2312"/>
              </w:rPr>
              <w:t>10.7、I/O：最多提供≥10个标准PCIe 3.0插槽。</w:t>
            </w:r>
          </w:p>
          <w:p>
            <w:pPr>
              <w:pStyle w:val="null3"/>
            </w:pPr>
            <w:r>
              <w:rPr>
                <w:rFonts w:ascii="仿宋_GB2312" w:hAnsi="仿宋_GB2312" w:cs="仿宋_GB2312" w:eastAsia="仿宋_GB2312"/>
              </w:rPr>
              <w:t>10.8、电源风扇：≥2个800W热插拔冗余电源，支持热插拔冗余风扇；</w:t>
            </w:r>
          </w:p>
          <w:p>
            <w:pPr>
              <w:pStyle w:val="null3"/>
            </w:pPr>
            <w:r>
              <w:rPr>
                <w:rFonts w:ascii="仿宋_GB2312" w:hAnsi="仿宋_GB2312" w:cs="仿宋_GB2312" w:eastAsia="仿宋_GB2312"/>
              </w:rPr>
              <w:t>10.9、智能管理：服务器支持智能管理能力，支持3D图形化的机箱内部温度拓扑图显示；提供数据安全擦除功能，彻底删除NVDIMM、SD模块、HDD/SSD物理盘以及逻辑盘中的数据并恢复BIOS和BMC出厂默认值；支持通过服务U盘下载服务器设备故障诊断日志，提供证明材料。</w:t>
            </w:r>
          </w:p>
          <w:p>
            <w:pPr>
              <w:pStyle w:val="null3"/>
            </w:pPr>
            <w:r>
              <w:rPr>
                <w:rFonts w:ascii="仿宋_GB2312" w:hAnsi="仿宋_GB2312" w:cs="仿宋_GB2312" w:eastAsia="仿宋_GB2312"/>
              </w:rPr>
              <w:t>11、区域业务备份容灾防勒索系统（数量：1）</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11.1、备份系统支持部署在Windows、Linux、OpenEuller、CentOS、Redhat、银河麒麟、中科方德、UOS等主流操作系统；</w:t>
            </w:r>
          </w:p>
          <w:p>
            <w:pPr>
              <w:pStyle w:val="null3"/>
            </w:pPr>
            <w:r>
              <w:rPr>
                <w:rFonts w:ascii="仿宋_GB2312" w:hAnsi="仿宋_GB2312" w:cs="仿宋_GB2312" w:eastAsia="仿宋_GB2312"/>
              </w:rPr>
              <w:t>11.2、备份系统支持集群架构，支持多个备份节点组成一个集群的备份系统，避免因软硬件故障、人为误操作等造成备份系统不可用的问题的发生；</w:t>
            </w:r>
          </w:p>
          <w:p>
            <w:pPr>
              <w:pStyle w:val="null3"/>
            </w:pPr>
            <w:r>
              <w:rPr>
                <w:rFonts w:ascii="仿宋_GB2312" w:hAnsi="仿宋_GB2312" w:cs="仿宋_GB2312" w:eastAsia="仿宋_GB2312"/>
              </w:rPr>
              <w:t>11.3、支持告警功能，依据预先设定告警条件，当系统或任务发生异常时，通过告警显示使用户能够及时采取应对措施，规避风险；</w:t>
            </w:r>
          </w:p>
          <w:p>
            <w:pPr>
              <w:pStyle w:val="null3"/>
            </w:pPr>
            <w:r>
              <w:rPr>
                <w:rFonts w:ascii="仿宋_GB2312" w:hAnsi="仿宋_GB2312" w:cs="仿宋_GB2312" w:eastAsia="仿宋_GB2312"/>
              </w:rPr>
              <w:t>11.4、支持国产化灾备集群部署模式，配置20TB备份容量授权，所有的定时备份任务，其备份数据存储在一个统一的存储介质管理系统中；</w:t>
            </w:r>
          </w:p>
          <w:p>
            <w:pPr>
              <w:pStyle w:val="null3"/>
            </w:pPr>
            <w:r>
              <w:rPr>
                <w:rFonts w:ascii="仿宋_GB2312" w:hAnsi="仿宋_GB2312" w:cs="仿宋_GB2312" w:eastAsia="仿宋_GB2312"/>
              </w:rPr>
              <w:t>11.5、支持跨内外网备份恢复，公网映射单个端口和地址可以达成多台设节点设备的数据备份任务的；</w:t>
            </w:r>
          </w:p>
          <w:p>
            <w:pPr>
              <w:pStyle w:val="null3"/>
            </w:pPr>
            <w:r>
              <w:rPr>
                <w:rFonts w:ascii="仿宋_GB2312" w:hAnsi="仿宋_GB2312" w:cs="仿宋_GB2312" w:eastAsia="仿宋_GB2312"/>
              </w:rPr>
              <w:t>11.6、支持细粒度校验，能够选择各备份时间点的数据对象进行校验，满足仅对关键数据进行校验的场景；</w:t>
            </w:r>
          </w:p>
          <w:p>
            <w:pPr>
              <w:pStyle w:val="null3"/>
            </w:pPr>
            <w:r>
              <w:rPr>
                <w:rFonts w:ascii="仿宋_GB2312" w:hAnsi="仿宋_GB2312" w:cs="仿宋_GB2312" w:eastAsia="仿宋_GB2312"/>
              </w:rPr>
              <w:t>11.7、支持对Oracle、DB2、SAP HANA、MySQL、MariaDB、Sybase、PostgreSQL、SQL Server、Caché等主流数据库进行在线备份保护；</w:t>
            </w:r>
          </w:p>
          <w:p>
            <w:pPr>
              <w:pStyle w:val="null3"/>
            </w:pPr>
            <w:r>
              <w:rPr>
                <w:rFonts w:ascii="仿宋_GB2312" w:hAnsi="仿宋_GB2312" w:cs="仿宋_GB2312" w:eastAsia="仿宋_GB2312"/>
              </w:rPr>
              <w:t>11.8、支持对FusionCompute、H3C CAS/UIS、中兴iROS、浪潮InCloud Sphere、ZStack、SmartX、青云、EasyStack等虚拟化应用的备份，支持单机和集群部署环境；</w:t>
            </w:r>
          </w:p>
          <w:p>
            <w:pPr>
              <w:pStyle w:val="null3"/>
            </w:pPr>
            <w:r>
              <w:rPr>
                <w:rFonts w:ascii="仿宋_GB2312" w:hAnsi="仿宋_GB2312" w:cs="仿宋_GB2312" w:eastAsia="仿宋_GB2312"/>
              </w:rPr>
              <w:t>11.9、支持自动监控备份节点服务状态，当备份节点出现故障时，会自动将受故障影响的备份任务分配到正常工作的备份节点上执行；</w:t>
            </w:r>
          </w:p>
          <w:p>
            <w:pPr>
              <w:pStyle w:val="null3"/>
            </w:pPr>
            <w:r>
              <w:rPr>
                <w:rFonts w:ascii="仿宋_GB2312" w:hAnsi="仿宋_GB2312" w:cs="仿宋_GB2312" w:eastAsia="仿宋_GB2312"/>
              </w:rPr>
              <w:t>11.10、支持用户权限管理，如：系统管理员，审计管理员、安全管理员等不同角色，通过分权管理，提升备份系统的管理安全性；</w:t>
            </w:r>
          </w:p>
          <w:p>
            <w:pPr>
              <w:pStyle w:val="null3"/>
            </w:pPr>
            <w:r>
              <w:rPr>
                <w:rFonts w:ascii="仿宋_GB2312" w:hAnsi="仿宋_GB2312" w:cs="仿宋_GB2312" w:eastAsia="仿宋_GB2312"/>
              </w:rPr>
              <w:t>11.11、支持所有类型的备份和恢复任务均可通过实时动态更新的任务日志显示当前的执行操作，任务执行失败或者异常可通过日志执行操作准确判断问题原因并处理；</w:t>
            </w:r>
          </w:p>
          <w:p>
            <w:pPr>
              <w:pStyle w:val="null3"/>
            </w:pPr>
            <w:r>
              <w:rPr>
                <w:rFonts w:ascii="仿宋_GB2312" w:hAnsi="仿宋_GB2312" w:cs="仿宋_GB2312" w:eastAsia="仿宋_GB2312"/>
              </w:rPr>
              <w:t>11.12、支持设置数据复制窗口，在非数据复制窗口期，复制设备之间网络物理隔离。避免非数据复制时间段，灾备设备服务对外暴露而产生的安全风险；</w:t>
            </w:r>
          </w:p>
          <w:p>
            <w:pPr>
              <w:pStyle w:val="null3"/>
            </w:pPr>
            <w:r>
              <w:rPr>
                <w:rFonts w:ascii="仿宋_GB2312" w:hAnsi="仿宋_GB2312" w:cs="仿宋_GB2312" w:eastAsia="仿宋_GB2312"/>
              </w:rPr>
              <w:t>11.13、支持达梦、人大金仓、神舟通用、南大通用、瀚高和优炫等国产化数据库备份；</w:t>
            </w:r>
          </w:p>
          <w:p>
            <w:pPr>
              <w:pStyle w:val="null3"/>
            </w:pPr>
            <w:r>
              <w:rPr>
                <w:rFonts w:ascii="仿宋_GB2312" w:hAnsi="仿宋_GB2312" w:cs="仿宋_GB2312" w:eastAsia="仿宋_GB2312"/>
              </w:rPr>
              <w:t>11.14、支持龙芯、飞腾、鲲鹏、兆芯和海光等平台下的数据保护，支持麒麟、UOS 等国产操作系统适配环境；</w:t>
            </w:r>
          </w:p>
          <w:p>
            <w:pPr>
              <w:pStyle w:val="null3"/>
            </w:pPr>
            <w:r>
              <w:rPr>
                <w:rFonts w:ascii="仿宋_GB2312" w:hAnsi="仿宋_GB2312" w:cs="仿宋_GB2312" w:eastAsia="仿宋_GB2312"/>
              </w:rPr>
              <w:t>11.15、支持在应急接管模式下，管理界面提示对应生成服务器的MAC地址并默认为生成的虚拟机使用该MAC地址，以确保虚拟机启动后无需配置IP地址即可提供业务应急；</w:t>
            </w:r>
          </w:p>
          <w:p>
            <w:pPr>
              <w:pStyle w:val="null3"/>
            </w:pPr>
            <w:r>
              <w:rPr>
                <w:rFonts w:ascii="仿宋_GB2312" w:hAnsi="仿宋_GB2312" w:cs="仿宋_GB2312" w:eastAsia="仿宋_GB2312"/>
              </w:rPr>
              <w:t>11.16、支持在应容灾演模式下，生成的虚拟机默认与生产服务器网络隔离，避免虚拟机启动后与生产业务冲突；</w:t>
            </w:r>
          </w:p>
          <w:p>
            <w:pPr>
              <w:pStyle w:val="null3"/>
            </w:pPr>
            <w:r>
              <w:rPr>
                <w:rFonts w:ascii="仿宋_GB2312" w:hAnsi="仿宋_GB2312" w:cs="仿宋_GB2312" w:eastAsia="仿宋_GB2312"/>
              </w:rPr>
              <w:t>11.17、支持在应急接管和容灾演练的虚拟机，均可通过备份设备的WEB页面直接进行图形化的管理，无需安装任何插件，包括开机、断电、重启、远程控制等功能；</w:t>
            </w:r>
          </w:p>
          <w:p>
            <w:pPr>
              <w:pStyle w:val="null3"/>
            </w:pPr>
            <w:r>
              <w:rPr>
                <w:rFonts w:ascii="仿宋_GB2312" w:hAnsi="仿宋_GB2312" w:cs="仿宋_GB2312" w:eastAsia="仿宋_GB2312"/>
              </w:rPr>
              <w:t>11.18、支持应急接管虚拟机的在线回迁功能，在应急虚拟机持续提供业务访问的同时，实时实现操作系统、应用软件和业务数据回迁到目标裸机服务器环境中，回迁完毕后即可由目标服务器提供业务。</w:t>
            </w:r>
          </w:p>
          <w:p>
            <w:pPr>
              <w:pStyle w:val="null3"/>
            </w:pPr>
            <w:r>
              <w:rPr>
                <w:rFonts w:ascii="仿宋_GB2312" w:hAnsi="仿宋_GB2312" w:cs="仿宋_GB2312" w:eastAsia="仿宋_GB2312"/>
              </w:rPr>
              <w:t>12、区域医疗专网防火墙（数量：2）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12.1、硬件架构：国产化产品，满足信创要求，采用非X86多核架构，具备可插拔冗余电源模块，冗余风扇模块；</w:t>
            </w:r>
          </w:p>
          <w:p>
            <w:pPr>
              <w:pStyle w:val="null3"/>
            </w:pPr>
            <w:r>
              <w:rPr>
                <w:rFonts w:ascii="仿宋_GB2312" w:hAnsi="仿宋_GB2312" w:cs="仿宋_GB2312" w:eastAsia="仿宋_GB2312"/>
              </w:rPr>
              <w:t>12.2、硬件接口要求：配置不少于16个千兆以太网GE接口，配置不少于4个Combo接口，配置不少于6个千兆以太网光口，配置不少于2个万兆以太网光口，2个扩展槽位，要求具备接口扩展能力，配置双交流电源；</w:t>
            </w:r>
          </w:p>
          <w:p>
            <w:pPr>
              <w:pStyle w:val="null3"/>
            </w:pPr>
            <w:r>
              <w:rPr>
                <w:rFonts w:ascii="仿宋_GB2312" w:hAnsi="仿宋_GB2312" w:cs="仿宋_GB2312" w:eastAsia="仿宋_GB2312"/>
              </w:rPr>
              <w:t>12.3、性能要求：防火墙网络层吞吐量≥10Gbps，并发连接数≥250万，每秒新建连接数≥3万；</w:t>
            </w:r>
          </w:p>
          <w:p>
            <w:pPr>
              <w:pStyle w:val="null3"/>
            </w:pPr>
            <w:r>
              <w:rPr>
                <w:rFonts w:ascii="仿宋_GB2312" w:hAnsi="仿宋_GB2312" w:cs="仿宋_GB2312" w:eastAsia="仿宋_GB2312"/>
              </w:rPr>
              <w:t>12.4、升级服务：要求整机支持防火墙、链路负载均衡、入侵防御、防病毒、带宽控制、应用识别和web应用防护等功能；</w:t>
            </w:r>
          </w:p>
          <w:p>
            <w:pPr>
              <w:pStyle w:val="null3"/>
            </w:pPr>
            <w:r>
              <w:rPr>
                <w:rFonts w:ascii="仿宋_GB2312" w:hAnsi="仿宋_GB2312" w:cs="仿宋_GB2312" w:eastAsia="仿宋_GB2312"/>
              </w:rPr>
              <w:t>12.5、NAT功能要求：实现一对一、多对一、多对多等多种形式的NAT，实现DNS、FTP、H.323等多种NAT ALG功能；</w:t>
            </w:r>
          </w:p>
          <w:p>
            <w:pPr>
              <w:pStyle w:val="null3"/>
            </w:pPr>
            <w:r>
              <w:rPr>
                <w:rFonts w:ascii="仿宋_GB2312" w:hAnsi="仿宋_GB2312" w:cs="仿宋_GB2312" w:eastAsia="仿宋_GB2312"/>
              </w:rPr>
              <w:t>12.6、支持IPsec VPN隧道自动建立，无需流量触发，能实现IPSec、L2TP、GRE VPN、SSL VPN等功能。</w:t>
            </w:r>
          </w:p>
          <w:p>
            <w:pPr>
              <w:pStyle w:val="null3"/>
            </w:pPr>
            <w:r>
              <w:rPr>
                <w:rFonts w:ascii="仿宋_GB2312" w:hAnsi="仿宋_GB2312" w:cs="仿宋_GB2312" w:eastAsia="仿宋_GB2312"/>
              </w:rPr>
              <w:t>12.7、支持通过伪装业务诱捕内外网的攻击行为，并联合蜜罐获取黑客指纹信息，自动封锁高危IP，提供证明材料；</w:t>
            </w:r>
          </w:p>
          <w:p>
            <w:pPr>
              <w:pStyle w:val="null3"/>
            </w:pPr>
            <w:r>
              <w:rPr>
                <w:rFonts w:ascii="仿宋_GB2312" w:hAnsi="仿宋_GB2312" w:cs="仿宋_GB2312" w:eastAsia="仿宋_GB2312"/>
              </w:rPr>
              <w:t>12.8、防病毒：可基于病毒特征进行检测，实现病毒库手动和自动升级，实现病毒日志和报表；</w:t>
            </w:r>
          </w:p>
          <w:p>
            <w:pPr>
              <w:pStyle w:val="null3"/>
            </w:pPr>
            <w:r>
              <w:rPr>
                <w:rFonts w:ascii="仿宋_GB2312" w:hAnsi="仿宋_GB2312" w:cs="仿宋_GB2312" w:eastAsia="仿宋_GB2312"/>
              </w:rPr>
              <w:t>12.9、加密流量检测：支持HTTPS加密流量的安全检测，支持TCP代理和SSL代理，且代理策略中可同时配置多类过滤条件，具体包括：源安全域、目的安全域、源地址、目的地址、用户和服务。一类过滤条件可以配置多个匹配项，提供证明材料；</w:t>
            </w:r>
          </w:p>
          <w:p>
            <w:pPr>
              <w:pStyle w:val="null3"/>
            </w:pPr>
            <w:r>
              <w:rPr>
                <w:rFonts w:ascii="仿宋_GB2312" w:hAnsi="仿宋_GB2312" w:cs="仿宋_GB2312" w:eastAsia="仿宋_GB2312"/>
              </w:rPr>
              <w:t>12.10、支持丢包统计功能，用与分析和记录设备的转发流程和安全业务模块（如：攻击防范、会话管理和连接数限制等）丢弃报文的详细原因，通过查看各个模块丢弃报文的详细原因，有利于管理员对网络故障的快速排查和定位，提供证明材料；</w:t>
            </w:r>
          </w:p>
          <w:p>
            <w:pPr>
              <w:pStyle w:val="null3"/>
            </w:pPr>
            <w:r>
              <w:rPr>
                <w:rFonts w:ascii="仿宋_GB2312" w:hAnsi="仿宋_GB2312" w:cs="仿宋_GB2312" w:eastAsia="仿宋_GB2312"/>
              </w:rPr>
              <w:t>12.11、负载均衡：支持服务器负载均衡（SLB），支持基于HTTP、RADIUS、MYSQL等应用类型的匹配，支持基于IP流量特征、ISP 、用户、入接口、TCP载荷等类型的匹配规则，提供证明材料；</w:t>
            </w:r>
          </w:p>
          <w:p>
            <w:pPr>
              <w:pStyle w:val="null3"/>
            </w:pPr>
            <w:r>
              <w:rPr>
                <w:rFonts w:ascii="仿宋_GB2312" w:hAnsi="仿宋_GB2312" w:cs="仿宋_GB2312" w:eastAsia="仿宋_GB2312"/>
              </w:rPr>
              <w:t>12.12、支持配置自动备份和回滚，通过FTP发送到指定服务器，提供证明材料；</w:t>
            </w:r>
          </w:p>
          <w:p>
            <w:pPr>
              <w:pStyle w:val="null3"/>
            </w:pPr>
            <w:r>
              <w:rPr>
                <w:rFonts w:ascii="仿宋_GB2312" w:hAnsi="仿宋_GB2312" w:cs="仿宋_GB2312" w:eastAsia="仿宋_GB2312"/>
              </w:rPr>
              <w:t>12.13、配置≥25个SSL VPN 授权，≥3年IPS 特征库升级授权，≥3年AV 防病毒特征库升级授权，≥3年URL特征库升级授权。</w:t>
            </w:r>
          </w:p>
          <w:p>
            <w:pPr>
              <w:pStyle w:val="null3"/>
            </w:pPr>
            <w:r>
              <w:rPr>
                <w:rFonts w:ascii="仿宋_GB2312" w:hAnsi="仿宋_GB2312" w:cs="仿宋_GB2312" w:eastAsia="仿宋_GB2312"/>
              </w:rPr>
              <w:t>13、内外网网闸（数量：1）</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13.1、国产化产品，满足信创要求，2U标准机架式设备，采用“2+1”硬件系统架构，单台设备由内、外网两个独立主机模块和一个隔离交换专用硬件模块三部分组成；</w:t>
            </w:r>
          </w:p>
          <w:p>
            <w:pPr>
              <w:pStyle w:val="null3"/>
            </w:pPr>
            <w:r>
              <w:rPr>
                <w:rFonts w:ascii="仿宋_GB2312" w:hAnsi="仿宋_GB2312" w:cs="仿宋_GB2312" w:eastAsia="仿宋_GB2312"/>
              </w:rPr>
              <w:t>13.2、接口：网络吞吐≥1Gbps，并发连接数≥20w；内网≥8个10/100/1000M RJ45接口，≥4个1000M的SPF光口，≥1个串口，≥2个USB口;≥外网8个10/100/1000M RJ45接口，≥4个1000M的SPF光口，≥1个串口，≥2个USB口；</w:t>
            </w:r>
          </w:p>
          <w:p>
            <w:pPr>
              <w:pStyle w:val="null3"/>
            </w:pPr>
            <w:r>
              <w:rPr>
                <w:rFonts w:ascii="仿宋_GB2312" w:hAnsi="仿宋_GB2312" w:cs="仿宋_GB2312" w:eastAsia="仿宋_GB2312"/>
              </w:rPr>
              <w:t>13.3、国产CPU、操作系统，同时提供国产化内存及国产化电源，设备自带2块液晶屏、支持蜂鸣告警 ，实配可插拔冗余电源</w:t>
            </w:r>
          </w:p>
          <w:p>
            <w:pPr>
              <w:pStyle w:val="null3"/>
            </w:pPr>
            <w:r>
              <w:rPr>
                <w:rFonts w:ascii="仿宋_GB2312" w:hAnsi="仿宋_GB2312" w:cs="仿宋_GB2312" w:eastAsia="仿宋_GB2312"/>
              </w:rPr>
              <w:t>13.4、支持文件源端删除同步、全量同步、增量同步、文件同步重名等同步策略；支持文件类型、编码格式、文件名、关键字等过滤配置；支持服务调度策略配置，有轮询、定时两种模式，提供证明材料；</w:t>
            </w:r>
          </w:p>
          <w:p>
            <w:pPr>
              <w:pStyle w:val="null3"/>
            </w:pPr>
            <w:r>
              <w:rPr>
                <w:rFonts w:ascii="仿宋_GB2312" w:hAnsi="仿宋_GB2312" w:cs="仿宋_GB2312" w:eastAsia="仿宋_GB2312"/>
              </w:rPr>
              <w:t>13.5、支持 PostgreSQL、OceanBase、 OpenGauss 等同类型数据库之间同步表单信息，配置完成后表单数据同步交换响应正常，数据库清单列表包含Oracle、MySQL、PostgreSQL、SQL Server、达梦、南大通用、人大金仓、OceanBase、 OpenGauss、TIDB、神舟通用、巨杉、GaussDWS、HUAWEI Hive、ODPS、DataHub等，提供证明材料；</w:t>
            </w:r>
          </w:p>
          <w:p>
            <w:pPr>
              <w:pStyle w:val="null3"/>
            </w:pPr>
            <w:r>
              <w:rPr>
                <w:rFonts w:ascii="仿宋_GB2312" w:hAnsi="仿宋_GB2312" w:cs="仿宋_GB2312" w:eastAsia="仿宋_GB2312"/>
              </w:rPr>
              <w:t>13.6、支持 Kafka 、RabbitMQ 、RocketMQ 等消息总线进行消息队列数据信息同步，支持人工设置消息同步的起始位置和起始时间，支持指定时间戳同步、消息队列顺序同步，支持指定消费位置进行分区分配，提供证明材料；</w:t>
            </w:r>
          </w:p>
          <w:p>
            <w:pPr>
              <w:pStyle w:val="null3"/>
            </w:pPr>
            <w:r>
              <w:rPr>
                <w:rFonts w:ascii="仿宋_GB2312" w:hAnsi="仿宋_GB2312" w:cs="仿宋_GB2312" w:eastAsia="仿宋_GB2312"/>
              </w:rPr>
              <w:t>13.7、支持对数据库、文件、消息总线中的敏感信息姓名、身份证号码、手机号码、详细地址等带有个人隐私的字段进行脱敏、阻断、报警等策略管理，提供证明材料；</w:t>
            </w:r>
          </w:p>
          <w:p>
            <w:pPr>
              <w:pStyle w:val="null3"/>
            </w:pPr>
            <w:r>
              <w:rPr>
                <w:rFonts w:ascii="仿宋_GB2312" w:hAnsi="仿宋_GB2312" w:cs="仿宋_GB2312" w:eastAsia="仿宋_GB2312"/>
              </w:rPr>
              <w:t>13.8、支持监控内外网运行状态、cpu、内存、硬盘占用、通道流量top10、网卡流量按时间维度统计，网卡连接状态、模块监控等，提供证明材料；</w:t>
            </w:r>
          </w:p>
          <w:p>
            <w:pPr>
              <w:pStyle w:val="null3"/>
            </w:pPr>
            <w:r>
              <w:rPr>
                <w:rFonts w:ascii="仿宋_GB2312" w:hAnsi="仿宋_GB2312" w:cs="仿宋_GB2312" w:eastAsia="仿宋_GB2312"/>
              </w:rPr>
              <w:t>13.9、支持报表管理功能，支持文件、数据库同步数据流量和恶意代码软件发现次数的报表展示，包括饼状图、柱状图和线形图；</w:t>
            </w:r>
          </w:p>
          <w:p>
            <w:pPr>
              <w:pStyle w:val="null3"/>
            </w:pPr>
            <w:r>
              <w:rPr>
                <w:rFonts w:ascii="仿宋_GB2312" w:hAnsi="仿宋_GB2312" w:cs="仿宋_GB2312" w:eastAsia="仿宋_GB2312"/>
              </w:rPr>
              <w:t>13.10、支持 ftp、Sftp、CIFS/samba、NFS、hdfs、阿里oss等文件显性和隐性水印，显性水印支持设置水印大小、水印颜色、水印位置等，隐性水印无法直接阅览仅通过标签识别，系统支持上传水印文件、输入水印标签的2种形式进行水印记录溯源，提供证明材料；</w:t>
            </w:r>
          </w:p>
          <w:p>
            <w:pPr>
              <w:pStyle w:val="null3"/>
            </w:pPr>
            <w:r>
              <w:rPr>
                <w:rFonts w:ascii="仿宋_GB2312" w:hAnsi="仿宋_GB2312" w:cs="仿宋_GB2312" w:eastAsia="仿宋_GB2312"/>
              </w:rPr>
              <w:t>13.11配置数据库同步功能授权，视频传输功能授权。</w:t>
            </w:r>
          </w:p>
          <w:p>
            <w:pPr>
              <w:pStyle w:val="null3"/>
            </w:pPr>
            <w:r>
              <w:rPr>
                <w:rFonts w:ascii="仿宋_GB2312" w:hAnsi="仿宋_GB2312" w:cs="仿宋_GB2312" w:eastAsia="仿宋_GB2312"/>
              </w:rPr>
              <w:t>14、区域互联网出口防火墙（数量：1）</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14.1、硬件架构：国产化产品，满足信创要求，采用非X86多核架构，具备可插拔冗余电源模块，冗余风扇模块；</w:t>
            </w:r>
          </w:p>
          <w:p>
            <w:pPr>
              <w:pStyle w:val="null3"/>
            </w:pPr>
            <w:r>
              <w:rPr>
                <w:rFonts w:ascii="仿宋_GB2312" w:hAnsi="仿宋_GB2312" w:cs="仿宋_GB2312" w:eastAsia="仿宋_GB2312"/>
              </w:rPr>
              <w:t>14.2、硬件接口要求：配置不少于16个千兆以太网GE接口，配置不少于4个Combo接口，配置不少于6个千兆以太网光口，配置不少于2个万兆以太网光口，2个扩展槽位，要求具备接口扩展能力，配置双交流电源；</w:t>
            </w:r>
          </w:p>
          <w:p>
            <w:pPr>
              <w:pStyle w:val="null3"/>
            </w:pPr>
            <w:r>
              <w:rPr>
                <w:rFonts w:ascii="仿宋_GB2312" w:hAnsi="仿宋_GB2312" w:cs="仿宋_GB2312" w:eastAsia="仿宋_GB2312"/>
              </w:rPr>
              <w:t>14.3、性能要求：防火墙网络层吞吐量≥10Gbps，并发连接数≥250万，每秒新建连接数≥3万；</w:t>
            </w:r>
          </w:p>
          <w:p>
            <w:pPr>
              <w:pStyle w:val="null3"/>
            </w:pPr>
            <w:r>
              <w:rPr>
                <w:rFonts w:ascii="仿宋_GB2312" w:hAnsi="仿宋_GB2312" w:cs="仿宋_GB2312" w:eastAsia="仿宋_GB2312"/>
              </w:rPr>
              <w:t>14.4、升级服务：要求整机支持防火墙、链路负载均衡、入侵防御、防病毒、带宽控制、应用识别和web应用防护等功能；</w:t>
            </w:r>
          </w:p>
          <w:p>
            <w:pPr>
              <w:pStyle w:val="null3"/>
            </w:pPr>
            <w:r>
              <w:rPr>
                <w:rFonts w:ascii="仿宋_GB2312" w:hAnsi="仿宋_GB2312" w:cs="仿宋_GB2312" w:eastAsia="仿宋_GB2312"/>
              </w:rPr>
              <w:t>14.5、NAT功能要求：实现一对一、多对一、多对多等多种形式的NAT，实现DNS、FTP、H.323等多种NAT ALG功能；</w:t>
            </w:r>
          </w:p>
          <w:p>
            <w:pPr>
              <w:pStyle w:val="null3"/>
            </w:pPr>
            <w:r>
              <w:rPr>
                <w:rFonts w:ascii="仿宋_GB2312" w:hAnsi="仿宋_GB2312" w:cs="仿宋_GB2312" w:eastAsia="仿宋_GB2312"/>
              </w:rPr>
              <w:t>14.6、支持IPsec VPN隧道自动建立，无需流量触发，能实现IPSec、L2TP、GRE VPN、SSL VPN等功能。</w:t>
            </w:r>
          </w:p>
          <w:p>
            <w:pPr>
              <w:pStyle w:val="null3"/>
            </w:pPr>
            <w:r>
              <w:rPr>
                <w:rFonts w:ascii="仿宋_GB2312" w:hAnsi="仿宋_GB2312" w:cs="仿宋_GB2312" w:eastAsia="仿宋_GB2312"/>
              </w:rPr>
              <w:t>14.7、支持通过伪装业务诱捕内外网的攻击行为，并联合蜜罐获取黑客指纹信息，自动封锁高危IP，提供第三方检测报告证明并加盖厂商公章</w:t>
            </w:r>
          </w:p>
          <w:p>
            <w:pPr>
              <w:pStyle w:val="null3"/>
            </w:pPr>
            <w:r>
              <w:rPr>
                <w:rFonts w:ascii="仿宋_GB2312" w:hAnsi="仿宋_GB2312" w:cs="仿宋_GB2312" w:eastAsia="仿宋_GB2312"/>
              </w:rPr>
              <w:t>14.8、防病毒：可基于病毒特征进行检测，实现病毒库手动和自动升级，实现病毒日志和报表；</w:t>
            </w:r>
          </w:p>
          <w:p>
            <w:pPr>
              <w:pStyle w:val="null3"/>
            </w:pPr>
            <w:r>
              <w:rPr>
                <w:rFonts w:ascii="仿宋_GB2312" w:hAnsi="仿宋_GB2312" w:cs="仿宋_GB2312" w:eastAsia="仿宋_GB2312"/>
              </w:rPr>
              <w:t>14.9、加密流量检测：支持HTTPS加密流量的安全检测，支持TCP代理和SSL代理，且代理策略中可同时配置多类过滤条件，具体包括：源安全域、目的安全域、源地址、目的地址、用户和服务。一类过滤条件可以配置多个匹配项，提供证明材料；</w:t>
            </w:r>
          </w:p>
          <w:p>
            <w:pPr>
              <w:pStyle w:val="null3"/>
            </w:pPr>
            <w:r>
              <w:rPr>
                <w:rFonts w:ascii="仿宋_GB2312" w:hAnsi="仿宋_GB2312" w:cs="仿宋_GB2312" w:eastAsia="仿宋_GB2312"/>
              </w:rPr>
              <w:t>14.10、支持丢包统计功能，用与分析和记录设备的转发流程和安全业务模块（如：攻击防范、会话管理和连接数限制等）丢弃报文的详细原因，通过查看各个模块丢弃报文的详细原因，有利于管理员对网络故障的快速排查和定位，提供证明材料；</w:t>
            </w:r>
          </w:p>
          <w:p>
            <w:pPr>
              <w:pStyle w:val="null3"/>
            </w:pPr>
            <w:r>
              <w:rPr>
                <w:rFonts w:ascii="仿宋_GB2312" w:hAnsi="仿宋_GB2312" w:cs="仿宋_GB2312" w:eastAsia="仿宋_GB2312"/>
              </w:rPr>
              <w:t>14.11、负载均衡：支持服务器负载均衡（SLB），支持基于HTTP、RADIUS、MYSQL等应用类型的匹配，支持基于IP流量特征、ISP 、用户、入接口、TCP载荷等类型的匹配规则，提供证明材料；</w:t>
            </w:r>
          </w:p>
          <w:p>
            <w:pPr>
              <w:pStyle w:val="null3"/>
            </w:pPr>
            <w:r>
              <w:rPr>
                <w:rFonts w:ascii="仿宋_GB2312" w:hAnsi="仿宋_GB2312" w:cs="仿宋_GB2312" w:eastAsia="仿宋_GB2312"/>
              </w:rPr>
              <w:t>14.12、支持配置自动备份和回滚，通过FTP发送到指定服务器，提供证明材料；</w:t>
            </w:r>
          </w:p>
          <w:p>
            <w:pPr>
              <w:pStyle w:val="null3"/>
            </w:pPr>
            <w:r>
              <w:rPr>
                <w:rFonts w:ascii="仿宋_GB2312" w:hAnsi="仿宋_GB2312" w:cs="仿宋_GB2312" w:eastAsia="仿宋_GB2312"/>
              </w:rPr>
              <w:t>14.13、配置≥25个SSL VPN 授权，≥3年IPS 特征库升级授权，≥3年AV 防病毒特征库升级授权，≥3年URL特征库升级授权。</w:t>
            </w:r>
          </w:p>
          <w:p>
            <w:pPr>
              <w:pStyle w:val="null3"/>
            </w:pPr>
            <w:r>
              <w:rPr>
                <w:rFonts w:ascii="仿宋_GB2312" w:hAnsi="仿宋_GB2312" w:cs="仿宋_GB2312" w:eastAsia="仿宋_GB2312"/>
              </w:rPr>
              <w:t>15、操作系统（数量：2）</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15.1、国产化操作系统，满足信创要求；</w:t>
            </w:r>
          </w:p>
          <w:p>
            <w:pPr>
              <w:pStyle w:val="null3"/>
            </w:pPr>
            <w:r>
              <w:rPr>
                <w:rFonts w:ascii="仿宋_GB2312" w:hAnsi="仿宋_GB2312" w:cs="仿宋_GB2312" w:eastAsia="仿宋_GB2312"/>
              </w:rPr>
              <w:t>15.2、支持4.19、5.10内核，同一镜像在系统安装时提供4.19和5.10的内核版本选择；</w:t>
            </w:r>
          </w:p>
          <w:p>
            <w:pPr>
              <w:pStyle w:val="null3"/>
            </w:pPr>
            <w:r>
              <w:rPr>
                <w:rFonts w:ascii="仿宋_GB2312" w:hAnsi="仿宋_GB2312" w:cs="仿宋_GB2312" w:eastAsia="仿宋_GB2312"/>
              </w:rPr>
              <w:t>15.3、支持ARM、x86、LoongArch、MIPS、SW64等平台架构的CPU；</w:t>
            </w:r>
          </w:p>
          <w:p>
            <w:pPr>
              <w:pStyle w:val="null3"/>
            </w:pPr>
            <w:r>
              <w:rPr>
                <w:rFonts w:ascii="仿宋_GB2312" w:hAnsi="仿宋_GB2312" w:cs="仿宋_GB2312" w:eastAsia="仿宋_GB2312"/>
              </w:rPr>
              <w:t>15.4、采用 i18n（国际化）技术和标准；支持最新国家标准字符集 GB18030-2022；</w:t>
            </w:r>
          </w:p>
          <w:p>
            <w:pPr>
              <w:pStyle w:val="null3"/>
            </w:pPr>
            <w:r>
              <w:rPr>
                <w:rFonts w:ascii="仿宋_GB2312" w:hAnsi="仿宋_GB2312" w:cs="仿宋_GB2312" w:eastAsia="仿宋_GB2312"/>
              </w:rPr>
              <w:t>15.5、支持FCoE、iSCSI，支持将Ceph 块设备视为常规磁盘设备条目，挂载到某个目录并使用标准文件系统格式化；</w:t>
            </w:r>
          </w:p>
          <w:p>
            <w:pPr>
              <w:pStyle w:val="null3"/>
            </w:pPr>
            <w:r>
              <w:rPr>
                <w:rFonts w:ascii="仿宋_GB2312" w:hAnsi="仿宋_GB2312" w:cs="仿宋_GB2312" w:eastAsia="仿宋_GB2312"/>
              </w:rPr>
              <w:t>15.6、支持内核漏洞主动安全防护KVSP，能够保证内核关键数据、指令代码和控制流的完整性，实时监控和阻断内核漏洞利用链路，防护针对内核的已知和未知漏洞利用攻击，且具备自防护能力；（提供以上功能产品白皮书）</w:t>
            </w:r>
          </w:p>
          <w:p>
            <w:pPr>
              <w:pStyle w:val="null3"/>
            </w:pPr>
            <w:r>
              <w:rPr>
                <w:rFonts w:ascii="仿宋_GB2312" w:hAnsi="仿宋_GB2312" w:cs="仿宋_GB2312" w:eastAsia="仿宋_GB2312"/>
              </w:rPr>
              <w:t>15.7、为保障操作系统供应链安全，所投国产操作系统核心基础组件代码开源率为0%，其中至少包括桌面环境、动态链接库；（提供第三方检测机构产品源代码溯源扫描评估报告）</w:t>
            </w:r>
          </w:p>
          <w:p>
            <w:pPr>
              <w:pStyle w:val="null3"/>
            </w:pPr>
            <w:r>
              <w:rPr>
                <w:rFonts w:ascii="仿宋_GB2312" w:hAnsi="仿宋_GB2312" w:cs="仿宋_GB2312" w:eastAsia="仿宋_GB2312"/>
              </w:rPr>
              <w:t>15.8、提供静态数据收集工具，可一键采集OS的关键静态数据，并生成数据分析报表，辅助定位运维问题；</w:t>
            </w:r>
          </w:p>
          <w:p>
            <w:pPr>
              <w:pStyle w:val="null3"/>
            </w:pPr>
            <w:r>
              <w:rPr>
                <w:rFonts w:ascii="仿宋_GB2312" w:hAnsi="仿宋_GB2312" w:cs="仿宋_GB2312" w:eastAsia="仿宋_GB2312"/>
              </w:rPr>
              <w:t>15.9、提供自研安全运行环境软件，可允许开发者在操作系统上直接运行一个Linux环境，包括运行命令行工具、组件和应用等；（提供与操作系统原厂商同品牌的安全运行环境软著证书）</w:t>
            </w:r>
          </w:p>
          <w:p>
            <w:pPr>
              <w:pStyle w:val="null3"/>
            </w:pPr>
            <w:r>
              <w:rPr>
                <w:rFonts w:ascii="仿宋_GB2312" w:hAnsi="仿宋_GB2312" w:cs="仿宋_GB2312" w:eastAsia="仿宋_GB2312"/>
              </w:rPr>
              <w:t>15.10、系统内置国密算法，支持基于国密算法的加解密应用，支持国密SM2/3/4；</w:t>
            </w:r>
          </w:p>
          <w:p>
            <w:pPr>
              <w:pStyle w:val="null3"/>
            </w:pPr>
            <w:r>
              <w:rPr>
                <w:rFonts w:ascii="仿宋_GB2312" w:hAnsi="仿宋_GB2312" w:cs="仿宋_GB2312" w:eastAsia="仿宋_GB2312"/>
              </w:rPr>
              <w:t>15.11、支持与操作系统原厂商同品牌的国产Linux系统通用性能评分套件软件和Linux系统通用压力分析套件软件。</w:t>
            </w:r>
          </w:p>
          <w:p>
            <w:pPr>
              <w:pStyle w:val="null3"/>
            </w:pPr>
            <w:r>
              <w:rPr>
                <w:rFonts w:ascii="仿宋_GB2312" w:hAnsi="仿宋_GB2312" w:cs="仿宋_GB2312" w:eastAsia="仿宋_GB2312"/>
              </w:rPr>
              <w:t>16、数据库（数量：1）</w:t>
            </w:r>
          </w:p>
          <w:p>
            <w:pPr>
              <w:pStyle w:val="null3"/>
            </w:pPr>
            <w:r>
              <w:rPr>
                <w:rFonts w:ascii="仿宋_GB2312" w:hAnsi="仿宋_GB2312" w:cs="仿宋_GB2312" w:eastAsia="仿宋_GB2312"/>
              </w:rPr>
              <w:t>功能需求：</w:t>
            </w:r>
          </w:p>
          <w:p>
            <w:pPr>
              <w:pStyle w:val="null3"/>
            </w:pPr>
            <w:r>
              <w:rPr>
                <w:rFonts w:ascii="仿宋_GB2312" w:hAnsi="仿宋_GB2312" w:cs="仿宋_GB2312" w:eastAsia="仿宋_GB2312"/>
              </w:rPr>
              <w:t>16.1、产品需为国产集中式关系型数据库；</w:t>
            </w:r>
          </w:p>
          <w:p>
            <w:pPr>
              <w:pStyle w:val="null3"/>
            </w:pPr>
            <w:r>
              <w:rPr>
                <w:rFonts w:ascii="仿宋_GB2312" w:hAnsi="仿宋_GB2312" w:cs="仿宋_GB2312" w:eastAsia="仿宋_GB2312"/>
              </w:rPr>
              <w:t>16.2、在2路国产处理器平台上，在不低于100张千万行表的数据规模下，持续10分钟的不低于1000并发操作，数据库的批量数据插入的事务处理能力可达120万次/秒、单值插入数据的的事务处理能力可达10万次/秒、删除数据的事务处理能力可达60万次/秒、单值数据查询的事务处理能力可达100万次/秒。须提供第三方检测机构出具的检测报告，提供证明材料；</w:t>
            </w:r>
          </w:p>
          <w:p>
            <w:pPr>
              <w:pStyle w:val="null3"/>
            </w:pPr>
            <w:r>
              <w:rPr>
                <w:rFonts w:ascii="仿宋_GB2312" w:hAnsi="仿宋_GB2312" w:cs="仿宋_GB2312" w:eastAsia="仿宋_GB2312"/>
              </w:rPr>
              <w:t>16.3、产品拥有自主知识产权，完全自主可控，且产品核心功能模块的核心源码自主代码比例不低于95%，须提供相关检测证明材料；</w:t>
            </w:r>
          </w:p>
          <w:p>
            <w:pPr>
              <w:pStyle w:val="null3"/>
            </w:pPr>
            <w:r>
              <w:rPr>
                <w:rFonts w:ascii="仿宋_GB2312" w:hAnsi="仿宋_GB2312" w:cs="仿宋_GB2312" w:eastAsia="仿宋_GB2312"/>
              </w:rPr>
              <w:t>16.4、支持行存表和列存表，要求行存表和列存表支持在同一个事务内增删改查，并且支持在同一个查询命令中进行多表关联；</w:t>
            </w:r>
          </w:p>
          <w:p>
            <w:pPr>
              <w:pStyle w:val="null3"/>
            </w:pPr>
            <w:r>
              <w:rPr>
                <w:rFonts w:ascii="仿宋_GB2312" w:hAnsi="仿宋_GB2312" w:cs="仿宋_GB2312" w:eastAsia="仿宋_GB2312"/>
              </w:rPr>
              <w:t>16.5、内置内存引擎，能够实现在同一个实例中内存表跟普通的磁盘表的共存，内存表支持ACID、常用SQL语法、存储过程和数据持久化等功能特性；(创建内存表功能、内存表支持ACID、常用SQL语法、存储过程和数据持久化需提供操作截图）</w:t>
            </w:r>
          </w:p>
          <w:p>
            <w:pPr>
              <w:pStyle w:val="null3"/>
            </w:pPr>
            <w:r>
              <w:rPr>
                <w:rFonts w:ascii="仿宋_GB2312" w:hAnsi="仿宋_GB2312" w:cs="仿宋_GB2312" w:eastAsia="仿宋_GB2312"/>
              </w:rPr>
              <w:t>16.6、支持自主访问控制、基于安全标签的强制访问控制、用户角色三权分立、审计、加密、身份识别与验证等安全功能。支持安全管理功能和审计功能；支持全密态等值查询功能和动态脱敏功能；(动态脱敏功能需提供操作截图）</w:t>
            </w:r>
          </w:p>
          <w:p>
            <w:pPr>
              <w:pStyle w:val="null3"/>
            </w:pPr>
            <w:r>
              <w:rPr>
                <w:rFonts w:ascii="仿宋_GB2312" w:hAnsi="仿宋_GB2312" w:cs="仿宋_GB2312" w:eastAsia="仿宋_GB2312"/>
              </w:rPr>
              <w:t>16.7、为保障服务质量，生产厂商须具备ITSS信息技术服务标准符合性证书(运行维护服务)三级或以上证书复印件；</w:t>
            </w:r>
          </w:p>
          <w:p>
            <w:pPr>
              <w:pStyle w:val="null3"/>
            </w:pPr>
            <w:r>
              <w:rPr>
                <w:rFonts w:ascii="仿宋_GB2312" w:hAnsi="仿宋_GB2312" w:cs="仿宋_GB2312" w:eastAsia="仿宋_GB2312"/>
              </w:rPr>
              <w:t>17、集成服务（数量：1）</w:t>
            </w:r>
          </w:p>
          <w:p>
            <w:pPr>
              <w:pStyle w:val="null3"/>
            </w:pPr>
            <w:r>
              <w:rPr>
                <w:rFonts w:ascii="仿宋_GB2312" w:hAnsi="仿宋_GB2312" w:cs="仿宋_GB2312" w:eastAsia="仿宋_GB2312"/>
              </w:rPr>
              <w:t>功能需求：医院内数据迁移服务；涵盖硬件平台搭建、软件系统部署、网络环境优化及多业务系统的协同整合，在确保业务系统平稳过渡与数据资产安全完整，通过科学规划与规范实施，实现新旧系统的无缝衔接，全面提升医院信息化运行效率与服务保障能力。</w:t>
            </w:r>
          </w:p>
          <w:p>
            <w:pPr>
              <w:pStyle w:val="null3"/>
            </w:pPr>
            <w:r>
              <w:rPr>
                <w:rFonts w:ascii="仿宋_GB2312" w:hAnsi="仿宋_GB2312" w:cs="仿宋_GB2312" w:eastAsia="仿宋_GB2312"/>
              </w:rPr>
              <w:t>18、提供100M医共体专线并与三秦智医平台对接（数量：1）</w:t>
            </w:r>
          </w:p>
          <w:p>
            <w:pPr>
              <w:pStyle w:val="null3"/>
            </w:pPr>
            <w:r>
              <w:rPr>
                <w:rFonts w:ascii="仿宋_GB2312" w:hAnsi="仿宋_GB2312" w:cs="仿宋_GB2312" w:eastAsia="仿宋_GB2312"/>
              </w:rPr>
              <w:t>19、其他要求</w:t>
            </w:r>
          </w:p>
          <w:p>
            <w:pPr>
              <w:pStyle w:val="null3"/>
            </w:pPr>
            <w:r>
              <w:rPr>
                <w:rFonts w:ascii="仿宋_GB2312" w:hAnsi="仿宋_GB2312" w:cs="仿宋_GB2312" w:eastAsia="仿宋_GB2312"/>
              </w:rPr>
              <w:t>硬件提供不少于三年质保，软件提供不少于两年质保。实施过程及质保运维期两年内不得对对接及相关接口收取费用。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硬件提供不少于三年质保，软件提供不少于两年质保。实施过程及质保运维期两年内不得对对接及相关接口收取费用。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1、验收：乙方完成项目内容后，向甲方提出验收申请，甲方接到乙方验收申请后组织验收（必要时可聘请相应专家或委托相应部门验收），验收合格后，出具使用验收合格证明。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3、验收依据： 3-1、合同文本、合同附件、招标文件、投标文件。 3-2、国内相应的标准、规范。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合同签订后（若中标企业符合中小微企业认定政策，本项付款比例为40%）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系统集成开发完成，产品到货经验收无误后（若中标企业符合中小微企业认定政策，本项付款比例为40%）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项目移交完成整体验收合格并投入运行30日后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硬件提供不少于三年质保，软件提供不少于两年质保。实施过程及质保运维期两年内不得对对接及相关接口收取费用。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供应商需在项目电子化交易系统中按要求填写上传《资格证明文件》并进行电子签章。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投标方案.docx 业绩.docx 网络关键设备和网络安全专用产品.docx 投标函 标的清单 投标文件封面 服务内容偏离表.docx 配套硬件技术偏离表.docx 商务偏离表.docx 资格证明文件.docx 陕西省政府采购供应商拒绝政府采购领域商业贿赂承诺书.docx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供应商报价是固定价且未超过预算金额（招标文件有最高限价的，报价需未超过最高限价金额）</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网络关键设备和网络安全专用产品</w:t>
            </w:r>
          </w:p>
        </w:tc>
        <w:tc>
          <w:tcPr>
            <w:tcW w:type="dxa" w:w="3322"/>
          </w:tcPr>
          <w:p>
            <w:pPr>
              <w:pStyle w:val="null3"/>
            </w:pPr>
            <w:r>
              <w:rPr>
                <w:rFonts w:ascii="仿宋_GB2312" w:hAnsi="仿宋_GB2312" w:cs="仿宋_GB2312" w:eastAsia="仿宋_GB2312"/>
              </w:rPr>
              <w:t>本项目涉及的网络关键设备和网络安全专用产品：“十二 区域医疗专网防火墙”“十四 区域互联网出口防火墙”“十六 数据库”；根据《国家互联网信息办公室 工业和信息化部 公安部 财政部 国家认证认可监督管理委员会关于调整网络安全专用产品安全管理有关事项的公告》（2023年第1号）规定，以上产品需由“具备资格的机构安全认证合格或者安全检测符合要求，方可销售或者提供”，或已经获得《计算机信息系统安全专用产品销售许可证》的产品还在有效期内。投标人需提供具备资格的机构安全认证合格资料或者安全检测符合要求的检测报告或还在有效期内的《计算机信息系统安全专用产品销售许可证》，相关证明材料需与服务方案中对应产品说明中的名称、品牌等信息保持一致。</w:t>
            </w:r>
          </w:p>
        </w:tc>
        <w:tc>
          <w:tcPr>
            <w:tcW w:type="dxa" w:w="1661"/>
          </w:tcPr>
          <w:p>
            <w:pPr>
              <w:pStyle w:val="null3"/>
            </w:pPr>
            <w:r>
              <w:rPr>
                <w:rFonts w:ascii="仿宋_GB2312" w:hAnsi="仿宋_GB2312" w:cs="仿宋_GB2312" w:eastAsia="仿宋_GB2312"/>
              </w:rPr>
              <w:t>网络关键设备和网络安全专用产品.docx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软件技术要求</w:t>
            </w:r>
          </w:p>
        </w:tc>
        <w:tc>
          <w:tcPr>
            <w:tcW w:type="dxa" w:w="2492"/>
          </w:tcPr>
          <w:p>
            <w:pPr>
              <w:pStyle w:val="null3"/>
            </w:pPr>
            <w:r>
              <w:rPr>
                <w:rFonts w:ascii="仿宋_GB2312" w:hAnsi="仿宋_GB2312" w:cs="仿宋_GB2312" w:eastAsia="仿宋_GB2312"/>
              </w:rPr>
              <w:t>软件建设清单共10项内容，每项建设清单完全满足或优于技术要求得1.5分，每项建设清单中每有1条不满足技术要求扣0.5分，若每项建设清单完全不满足或超过3条技术要求不满足，本项建设清单不得分。注：如项目需求中“技术参数与性能指标”中有明确要求提供的证明资料，则以项目需求中“技术参数与性能指标”中要求的为准，并建议对相关证明项进行标注（如标注红色方框并写明对应参数的序号），未提供或未按要求提供证明材料的不得分；如项目需求中“技术参数与性能指标”中无明确证明材料的，以投标人投标文件中的相关软件功能说明及截图等技术资料为准，未提供相关资料或技术偏离表中未响应的视为负偏离不满足本项技术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服务内容偏离表.docx</w:t>
            </w:r>
          </w:p>
        </w:tc>
      </w:tr>
      <w:tr>
        <w:tc>
          <w:tcPr>
            <w:tcW w:type="dxa" w:w="831"/>
            <w:vMerge/>
          </w:tcPr>
          <w:p/>
        </w:tc>
        <w:tc>
          <w:tcPr>
            <w:tcW w:type="dxa" w:w="1661"/>
          </w:tcPr>
          <w:p>
            <w:pPr>
              <w:pStyle w:val="null3"/>
            </w:pPr>
            <w:r>
              <w:rPr>
                <w:rFonts w:ascii="仿宋_GB2312" w:hAnsi="仿宋_GB2312" w:cs="仿宋_GB2312" w:eastAsia="仿宋_GB2312"/>
              </w:rPr>
              <w:t>配套硬件技术要求</w:t>
            </w:r>
          </w:p>
        </w:tc>
        <w:tc>
          <w:tcPr>
            <w:tcW w:type="dxa" w:w="2492"/>
          </w:tcPr>
          <w:p>
            <w:pPr>
              <w:pStyle w:val="null3"/>
            </w:pPr>
            <w:r>
              <w:rPr>
                <w:rFonts w:ascii="仿宋_GB2312" w:hAnsi="仿宋_GB2312" w:cs="仿宋_GB2312" w:eastAsia="仿宋_GB2312"/>
              </w:rPr>
              <w:t>本项目共18项配套硬件产品，其中涉及的网络关键设备和网络安全专用产品为“十二 区域医疗专网防火墙”“十四 区域互联网出口防火墙”“十六 数据库”三项产品，该项产品完全满足或优于技术要求得1分，每项产品中每有1条不满足技术要求扣0.25分，若每项建设清单完全不满足或超过4条技术要求不满足，本项配套硬件产品不得分。其他15项配套硬件产品中，每项产品完全满足或优于1项技术要求得0.5分，每项产品中每有1条不满足技术要求扣0.25分，若每项建设清单完全不满足或超过2条技术要求不满足，本项配套硬件产品不得分。注：如项目需求中“技术参数与性能指标”中有明确要求提供的证明资料，则以项目需求中“技术参数与性能指标”中要求的为准，并建议对相关证明项进行标注（如标注红色方框并写明对应参数的序号），未提供或未按要求提供证明材料的不得分；如项目需求中“技术参数与性能指标”中无明确证明材料的，以投标人投标文件中的相关产品彩页、说明书等技术资料为准，未提供相关资料或技术偏离表中未响应的视为负偏离不满足本项技术要求不得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配套硬件技术偏离表.docx</w:t>
            </w:r>
          </w:p>
        </w:tc>
      </w:tr>
      <w:tr>
        <w:tc>
          <w:tcPr>
            <w:tcW w:type="dxa" w:w="831"/>
            <w:vMerge/>
          </w:tcPr>
          <w:p/>
        </w:tc>
        <w:tc>
          <w:tcPr>
            <w:tcW w:type="dxa" w:w="1661"/>
          </w:tcPr>
          <w:p>
            <w:pPr>
              <w:pStyle w:val="null3"/>
            </w:pPr>
            <w:r>
              <w:rPr>
                <w:rFonts w:ascii="仿宋_GB2312" w:hAnsi="仿宋_GB2312" w:cs="仿宋_GB2312" w:eastAsia="仿宋_GB2312"/>
              </w:rPr>
              <w:t>服务进度安排方案</w:t>
            </w:r>
          </w:p>
        </w:tc>
        <w:tc>
          <w:tcPr>
            <w:tcW w:type="dxa" w:w="2492"/>
          </w:tcPr>
          <w:p>
            <w:pPr>
              <w:pStyle w:val="null3"/>
            </w:pPr>
            <w:r>
              <w:rPr>
                <w:rFonts w:ascii="仿宋_GB2312" w:hAnsi="仿宋_GB2312" w:cs="仿宋_GB2312" w:eastAsia="仿宋_GB2312"/>
              </w:rPr>
              <w:t>投标人需提供服务进度安排方案，包含但不限于服务计划、时间节点安排、技术路线、任务分解等内容 。服务进度方案内容完整，其中技术路线明确，服务计划、时间节点安排及任务分解明确且确实可行，对本项目针对性强得10分；服务进度方案内容完整，技术路线明确，服务计划、时间节点安排及任务分解较合理，方案基本无缺陷得8分；服务进度方案内容包含服务计划、时间节点安排、技术路线、任务分解，各项内容有缺陷，但对本项目针对性一般得6分；服务进度方案内容不完整，但提供方案内容说明合理，有缺陷但对本项目有针对性得3分；服务进度方案内容不完整，且方案中内容有较多缺陷得1分；方案有严重缺失或重大缺陷或未提供相关说明资料不得分。说明 ：缺陷是指非专门针对本项目或不适用项目特性的情形，内容不合理 、虽有内容但不完善、内容表述前后不一致、套用其他项目方案，涉及的规范或标准错误、不利于项目实施等任意一种情形。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投标人需提供服务保障措施，保障本项目服务质量及进度。服务保障措施全面详尽，能较好保障本项目顺利完成得10分；服务保障措施较全面，能保障本项目顺利完成，基本无缺陷得8分；有服务保障措施 ，能基本保障本项目顺利完成，有部分缺陷得6分；有服务保障措施 ，有较多缺陷得3分；方案有严重缺失或重大缺陷或未提供相关说明资料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投标人需提供拟派服务团队的人员名单、岗位分工及对应岗位职责。拟派服务团队人员结构（如项目负责人、研发、培训、后期技术咨询、售后等岗位）设置定位明确，经验丰富，岗位职责描述清晰，与项目需求匹配度高的，得10分；拟派服务团队人员结构设置合理，岗位职责描述较清晰，与项目需求匹配度较高，内容基本无缺陷，得8分；拟派服务团队人员结构设置合理 ，有岗位职责描述，部分匹配本项目采购需求，内容有部分缺陷，得6分；有提供拟派服务团队人员结构或岗位职责描述，职责描述不清晰，内容有较多缺陷，得3分；本项内容有严重缺失或重大缺陷或未提供相关说明资料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根据本项目特点定制为满足项目履行期的切实可行的各类应急预案，预案需结合招标人的实际情况提出 ，方案科学合理且有针对性、建设性，完全符合项目采购需求得4.5分；方案基本满足项目需求，方案内容基本无缺陷得3分；方案内容描述对本项目针对性一般，方案内容有部分缺陷得1分。方案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投标人需具有可行的技术培训方案 ，保证使用单位能熟练操作维护和正常使用，列出详细的培训内容、培训方式等说明。方案各部分内容全面、阐述条理清晰详尽、符合本项目采购需求且描述详细可行性强得10分；方案各部分内容全面、符合本项目采购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投标人需提供售后服务措施，包含售后服务条款（包含但不限于软硬件质保期、硬件退换货服务等售后条款）、售后服务承诺（包含但不限于售后联系电话、联系人、售后服务响应时间等其他售后服务承诺）。方案各部分内容全面、阐述条理清晰详尽、符合本项目采购需求且描述详细可行性强得10分；方案各部分内容全面、符合本项目采购需求且描述详细，基本无缺陷 ，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说明：缺陷是指非专门针对本项目或不适用项目特性的情形，内容不合理、虽有内容但不完善、内容表述前后不一致、套用其他项目 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1月1日以来（以合同签订日期为准）的类似项目业绩，每个业绩得2分，最高得10分。注：投标人需提供合同复印件，合同内容无法体现项目服务内容的可另行提供业主验收单等证明材料作为辅证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15%的扣除，用扣除后的价格参加评审。承接本项目的供应商符合相应条件时，给予15%的价格扣除，即：评标价=最后报价×（1-15%）;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详见附件：网络关键设备和网络安全专用产品.docx</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详见附件：配套硬件技术偏离表.docx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