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版本号：ZCZB-2026-0121.1B120260823001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合阳县和家庄镇2026年中央财政以工代赈项目(二次)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ZCZB-2026-0121.1B1</w:t>
      </w:r>
      <w:r>
        <w:br/>
      </w:r>
      <w:r>
        <w:br/>
      </w:r>
      <w:r>
        <w:br/>
      </w:r>
    </w:p>
    <w:p>
      <w:pPr>
        <w:pStyle w:val="null3"/>
        <w:jc w:val="center"/>
        <w:outlineLvl w:val="2"/>
      </w:pPr>
      <w:r>
        <w:rPr>
          <w:rFonts w:ascii="仿宋_GB2312" w:hAnsi="仿宋_GB2312" w:cs="仿宋_GB2312" w:eastAsia="仿宋_GB2312"/>
          <w:sz w:val="28"/>
          <w:b/>
        </w:rPr>
        <w:t>合阳县和家庄镇人民政府</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合阳县和家庄镇人民政府</w:t>
      </w:r>
      <w:r>
        <w:rPr>
          <w:rFonts w:ascii="仿宋_GB2312" w:hAnsi="仿宋_GB2312" w:cs="仿宋_GB2312" w:eastAsia="仿宋_GB2312"/>
        </w:rPr>
        <w:t>委托，拟对</w:t>
      </w:r>
      <w:r>
        <w:rPr>
          <w:rFonts w:ascii="仿宋_GB2312" w:hAnsi="仿宋_GB2312" w:cs="仿宋_GB2312" w:eastAsia="仿宋_GB2312"/>
        </w:rPr>
        <w:t>合阳县和家庄镇2026年中央财政以工代赈项目(二次)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ZCZB-2026-0121.1B1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合阳县和家庄镇2026年中央财政以工代赈项目(二次)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合阳县和家庄镇2026年中央财政以工代赈项目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采购包1（合阳县和家庄镇2026年中央财政以工代赈项目）：属于专门面向中小企业采购。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2、法人授权委托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3、资质证书：供应商须具备建设行政主管部门颁发的市政公用工程施工总承包三级（含三级）以上资质，企业具有有效的安全生产许可证；</w:t>
      </w:r>
    </w:p>
    <w:p>
      <w:pPr>
        <w:pStyle w:val="null3"/>
      </w:pPr>
      <w:r>
        <w:rPr>
          <w:rFonts w:ascii="仿宋_GB2312" w:hAnsi="仿宋_GB2312" w:cs="仿宋_GB2312" w:eastAsia="仿宋_GB2312"/>
        </w:rPr>
        <w:t>4、项目经理：拟派项目经理具备市政工程专业贰级及以上注册建造师资格，需在本企业注册、且具有有效的安全生产考核合格证书，无在建证明材料或书面承诺；</w:t>
      </w:r>
    </w:p>
    <w:p>
      <w:pPr>
        <w:pStyle w:val="null3"/>
      </w:pPr>
      <w:r>
        <w:rPr>
          <w:rFonts w:ascii="仿宋_GB2312" w:hAnsi="仿宋_GB2312" w:cs="仿宋_GB2312" w:eastAsia="仿宋_GB2312"/>
        </w:rPr>
        <w:t>5、其它要求：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合阳县和家庄镇人民政府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合阳县和家庄镇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19829232670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18149248289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采购包1：3,184,900.00元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合阳县和家庄镇人民政府</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合阳县和家庄镇人民政府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合阳县和家庄镇人民政府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以合同条款为准。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达到合格标准，符合国家相关规范标准。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联系电话：18149248289</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3,184,900.00</w:t>
      </w:r>
    </w:p>
    <w:p>
      <w:pPr>
        <w:pStyle w:val="null3"/>
      </w:pPr>
      <w:r>
        <w:rPr>
          <w:rFonts w:ascii="仿宋_GB2312" w:hAnsi="仿宋_GB2312" w:cs="仿宋_GB2312" w:eastAsia="仿宋_GB2312"/>
        </w:rPr>
        <w:t>采购包最高限价（元）: 3,184,900.00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3,184,900.00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达到合格标准，符合国家相关规范标准。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以合同条款为准。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实质性要求：1、按照《国家以工代赈项目管理办法》的要求就近组织农村劳动力、城镇低收入人口和就业困难群体等参与项目建设。优先吸纳脱贫人口、防止返贫监测对象、因灾需救助人口、易地搬迁群众等参加工程项目建设。在项目建设中坚持能用人工的尽量不用机械，带动当地群众务工。 2、严格每月足额通过银行卡发放劳务报酬。要在严格落实国家有关要求的基础上，确保以工代赈项目劳务报酬占比达到40%以上。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须提供以下证明资料： （1）财务状况报告：投标人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 （2）税收缴纳证明：提供2025年8月1日以来任意一个月税收缴纳证明（至少包含增值税或企业所得税其中一种），依法免税或无需缴纳税收的单位应提供相关证明材料； （3）社会保障资金缴纳证明：提供2025年8月1日以来任意一个月的社会保障资金缴存单据或社保机构开具的社会保险参保缴费情况证明，依法不需要缴纳社会保障资金的单位应提供相关证明材料； （4）具备履行合同所必需的设备和专业技术能力的证明材料；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供应商须具备建设行政主管部门颁发的市政公用工程施工总承包三级（含三级）以上资质，企业具有有效的安全生产许可证；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拟派项目经理具备市政工程专业贰级及以上注册建造师资格，需在本企业注册、且具有有效的安全生产考核合格证书，无在建证明材料或书面承诺；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其它要求</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技术服务合同条款及其他商务要求应答表.docx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采购文件其他章节中对无效投标的规定。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包含成本目标、工期目标及质量目标②施工准备：包含技术准备、材料准备、机械准备及机具准备③施工安排：包含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①施工目标：每完全满足一个评审标准得1分，满分3分；每有一处描述有缺陷的扣0.5 分，该项扣完为止； ②施工准备：每完全满足一个评审标准得1分，满分3分；每有一处描述有缺陷的扣0.5 分，该项扣完为止； ③施工安排：每完全满足一个评审标准得1分，满分3分；每有一处描述有缺陷的扣0.5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1.施工部署.docx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供应商针对本项目编制完善的施工进度计划，内容包含：①施工总进度：包含施工进度目标、分项施工节点控制及施工进度计划安排②施工进度保障措施③进度计划和工期目标：提供施工计划网络图或横道图。 二、评审标准 1、完整性：方案必须全面，对评审内容中的各项要求有详细描述； 2、可实施性：切合本项目实际情况，提出步骤清晰、合理的方案； 3、针对性：方案能够紧扣项目实际情况，内容科学合理。 三、赋分标准（满分9分） ①施工总进度：每完全满足一个评审标准得1，满分3分； 每有一处描述有缺陷的扣0.5 分，该项扣完为止； ②施工进度保障措施：每完全满足一个评审标准得1分，满分3分；每有一处描述有缺陷的扣0.5 分，该项扣完为止； ③进度计划和工期目标：每完全满足一个评审标准得1分，满分3分；每有一处描述有缺陷的扣0.5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供应商针对本项目工程编制完善的质量保证措施，内容包含：①质量目标管理体系②施工质量检验制度③技术组织措施④材料储存方案。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①质量目标管理体系：每完全满足一个评审标准得1分，满分3分；每有一处描述有缺陷的扣0.5 分，该项扣完为止； ②施工质量检验制度：每完全满足一个评审标准得1分，满分3分；每有一处描述有缺陷的扣0.5 分，该项扣完为止； ③技术组织措施：每完全满足一个评审标准得0.5分，满分1.5分；每有一处描述有缺陷的扣0.25 分，该项扣完为止； ④材料储存方案：每完全满足一个评审标准得0.5分，满分1.5分；每有一处描述有缺陷的扣0.25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三、赋分标准（满分 12 分） ①安全管理体系：每完全满足一个评审标准得1 分，满分 3 分；每有一处描述有缺陷的扣0.5分，该项扣完为止； ②安全责任归属划分：每完全满足一个评审标准得 1 分，满分3分；每有一处描述有缺陷的扣0.5分，该项扣完为止； ③安全标识：每完全满足一个评审标准得1 分，满分3 分；每有一处描述有缺陷的扣0.5分，该项扣完为止； ④安全教育培训：每完全满足一个评审标准得 1 分，满分 3分；每有一处描述有缺陷的扣0.5分，该项扣完为止；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①文明施工管理目标及技术措施：每完全满足一个评审标准得1分，满分3分；每有一处描述有缺陷的扣0.5 分，该项扣完为止； ②文明施工现场管理：每完全满足一个评审标准得1分，满分3分；每有一处描述有缺陷的扣0.5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5文明施工措施.docx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1、完整性：方案须全面，对评审内容中的各项要求有详细描述及说明； 2、可实施性：切合本项目实际情况，实施步骤清晰、合理； 3、针对性：方案能够紧扣项目实际情况，内容科学合理。 三、赋分标准（满分3分） ①自然灾害应急措施：每完全满足一个评审标准得0.5 分，满分 1.5 分；每有一处描述有缺陷的扣0.25分，该项扣完为止； ②安全事故应急措施：每完全满足一个评审标准得0.5分，满分1.5分；每有一处描述有缺陷的扣0.25分，该项扣完为止。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6.应急措施.docx</w:t>
            </w:r>
          </w:p>
        </w:tc>
      </w:tr>
      <w:tr>
        <w:tc>
          <w:tcPr>
            <w:tcW w:type="dxa" w:w="831"/>
            <w:vMerge/>
          </w:tcPr>
          <w:p/>
        </w:tc>
        <w:tc>
          <w:tcPr>
            <w:tcW w:type="dxa" w:w="1661"/>
          </w:tcPr>
          <w:p>
            <w:pPr>
              <w:pStyle w:val="null3"/>
            </w:pPr>
            <w:r>
              <w:rPr>
                <w:rFonts w:ascii="仿宋_GB2312" w:hAnsi="仿宋_GB2312" w:cs="仿宋_GB2312" w:eastAsia="仿宋_GB2312"/>
              </w:rPr>
              <w:t>其他管理措施</w:t>
            </w:r>
          </w:p>
        </w:tc>
        <w:tc>
          <w:tcPr>
            <w:tcW w:type="dxa" w:w="2492"/>
          </w:tcPr>
          <w:p>
            <w:pPr>
              <w:pStyle w:val="null3"/>
            </w:pPr>
            <w:r>
              <w:rPr>
                <w:rFonts w:ascii="仿宋_GB2312" w:hAnsi="仿宋_GB2312" w:cs="仿宋_GB2312" w:eastAsia="仿宋_GB2312"/>
              </w:rPr>
              <w:t>一、评审内容 供应商针对本项目编制其他管理措施，内容包含：①成品保护措施②消防保卫措施③环保控制措施：包含污染物及废弃物处理的排放、噪音控制、防尘及扬尘的控制措施。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三、赋分标准（满分4.5分） ①成品保护措施：每完全满足一个评审标准得0.5分，满分1.5分；每有一处描述有缺陷的扣0.25分，该项扣完为止； ②消防保卫措施：每完全满足一个评审标准得0.5分，满分1.5分；每有一处描述有缺陷的扣0.25分，该项扣完为止； ③环保控制措施：每完全满足一个评审标准得0.5分，满分1.5分；每有一处描述有缺陷的扣0.25分，该项扣完为止；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7.其它管理措施.docx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三、赋分标准（满分4.5分） ①拟投入的主要施工机械设备计划：每完全满足一个评审标准得0.5分，满分1.5分；每有一处描述有缺陷的扣0.25分，该项扣完为止； ②主要材料进场计划：每完全满足一个评审标准得0.5分，满分1.5分；每有一处描述有缺陷的扣0.25分，该项扣完为止； ③劳动力投入计划：每完全满足一个评审标准得0.5分，满分1.5分；每有一处描述有缺陷的扣0.25分，该项扣完为止；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8.资源配置计划.docx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提供针对本项目拟派的人员配备清单（至少包含具体成员姓名、年龄、学历、职业资格证书、从业工作年限、岗位），① 人员配备详细名单及具体工作职责②团队人员工作经验 二、评审标准 1、完整性：方案须全面，对评审内容中的各项要求有详细描述及说明； 2、可实施性：切合本项目实际情况，实施步骤清晰、合理； 3、针对性：方案能够紧扣项目实际情况，内容科学合理。 三、赋分标准（满分 3 分） ① 人员配备详细名单及具体工作职责：提供证明材料每完全满足一个评审标准得0.5 分，满分1.5分；每有一处描述有缺陷的扣0.25分，该项扣完为止； ②团队人员工作经验：每完全满足一个评审标准得0.5 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9.人员配备.docx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 方案，内容包含：①验收方案②维保措施③保修责任及保修承诺④响应时间及方式。 二、评审标准 1、完整性：内容必须全面，对评审内容中的各项要求有详细描述； 2、落实性：切合项目具体情况，提出责任明确、要求具体的方案； 3、针对性：内容能够紧扣项目实际情况，内容科学合理。 三、赋分标准（满分6分） ①验收方案：每完全满足一个评审标准得 0.5 分，满分 1.5 分；每有一处描述有缺陷的扣0.25分，该项扣完为止； ②维保措施：每完全满足一个评审标准得 0.5 分，满分 1.5 分；每有一处描述有缺陷的扣0.25分，该项扣完为止； ③保修责任及保修承诺：每完全满足一个评审标准得 0.5 分，满分1.5 分；每有一处描述有缺陷的扣0.25分，该项扣完为止； ④响应时间及方式：每完全满足一个评审标准得 0.5 分，满分 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10.工程验收维护方案.docx</w:t>
            </w:r>
          </w:p>
        </w:tc>
      </w:tr>
      <w:tr>
        <w:tc>
          <w:tcPr>
            <w:tcW w:type="dxa" w:w="831"/>
            <w:vMerge/>
          </w:tcPr>
          <w:p/>
        </w:tc>
        <w:tc>
          <w:tcPr>
            <w:tcW w:type="dxa" w:w="1661"/>
          </w:tcPr>
          <w:p>
            <w:pPr>
              <w:pStyle w:val="null3"/>
            </w:pPr>
            <w:r>
              <w:rPr>
                <w:rFonts w:ascii="仿宋_GB2312" w:hAnsi="仿宋_GB2312" w:cs="仿宋_GB2312" w:eastAsia="仿宋_GB2312"/>
              </w:rPr>
              <w:t>工程重难点及解决措施</w:t>
            </w:r>
          </w:p>
        </w:tc>
        <w:tc>
          <w:tcPr>
            <w:tcW w:type="dxa" w:w="2492"/>
          </w:tcPr>
          <w:p>
            <w:pPr>
              <w:pStyle w:val="null3"/>
            </w:pPr>
            <w:r>
              <w:rPr>
                <w:rFonts w:ascii="仿宋_GB2312" w:hAnsi="仿宋_GB2312" w:cs="仿宋_GB2312" w:eastAsia="仿宋_GB2312"/>
              </w:rPr>
              <w:t>工程重难点及解决措施内容完整、可实施、且有针对性：4分； 工程重难点及解决措施内容完整、可实施：2分； 工程重难点及解决措施内容基本完整：1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11.工程重难点及解决措施.docx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2、有效最低评审价格得30分。 3、其他报价得分按（有效最低评审价格/评审价格）×30的公式计算其得分。 4、专门面向中小企业采购的项目或者采购包，不再执行价格评审优惠的扶持政策。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详见附件：1.施工部署.docx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详见附件：4安全施工措施.docx</w:t>
      </w:r>
    </w:p>
    <w:p>
      <w:pPr>
        <w:pStyle w:val="null3"/>
        <w:ind w:firstLine="960"/>
      </w:pPr>
      <w:r>
        <w:rPr>
          <w:rFonts w:ascii="仿宋_GB2312" w:hAnsi="仿宋_GB2312" w:cs="仿宋_GB2312" w:eastAsia="仿宋_GB2312"/>
        </w:rPr>
        <w:t>详见附件：5文明施工措施.docx</w:t>
      </w:r>
    </w:p>
    <w:p>
      <w:pPr>
        <w:pStyle w:val="null3"/>
        <w:ind w:firstLine="960"/>
      </w:pPr>
      <w:r>
        <w:rPr>
          <w:rFonts w:ascii="仿宋_GB2312" w:hAnsi="仿宋_GB2312" w:cs="仿宋_GB2312" w:eastAsia="仿宋_GB2312"/>
        </w:rPr>
        <w:t>详见附件：6.应急措施.docx</w:t>
      </w:r>
    </w:p>
    <w:p>
      <w:pPr>
        <w:pStyle w:val="null3"/>
        <w:ind w:firstLine="960"/>
      </w:pPr>
      <w:r>
        <w:rPr>
          <w:rFonts w:ascii="仿宋_GB2312" w:hAnsi="仿宋_GB2312" w:cs="仿宋_GB2312" w:eastAsia="仿宋_GB2312"/>
        </w:rPr>
        <w:t>详见附件：7.其它管理措施.docx</w:t>
      </w:r>
    </w:p>
    <w:p>
      <w:pPr>
        <w:pStyle w:val="null3"/>
        <w:ind w:firstLine="960"/>
      </w:pPr>
      <w:r>
        <w:rPr>
          <w:rFonts w:ascii="仿宋_GB2312" w:hAnsi="仿宋_GB2312" w:cs="仿宋_GB2312" w:eastAsia="仿宋_GB2312"/>
        </w:rPr>
        <w:t>详见附件：8.资源配置计划.docx</w:t>
      </w:r>
    </w:p>
    <w:p>
      <w:pPr>
        <w:pStyle w:val="null3"/>
        <w:ind w:firstLine="960"/>
      </w:pPr>
      <w:r>
        <w:rPr>
          <w:rFonts w:ascii="仿宋_GB2312" w:hAnsi="仿宋_GB2312" w:cs="仿宋_GB2312" w:eastAsia="仿宋_GB2312"/>
        </w:rPr>
        <w:t>详见附件：9.人员配备.docx</w:t>
      </w:r>
    </w:p>
    <w:p>
      <w:pPr>
        <w:pStyle w:val="null3"/>
        <w:ind w:firstLine="960"/>
      </w:pPr>
      <w:r>
        <w:rPr>
          <w:rFonts w:ascii="仿宋_GB2312" w:hAnsi="仿宋_GB2312" w:cs="仿宋_GB2312" w:eastAsia="仿宋_GB2312"/>
        </w:rPr>
        <w:t>详见附件：10.工程验收维护方案.docx</w:t>
      </w:r>
    </w:p>
    <w:p>
      <w:pPr>
        <w:pStyle w:val="null3"/>
        <w:ind w:firstLine="960"/>
      </w:pPr>
      <w:r>
        <w:rPr>
          <w:rFonts w:ascii="仿宋_GB2312" w:hAnsi="仿宋_GB2312" w:cs="仿宋_GB2312" w:eastAsia="仿宋_GB2312"/>
        </w:rPr>
        <w:t>详见附件：11.工程重难点及解决措施.docx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