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B70B73">
      <w:pPr>
        <w:pStyle w:val="6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1.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2109C89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textAlignment w:val="auto"/>
        <w:rPr>
          <w:rFonts w:hint="default" w:ascii="仿宋_GB2312" w:hAnsi="仿宋_GB2312" w:eastAsia="仿宋_GB2312" w:cs="仿宋_GB2312"/>
          <w:lang w:eastAsia="zh-CN"/>
        </w:rPr>
      </w:pPr>
      <w:r>
        <w:rPr>
          <w:rFonts w:ascii="仿宋_GB2312" w:hAnsi="仿宋_GB2312" w:eastAsia="仿宋_GB2312" w:cs="仿宋_GB2312"/>
        </w:rPr>
        <w:t>交通云平台及专网主干网维护</w:t>
      </w:r>
      <w:r>
        <w:rPr>
          <w:rFonts w:ascii="仿宋_GB2312" w:hAnsi="仿宋_GB2312" w:eastAsia="仿宋_GB2312" w:cs="仿宋_GB2312"/>
          <w:lang w:eastAsia="zh-CN"/>
        </w:rPr>
        <w:t>包括对交通云平台、交通行业专网主干网项目中的主机、存储、安全设备及相关硬件（含系统软件）进行维护，包括故障的分析排除、设备质保、备件管理和更换，以及网络的优化、调整、配置等运维保障，从而支撑交通专网主干网及云平台系统稳定运行。</w:t>
      </w:r>
    </w:p>
    <w:p w14:paraId="7BB63049">
      <w:pPr>
        <w:pStyle w:val="6"/>
        <w:outlineLvl w:val="2"/>
      </w:pPr>
      <w:r>
        <w:rPr>
          <w:rFonts w:ascii="仿宋_GB2312" w:hAnsi="仿宋_GB2312" w:eastAsia="仿宋_GB2312" w:cs="仿宋_GB2312"/>
          <w:b/>
          <w:sz w:val="28"/>
        </w:rPr>
        <w:t>2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.</w:t>
      </w:r>
      <w:r>
        <w:rPr>
          <w:rFonts w:ascii="仿宋_GB2312" w:hAnsi="仿宋_GB2312" w:eastAsia="仿宋_GB2312" w:cs="仿宋_GB2312"/>
          <w:b/>
          <w:sz w:val="28"/>
        </w:rPr>
        <w:t>服务内容及服务要求</w:t>
      </w:r>
    </w:p>
    <w:p w14:paraId="777D8E42">
      <w:pPr>
        <w:pStyle w:val="6"/>
        <w:outlineLvl w:val="3"/>
      </w:pPr>
      <w:r>
        <w:rPr>
          <w:rFonts w:ascii="仿宋_GB2312" w:hAnsi="仿宋_GB2312" w:eastAsia="仿宋_GB2312" w:cs="仿宋_GB2312"/>
          <w:b/>
          <w:sz w:val="24"/>
        </w:rPr>
        <w:t>2.1服务内容</w:t>
      </w:r>
    </w:p>
    <w:p w14:paraId="4FDD3C70">
      <w:pPr>
        <w:pStyle w:val="6"/>
      </w:pPr>
      <w:r>
        <w:rPr>
          <w:rFonts w:ascii="仿宋_GB2312" w:hAnsi="仿宋_GB2312" w:eastAsia="仿宋_GB2312" w:cs="仿宋_GB2312"/>
        </w:rPr>
        <w:t>采购包1：</w:t>
      </w:r>
    </w:p>
    <w:p w14:paraId="7BE2134D">
      <w:pPr>
        <w:pStyle w:val="6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采购包预算金额（元）:</w:t>
      </w:r>
      <w:r>
        <w:rPr>
          <w:rFonts w:hint="eastAsia" w:ascii="仿宋_GB2312" w:hAnsi="仿宋_GB2312" w:eastAsia="仿宋_GB2312" w:cs="仿宋_GB2312"/>
          <w:lang w:eastAsia="zh-CN"/>
        </w:rPr>
        <w:t>2050000.00</w:t>
      </w:r>
    </w:p>
    <w:p w14:paraId="65E4E4C5">
      <w:pPr>
        <w:pStyle w:val="6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hint="eastAsia" w:ascii="仿宋_GB2312" w:hAnsi="仿宋_GB2312" w:eastAsia="仿宋_GB2312" w:cs="仿宋_GB2312"/>
          <w:lang w:eastAsia="zh-CN"/>
        </w:rPr>
        <w:t>2050000.00</w:t>
      </w:r>
    </w:p>
    <w:p w14:paraId="63529812">
      <w:pPr>
        <w:pStyle w:val="6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8777499">
      <w:pPr>
        <w:pStyle w:val="6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987"/>
        <w:gridCol w:w="762"/>
        <w:gridCol w:w="1216"/>
        <w:gridCol w:w="811"/>
        <w:gridCol w:w="811"/>
        <w:gridCol w:w="811"/>
        <w:gridCol w:w="811"/>
        <w:gridCol w:w="811"/>
        <w:gridCol w:w="811"/>
      </w:tblGrid>
      <w:tr w14:paraId="09A363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 w14:paraId="6D0EC26F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987" w:type="dxa"/>
          </w:tcPr>
          <w:p w14:paraId="0EA789AB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62" w:type="dxa"/>
          </w:tcPr>
          <w:p w14:paraId="48E65E3C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28DE4D15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11" w:type="dxa"/>
          </w:tcPr>
          <w:p w14:paraId="0F14F64C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11" w:type="dxa"/>
          </w:tcPr>
          <w:p w14:paraId="6A5445F9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11" w:type="dxa"/>
          </w:tcPr>
          <w:p w14:paraId="021510A4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811" w:type="dxa"/>
          </w:tcPr>
          <w:p w14:paraId="684E085E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811" w:type="dxa"/>
          </w:tcPr>
          <w:p w14:paraId="0B727B50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811" w:type="dxa"/>
          </w:tcPr>
          <w:p w14:paraId="09463A06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</w:tr>
      <w:tr w14:paraId="6C336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 w14:paraId="4DEBA050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87" w:type="dxa"/>
          </w:tcPr>
          <w:p w14:paraId="43E736B4">
            <w:pPr>
              <w:pStyle w:val="6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交通云平台及专网主干网设备维护</w:t>
            </w:r>
          </w:p>
        </w:tc>
        <w:tc>
          <w:tcPr>
            <w:tcW w:w="762" w:type="dxa"/>
          </w:tcPr>
          <w:p w14:paraId="54BA8643">
            <w:pPr>
              <w:pStyle w:val="6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1E9F664B">
            <w:pPr>
              <w:pStyle w:val="6"/>
              <w:jc w:val="right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2050000.00</w:t>
            </w:r>
          </w:p>
        </w:tc>
        <w:tc>
          <w:tcPr>
            <w:tcW w:w="811" w:type="dxa"/>
          </w:tcPr>
          <w:p w14:paraId="5C14F5A7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811" w:type="dxa"/>
          </w:tcPr>
          <w:p w14:paraId="3B427BCA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811" w:type="dxa"/>
          </w:tcPr>
          <w:p w14:paraId="60BCDC00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11" w:type="dxa"/>
          </w:tcPr>
          <w:p w14:paraId="32EC90BE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11" w:type="dxa"/>
          </w:tcPr>
          <w:p w14:paraId="265605C1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11" w:type="dxa"/>
          </w:tcPr>
          <w:p w14:paraId="6540004B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DDCAA9E">
      <w:pPr>
        <w:pStyle w:val="6"/>
        <w:outlineLvl w:val="3"/>
      </w:pPr>
      <w:r>
        <w:rPr>
          <w:rFonts w:ascii="仿宋_GB2312" w:hAnsi="仿宋_GB2312" w:eastAsia="仿宋_GB2312" w:cs="仿宋_GB2312"/>
          <w:b/>
          <w:sz w:val="24"/>
        </w:rPr>
        <w:t>2.2服务要求</w:t>
      </w:r>
      <w:bookmarkStart w:id="1" w:name="_GoBack"/>
      <w:bookmarkEnd w:id="1"/>
    </w:p>
    <w:p w14:paraId="6A6CB502">
      <w:pPr>
        <w:pStyle w:val="6"/>
      </w:pPr>
      <w:r>
        <w:rPr>
          <w:rFonts w:ascii="仿宋_GB2312" w:hAnsi="仿宋_GB2312" w:eastAsia="仿宋_GB2312" w:cs="仿宋_GB2312"/>
        </w:rPr>
        <w:t>采购包1：</w:t>
      </w:r>
    </w:p>
    <w:p w14:paraId="454174BD">
      <w:pPr>
        <w:pStyle w:val="6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  <w:lang w:eastAsia="zh-CN"/>
        </w:rPr>
        <w:t>交通云平台及专网主干网设备维护</w:t>
      </w:r>
    </w:p>
    <w:tbl>
      <w:tblPr>
        <w:tblStyle w:val="3"/>
        <w:tblW w:w="852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640"/>
        <w:gridCol w:w="7194"/>
      </w:tblGrid>
      <w:tr w14:paraId="717D5E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 w14:paraId="1CDD556F">
            <w:pPr>
              <w:pStyle w:val="6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40" w:type="dxa"/>
          </w:tcPr>
          <w:p w14:paraId="6CEE7659">
            <w:pPr>
              <w:pStyle w:val="6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194" w:type="dxa"/>
          </w:tcPr>
          <w:p w14:paraId="06F15A97">
            <w:pPr>
              <w:pStyle w:val="6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1D65CE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 w14:paraId="71BF7758">
            <w:pPr>
              <w:pStyle w:val="6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40" w:type="dxa"/>
          </w:tcPr>
          <w:p w14:paraId="3625DFC5">
            <w:pPr>
              <w:pStyle w:val="6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194" w:type="dxa"/>
          </w:tcPr>
          <w:p w14:paraId="0C2216B5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运维内容</w:t>
            </w:r>
          </w:p>
          <w:p w14:paraId="2247C138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1.1 软硬件维保</w:t>
            </w:r>
          </w:p>
          <w:p w14:paraId="26BCA032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（1）云平台涉及主要硬件设备和基础软件维保工作，其中备份软件（壹进制 UnaDPMSoft）、下一代防火墙、WEB安全网关、下一代防火墙40GE、云安全资源防护、统一身份认证和单点登录等必须购买原厂服务（1年），提供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能够</w:t>
            </w:r>
            <w:r>
              <w:rPr>
                <w:rFonts w:hint="eastAsia" w:ascii="仿宋_GB2312" w:hAnsi="仿宋_GB2312" w:eastAsia="仿宋_GB2312" w:cs="仿宋_GB2312"/>
              </w:rPr>
              <w:t>原厂服务承诺函；其他设备和软件由投标人自行决定是否购买原厂服务，如未购买原厂服务，由投标人提供服务承诺函，在运维期内出现问题需服务、更换、维修的，由投标人负责。</w:t>
            </w:r>
          </w:p>
          <w:p w14:paraId="25834E6A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软硬件设备分别位于茶张路1号陕西省信息化中心机房及唐延路6号陕西省交通厅机房。</w:t>
            </w:r>
          </w:p>
          <w:p w14:paraId="1B3EBD36">
            <w:pPr>
              <w:pStyle w:val="6"/>
              <w:rPr>
                <w:rFonts w:ascii="仿宋_GB2312" w:hAnsi="仿宋_GB2312" w:eastAsia="仿宋_GB2312" w:cs="仿宋_GB2312"/>
                <w:lang w:eastAsia="zh-Hans"/>
              </w:rPr>
            </w:pPr>
            <w:r>
              <w:rPr>
                <w:rFonts w:hint="eastAsia" w:ascii="仿宋_GB2312" w:hAnsi="仿宋_GB2312" w:eastAsia="仿宋_GB2312" w:cs="仿宋_GB2312"/>
              </w:rPr>
              <w:t>云平台</w:t>
            </w:r>
            <w:r>
              <w:rPr>
                <w:rFonts w:hint="eastAsia" w:ascii="仿宋_GB2312" w:hAnsi="仿宋_GB2312" w:eastAsia="仿宋_GB2312" w:cs="仿宋_GB2312"/>
                <w:lang w:eastAsia="zh-Hans"/>
              </w:rPr>
              <w:t>陕西省信息化中心机房软硬件维保清单如下：</w:t>
            </w:r>
          </w:p>
          <w:tbl>
            <w:tblPr>
              <w:tblStyle w:val="3"/>
              <w:tblW w:w="6956" w:type="dxa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29"/>
              <w:gridCol w:w="1734"/>
              <w:gridCol w:w="2651"/>
              <w:gridCol w:w="690"/>
              <w:gridCol w:w="626"/>
              <w:gridCol w:w="626"/>
            </w:tblGrid>
            <w:tr w14:paraId="297E6EE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2" w:hRule="atLeast"/>
              </w:trPr>
              <w:tc>
                <w:tcPr>
                  <w:tcW w:w="629" w:type="dxa"/>
                  <w:vAlign w:val="center"/>
                </w:tcPr>
                <w:p w14:paraId="68C9DB10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1734" w:type="dxa"/>
                  <w:vAlign w:val="center"/>
                </w:tcPr>
                <w:p w14:paraId="70BE8360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设备/软件名称</w:t>
                  </w:r>
                </w:p>
              </w:tc>
              <w:tc>
                <w:tcPr>
                  <w:tcW w:w="2651" w:type="dxa"/>
                  <w:vAlign w:val="center"/>
                </w:tcPr>
                <w:p w14:paraId="6A2D426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品牌型号</w:t>
                  </w:r>
                </w:p>
              </w:tc>
              <w:tc>
                <w:tcPr>
                  <w:tcW w:w="690" w:type="dxa"/>
                  <w:vAlign w:val="center"/>
                </w:tcPr>
                <w:p w14:paraId="1584CD8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 xml:space="preserve">数量 </w:t>
                  </w:r>
                </w:p>
              </w:tc>
              <w:tc>
                <w:tcPr>
                  <w:tcW w:w="626" w:type="dxa"/>
                  <w:vAlign w:val="center"/>
                </w:tcPr>
                <w:p w14:paraId="47D2024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单位</w:t>
                  </w:r>
                </w:p>
              </w:tc>
              <w:tc>
                <w:tcPr>
                  <w:tcW w:w="626" w:type="dxa"/>
                  <w:vAlign w:val="center"/>
                </w:tcPr>
                <w:p w14:paraId="10395FF6">
                  <w:pPr>
                    <w:pStyle w:val="6"/>
                    <w:rPr>
                      <w:rFonts w:hint="default" w:ascii="仿宋_GB2312" w:hAnsi="仿宋_GB2312" w:eastAsia="仿宋_GB2312" w:cs="仿宋_GB2312"/>
                    </w:rPr>
                  </w:pPr>
                  <w:r>
                    <w:rPr>
                      <w:rFonts w:ascii="仿宋_GB2312" w:hAnsi="仿宋_GB2312" w:eastAsia="仿宋_GB2312" w:cs="仿宋_GB2312"/>
                      <w:lang w:eastAsia="zh-CN"/>
                    </w:rPr>
                    <w:t>备注</w:t>
                  </w:r>
                </w:p>
              </w:tc>
            </w:tr>
            <w:tr w14:paraId="288364D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3" w:hRule="atLeast"/>
              </w:trPr>
              <w:tc>
                <w:tcPr>
                  <w:tcW w:w="629" w:type="dxa"/>
                  <w:vAlign w:val="center"/>
                </w:tcPr>
                <w:p w14:paraId="5311F7A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1734" w:type="dxa"/>
                  <w:vAlign w:val="center"/>
                </w:tcPr>
                <w:p w14:paraId="2AD6BB0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计算服务器</w:t>
                  </w:r>
                </w:p>
              </w:tc>
              <w:tc>
                <w:tcPr>
                  <w:tcW w:w="2651" w:type="dxa"/>
                  <w:vAlign w:val="center"/>
                </w:tcPr>
                <w:p w14:paraId="521B24E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 UIS-Cell3010 G3</w:t>
                  </w:r>
                </w:p>
              </w:tc>
              <w:tc>
                <w:tcPr>
                  <w:tcW w:w="690" w:type="dxa"/>
                  <w:vAlign w:val="center"/>
                </w:tcPr>
                <w:p w14:paraId="4CE2DA3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40</w:t>
                  </w:r>
                </w:p>
              </w:tc>
              <w:tc>
                <w:tcPr>
                  <w:tcW w:w="626" w:type="dxa"/>
                  <w:vAlign w:val="center"/>
                </w:tcPr>
                <w:p w14:paraId="0736FCD7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1DA420E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1330213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3" w:hRule="atLeast"/>
              </w:trPr>
              <w:tc>
                <w:tcPr>
                  <w:tcW w:w="629" w:type="dxa"/>
                  <w:vAlign w:val="center"/>
                </w:tcPr>
                <w:p w14:paraId="26545F6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1734" w:type="dxa"/>
                  <w:vAlign w:val="center"/>
                </w:tcPr>
                <w:p w14:paraId="5E36618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数据服务器</w:t>
                  </w:r>
                </w:p>
              </w:tc>
              <w:tc>
                <w:tcPr>
                  <w:tcW w:w="2651" w:type="dxa"/>
                  <w:vAlign w:val="center"/>
                </w:tcPr>
                <w:p w14:paraId="4764077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 UIS-Cell6000 G3</w:t>
                  </w:r>
                </w:p>
              </w:tc>
              <w:tc>
                <w:tcPr>
                  <w:tcW w:w="690" w:type="dxa"/>
                  <w:vAlign w:val="center"/>
                </w:tcPr>
                <w:p w14:paraId="455BC5F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626" w:type="dxa"/>
                  <w:vAlign w:val="center"/>
                </w:tcPr>
                <w:p w14:paraId="056EAB4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3433B2BE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7558641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3" w:hRule="atLeast"/>
              </w:trPr>
              <w:tc>
                <w:tcPr>
                  <w:tcW w:w="629" w:type="dxa"/>
                  <w:vAlign w:val="center"/>
                </w:tcPr>
                <w:p w14:paraId="09BB1E9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1734" w:type="dxa"/>
                  <w:vAlign w:val="center"/>
                </w:tcPr>
                <w:p w14:paraId="496C41C0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部署服务器</w:t>
                  </w:r>
                </w:p>
              </w:tc>
              <w:tc>
                <w:tcPr>
                  <w:tcW w:w="2651" w:type="dxa"/>
                  <w:vAlign w:val="center"/>
                </w:tcPr>
                <w:p w14:paraId="3F75D47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 UIS-Cell3010 G3</w:t>
                  </w:r>
                </w:p>
              </w:tc>
              <w:tc>
                <w:tcPr>
                  <w:tcW w:w="690" w:type="dxa"/>
                  <w:vAlign w:val="center"/>
                </w:tcPr>
                <w:p w14:paraId="70C3C54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626" w:type="dxa"/>
                  <w:vAlign w:val="center"/>
                </w:tcPr>
                <w:p w14:paraId="18A885A9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1A371E5F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4905F9D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9" w:hRule="atLeast"/>
              </w:trPr>
              <w:tc>
                <w:tcPr>
                  <w:tcW w:w="629" w:type="dxa"/>
                  <w:vAlign w:val="center"/>
                </w:tcPr>
                <w:p w14:paraId="79A2BFF9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1734" w:type="dxa"/>
                  <w:vAlign w:val="center"/>
                </w:tcPr>
                <w:p w14:paraId="40B6E327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云平台管理服务器</w:t>
                  </w:r>
                </w:p>
              </w:tc>
              <w:tc>
                <w:tcPr>
                  <w:tcW w:w="2651" w:type="dxa"/>
                  <w:vAlign w:val="center"/>
                </w:tcPr>
                <w:p w14:paraId="09ED654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 UIS-Cell3010 G3</w:t>
                  </w:r>
                </w:p>
              </w:tc>
              <w:tc>
                <w:tcPr>
                  <w:tcW w:w="690" w:type="dxa"/>
                  <w:vAlign w:val="center"/>
                </w:tcPr>
                <w:p w14:paraId="20C89AB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626" w:type="dxa"/>
                  <w:vAlign w:val="center"/>
                </w:tcPr>
                <w:p w14:paraId="27A3FAA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5CDBC800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685B1B9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74539A0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1734" w:type="dxa"/>
                  <w:vAlign w:val="center"/>
                </w:tcPr>
                <w:p w14:paraId="2A19DEF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业务核心交换机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0FF6DCB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CE16808</w:t>
                  </w:r>
                </w:p>
              </w:tc>
              <w:tc>
                <w:tcPr>
                  <w:tcW w:w="690" w:type="dxa"/>
                  <w:vAlign w:val="center"/>
                </w:tcPr>
                <w:p w14:paraId="08F5DAD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272490C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323BD689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6CFDF7E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5196D6A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1734" w:type="dxa"/>
                  <w:vAlign w:val="center"/>
                </w:tcPr>
                <w:p w14:paraId="37E3976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业务汇聚交换机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2DCAAD77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S7706</w:t>
                  </w:r>
                </w:p>
              </w:tc>
              <w:tc>
                <w:tcPr>
                  <w:tcW w:w="690" w:type="dxa"/>
                  <w:vAlign w:val="center"/>
                </w:tcPr>
                <w:p w14:paraId="4B5697B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626" w:type="dxa"/>
                  <w:vAlign w:val="center"/>
                </w:tcPr>
                <w:p w14:paraId="78BF6D30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22156DD4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5A61FE5F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1BC697C3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7</w:t>
                  </w:r>
                </w:p>
              </w:tc>
              <w:tc>
                <w:tcPr>
                  <w:tcW w:w="1734" w:type="dxa"/>
                  <w:vAlign w:val="center"/>
                </w:tcPr>
                <w:p w14:paraId="348DBCB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业务接入交换机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201E923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CE6881-48S6CQ</w:t>
                  </w:r>
                </w:p>
              </w:tc>
              <w:tc>
                <w:tcPr>
                  <w:tcW w:w="690" w:type="dxa"/>
                  <w:vAlign w:val="center"/>
                </w:tcPr>
                <w:p w14:paraId="42384863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16</w:t>
                  </w:r>
                </w:p>
              </w:tc>
              <w:tc>
                <w:tcPr>
                  <w:tcW w:w="626" w:type="dxa"/>
                  <w:vAlign w:val="center"/>
                </w:tcPr>
                <w:p w14:paraId="0735F78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11B2F1D8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F1E2C07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362C937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8</w:t>
                  </w:r>
                </w:p>
              </w:tc>
              <w:tc>
                <w:tcPr>
                  <w:tcW w:w="1734" w:type="dxa"/>
                  <w:vAlign w:val="center"/>
                </w:tcPr>
                <w:p w14:paraId="48F32307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托管接入交换机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71BF79A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S5730-36C-HI</w:t>
                  </w:r>
                </w:p>
              </w:tc>
              <w:tc>
                <w:tcPr>
                  <w:tcW w:w="690" w:type="dxa"/>
                  <w:vAlign w:val="center"/>
                </w:tcPr>
                <w:p w14:paraId="6376633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520A81B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38EAF5EC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B74507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58D8AC9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9</w:t>
                  </w:r>
                </w:p>
              </w:tc>
              <w:tc>
                <w:tcPr>
                  <w:tcW w:w="1734" w:type="dxa"/>
                  <w:vAlign w:val="center"/>
                </w:tcPr>
                <w:p w14:paraId="327C6387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管理区汇聚交换机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3411532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S5731-H48T4XC</w:t>
                  </w:r>
                </w:p>
              </w:tc>
              <w:tc>
                <w:tcPr>
                  <w:tcW w:w="690" w:type="dxa"/>
                  <w:vAlign w:val="center"/>
                </w:tcPr>
                <w:p w14:paraId="2A74570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6CCB9FE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08EE24F5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2C8AF02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7C678FA9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1734" w:type="dxa"/>
                  <w:vAlign w:val="center"/>
                </w:tcPr>
                <w:p w14:paraId="7BE42427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带外管理接入交换机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2716187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S5731-S24T4X</w:t>
                  </w:r>
                </w:p>
              </w:tc>
              <w:tc>
                <w:tcPr>
                  <w:tcW w:w="690" w:type="dxa"/>
                  <w:vAlign w:val="center"/>
                </w:tcPr>
                <w:p w14:paraId="110CC7B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626" w:type="dxa"/>
                  <w:vAlign w:val="center"/>
                </w:tcPr>
                <w:p w14:paraId="6F76E87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1BF5E428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3A20233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2" w:hRule="atLeast"/>
              </w:trPr>
              <w:tc>
                <w:tcPr>
                  <w:tcW w:w="629" w:type="dxa"/>
                  <w:vAlign w:val="center"/>
                </w:tcPr>
                <w:p w14:paraId="1BFFA3E7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11</w:t>
                  </w:r>
                </w:p>
              </w:tc>
              <w:tc>
                <w:tcPr>
                  <w:tcW w:w="1734" w:type="dxa"/>
                  <w:vAlign w:val="center"/>
                </w:tcPr>
                <w:p w14:paraId="70E5305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大容量存储</w:t>
                  </w:r>
                </w:p>
              </w:tc>
              <w:tc>
                <w:tcPr>
                  <w:tcW w:w="2651" w:type="dxa"/>
                  <w:vAlign w:val="center"/>
                </w:tcPr>
                <w:p w14:paraId="343BBC3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OceanStor 5510 V5</w:t>
                  </w:r>
                </w:p>
              </w:tc>
              <w:tc>
                <w:tcPr>
                  <w:tcW w:w="690" w:type="dxa"/>
                  <w:vAlign w:val="center"/>
                </w:tcPr>
                <w:p w14:paraId="4F87C53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3628A34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71FAFF3A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8B7692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664D259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12</w:t>
                  </w:r>
                </w:p>
              </w:tc>
              <w:tc>
                <w:tcPr>
                  <w:tcW w:w="1734" w:type="dxa"/>
                  <w:vAlign w:val="center"/>
                </w:tcPr>
                <w:p w14:paraId="2564ABE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全闪双活存储</w:t>
                  </w:r>
                </w:p>
              </w:tc>
              <w:tc>
                <w:tcPr>
                  <w:tcW w:w="2651" w:type="dxa"/>
                  <w:vAlign w:val="center"/>
                </w:tcPr>
                <w:p w14:paraId="6DF5FBC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OceanStor Dorado 5500 V6</w:t>
                  </w:r>
                </w:p>
              </w:tc>
              <w:tc>
                <w:tcPr>
                  <w:tcW w:w="690" w:type="dxa"/>
                  <w:vAlign w:val="center"/>
                </w:tcPr>
                <w:p w14:paraId="7EDCB01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09D442B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B32E1E2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6786700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6B8C98A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13</w:t>
                  </w:r>
                </w:p>
              </w:tc>
              <w:tc>
                <w:tcPr>
                  <w:tcW w:w="1734" w:type="dxa"/>
                  <w:vAlign w:val="center"/>
                </w:tcPr>
                <w:p w14:paraId="23D8D41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光纤交换机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5C3F8AC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思科 MDS 9396S</w:t>
                  </w:r>
                </w:p>
              </w:tc>
              <w:tc>
                <w:tcPr>
                  <w:tcW w:w="690" w:type="dxa"/>
                  <w:vAlign w:val="center"/>
                </w:tcPr>
                <w:p w14:paraId="0EEB527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3AB537B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3C7DD14E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AC1159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2" w:hRule="atLeast"/>
              </w:trPr>
              <w:tc>
                <w:tcPr>
                  <w:tcW w:w="629" w:type="dxa"/>
                  <w:vAlign w:val="center"/>
                </w:tcPr>
                <w:p w14:paraId="4611B28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14</w:t>
                  </w:r>
                </w:p>
              </w:tc>
              <w:tc>
                <w:tcPr>
                  <w:tcW w:w="1734" w:type="dxa"/>
                  <w:vAlign w:val="center"/>
                </w:tcPr>
                <w:p w14:paraId="0FC3A47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本地备份存储</w:t>
                  </w:r>
                </w:p>
              </w:tc>
              <w:tc>
                <w:tcPr>
                  <w:tcW w:w="2651" w:type="dxa"/>
                  <w:vAlign w:val="center"/>
                </w:tcPr>
                <w:p w14:paraId="43B4DA0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OceanStor 5310 V5</w:t>
                  </w:r>
                </w:p>
              </w:tc>
              <w:tc>
                <w:tcPr>
                  <w:tcW w:w="690" w:type="dxa"/>
                  <w:vAlign w:val="center"/>
                </w:tcPr>
                <w:p w14:paraId="1A705709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123BE410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463667F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795B819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386D04B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15</w:t>
                  </w:r>
                </w:p>
              </w:tc>
              <w:tc>
                <w:tcPr>
                  <w:tcW w:w="1734" w:type="dxa"/>
                  <w:vAlign w:val="center"/>
                </w:tcPr>
                <w:p w14:paraId="3B7F7C8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异地数据容灾存储</w:t>
                  </w:r>
                </w:p>
              </w:tc>
              <w:tc>
                <w:tcPr>
                  <w:tcW w:w="2651" w:type="dxa"/>
                  <w:vAlign w:val="center"/>
                </w:tcPr>
                <w:p w14:paraId="2159F7B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OceanStor 5310 V5</w:t>
                  </w:r>
                </w:p>
              </w:tc>
              <w:tc>
                <w:tcPr>
                  <w:tcW w:w="690" w:type="dxa"/>
                  <w:vAlign w:val="center"/>
                </w:tcPr>
                <w:p w14:paraId="092BFCB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51C6E50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7EE0E4B3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7F70DB4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2" w:hRule="atLeast"/>
              </w:trPr>
              <w:tc>
                <w:tcPr>
                  <w:tcW w:w="629" w:type="dxa"/>
                  <w:vAlign w:val="center"/>
                </w:tcPr>
                <w:p w14:paraId="4300741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16</w:t>
                  </w:r>
                </w:p>
              </w:tc>
              <w:tc>
                <w:tcPr>
                  <w:tcW w:w="1734" w:type="dxa"/>
                  <w:vAlign w:val="center"/>
                </w:tcPr>
                <w:p w14:paraId="0340398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存储扩容</w:t>
                  </w:r>
                </w:p>
              </w:tc>
              <w:tc>
                <w:tcPr>
                  <w:tcW w:w="2651" w:type="dxa"/>
                  <w:vAlign w:val="center"/>
                </w:tcPr>
                <w:p w14:paraId="53F61E7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OceanStor 5310 V5</w:t>
                  </w:r>
                </w:p>
              </w:tc>
              <w:tc>
                <w:tcPr>
                  <w:tcW w:w="690" w:type="dxa"/>
                  <w:vAlign w:val="center"/>
                </w:tcPr>
                <w:p w14:paraId="66ADBFF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716A50C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27A5518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0E23BD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68989D7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17</w:t>
                  </w:r>
                </w:p>
              </w:tc>
              <w:tc>
                <w:tcPr>
                  <w:tcW w:w="1734" w:type="dxa"/>
                  <w:vAlign w:val="center"/>
                </w:tcPr>
                <w:p w14:paraId="3B2069A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出口链路负载均衡</w:t>
                  </w:r>
                </w:p>
              </w:tc>
              <w:tc>
                <w:tcPr>
                  <w:tcW w:w="2651" w:type="dxa"/>
                  <w:vAlign w:val="center"/>
                </w:tcPr>
                <w:p w14:paraId="362D141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深信服 AD-1000-E640-U9</w:t>
                  </w:r>
                </w:p>
              </w:tc>
              <w:tc>
                <w:tcPr>
                  <w:tcW w:w="690" w:type="dxa"/>
                  <w:vAlign w:val="center"/>
                </w:tcPr>
                <w:p w14:paraId="0C73C3A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76C4D94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B549D37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35F377B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2" w:hRule="atLeast"/>
              </w:trPr>
              <w:tc>
                <w:tcPr>
                  <w:tcW w:w="629" w:type="dxa"/>
                  <w:vAlign w:val="center"/>
                </w:tcPr>
                <w:p w14:paraId="7F9E761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18</w:t>
                  </w:r>
                </w:p>
              </w:tc>
              <w:tc>
                <w:tcPr>
                  <w:tcW w:w="1734" w:type="dxa"/>
                  <w:vAlign w:val="center"/>
                </w:tcPr>
                <w:p w14:paraId="62B7B44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下一代防火墙</w:t>
                  </w:r>
                </w:p>
              </w:tc>
              <w:tc>
                <w:tcPr>
                  <w:tcW w:w="2651" w:type="dxa"/>
                  <w:vAlign w:val="center"/>
                </w:tcPr>
                <w:p w14:paraId="1CDD971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 NSG5000-TG15M-Q</w:t>
                  </w:r>
                </w:p>
              </w:tc>
              <w:tc>
                <w:tcPr>
                  <w:tcW w:w="690" w:type="dxa"/>
                  <w:vAlign w:val="center"/>
                </w:tcPr>
                <w:p w14:paraId="6140D8A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8</w:t>
                  </w:r>
                </w:p>
              </w:tc>
              <w:tc>
                <w:tcPr>
                  <w:tcW w:w="626" w:type="dxa"/>
                  <w:vAlign w:val="center"/>
                </w:tcPr>
                <w:p w14:paraId="29B093A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379EAB7B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635F0D6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22F7B7A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19</w:t>
                  </w:r>
                </w:p>
              </w:tc>
              <w:tc>
                <w:tcPr>
                  <w:tcW w:w="1734" w:type="dxa"/>
                  <w:vAlign w:val="center"/>
                </w:tcPr>
                <w:p w14:paraId="148D97F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入侵防御</w:t>
                  </w:r>
                </w:p>
              </w:tc>
              <w:tc>
                <w:tcPr>
                  <w:tcW w:w="2651" w:type="dxa"/>
                  <w:vAlign w:val="center"/>
                </w:tcPr>
                <w:p w14:paraId="0A4A57C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P7000-TX14M</w:t>
                  </w:r>
                </w:p>
              </w:tc>
              <w:tc>
                <w:tcPr>
                  <w:tcW w:w="690" w:type="dxa"/>
                  <w:vAlign w:val="center"/>
                </w:tcPr>
                <w:p w14:paraId="024D9C6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3DD7B589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300711F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7775AB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01F150B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20</w:t>
                  </w:r>
                </w:p>
              </w:tc>
              <w:tc>
                <w:tcPr>
                  <w:tcW w:w="1734" w:type="dxa"/>
                  <w:vAlign w:val="center"/>
                </w:tcPr>
                <w:p w14:paraId="2EC0C49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VPN网关</w:t>
                  </w:r>
                </w:p>
              </w:tc>
              <w:tc>
                <w:tcPr>
                  <w:tcW w:w="2651" w:type="dxa"/>
                  <w:vAlign w:val="center"/>
                </w:tcPr>
                <w:p w14:paraId="7827556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深信服 VPN-1000-E620-LV</w:t>
                  </w:r>
                </w:p>
              </w:tc>
              <w:tc>
                <w:tcPr>
                  <w:tcW w:w="690" w:type="dxa"/>
                  <w:vAlign w:val="center"/>
                </w:tcPr>
                <w:p w14:paraId="24E4E55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1D7F81B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784B6371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1854DD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7135537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21</w:t>
                  </w:r>
                </w:p>
              </w:tc>
              <w:tc>
                <w:tcPr>
                  <w:tcW w:w="1734" w:type="dxa"/>
                  <w:vAlign w:val="center"/>
                </w:tcPr>
                <w:p w14:paraId="1B976DC9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下一代防火墙40GE</w:t>
                  </w:r>
                </w:p>
              </w:tc>
              <w:tc>
                <w:tcPr>
                  <w:tcW w:w="2651" w:type="dxa"/>
                  <w:vAlign w:val="center"/>
                </w:tcPr>
                <w:p w14:paraId="4E6B284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NSG9000TZ30M-Q</w:t>
                  </w:r>
                </w:p>
              </w:tc>
              <w:tc>
                <w:tcPr>
                  <w:tcW w:w="690" w:type="dxa"/>
                  <w:vAlign w:val="center"/>
                </w:tcPr>
                <w:p w14:paraId="11D7FB2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626" w:type="dxa"/>
                  <w:vAlign w:val="center"/>
                </w:tcPr>
                <w:p w14:paraId="0C17E75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15A61FB0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4E7B1B0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5A4E8DF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22</w:t>
                  </w:r>
                </w:p>
              </w:tc>
              <w:tc>
                <w:tcPr>
                  <w:tcW w:w="1734" w:type="dxa"/>
                  <w:vAlign w:val="center"/>
                </w:tcPr>
                <w:p w14:paraId="671A5D1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WEB安全网关</w:t>
                  </w:r>
                </w:p>
              </w:tc>
              <w:tc>
                <w:tcPr>
                  <w:tcW w:w="2651" w:type="dxa"/>
                  <w:vAlign w:val="center"/>
                </w:tcPr>
                <w:p w14:paraId="44CEFF11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W1500-U010P</w:t>
                  </w:r>
                </w:p>
              </w:tc>
              <w:tc>
                <w:tcPr>
                  <w:tcW w:w="690" w:type="dxa"/>
                  <w:vAlign w:val="center"/>
                </w:tcPr>
                <w:p w14:paraId="2E018F4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26E43BF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06F35B94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5ECFCC5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2" w:hRule="atLeast"/>
              </w:trPr>
              <w:tc>
                <w:tcPr>
                  <w:tcW w:w="629" w:type="dxa"/>
                  <w:vAlign w:val="center"/>
                </w:tcPr>
                <w:p w14:paraId="448E981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23</w:t>
                  </w:r>
                </w:p>
              </w:tc>
              <w:tc>
                <w:tcPr>
                  <w:tcW w:w="1734" w:type="dxa"/>
                  <w:vAlign w:val="center"/>
                </w:tcPr>
                <w:p w14:paraId="643D6AD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应用负载均衡</w:t>
                  </w:r>
                </w:p>
              </w:tc>
              <w:tc>
                <w:tcPr>
                  <w:tcW w:w="2651" w:type="dxa"/>
                  <w:vAlign w:val="center"/>
                </w:tcPr>
                <w:p w14:paraId="72F4C49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深信服 AD-1000-G642-U9</w:t>
                  </w:r>
                </w:p>
              </w:tc>
              <w:tc>
                <w:tcPr>
                  <w:tcW w:w="690" w:type="dxa"/>
                  <w:vAlign w:val="center"/>
                </w:tcPr>
                <w:p w14:paraId="1BC2F8C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0B20615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A43ED21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4482381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4F96E18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24</w:t>
                  </w:r>
                </w:p>
              </w:tc>
              <w:tc>
                <w:tcPr>
                  <w:tcW w:w="1734" w:type="dxa"/>
                  <w:vAlign w:val="center"/>
                </w:tcPr>
                <w:p w14:paraId="01A58A7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入侵检测IDS</w:t>
                  </w:r>
                </w:p>
              </w:tc>
              <w:tc>
                <w:tcPr>
                  <w:tcW w:w="2651" w:type="dxa"/>
                  <w:vAlign w:val="center"/>
                </w:tcPr>
                <w:p w14:paraId="2A7AF58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D7000-TX24M</w:t>
                  </w:r>
                </w:p>
              </w:tc>
              <w:tc>
                <w:tcPr>
                  <w:tcW w:w="690" w:type="dxa"/>
                  <w:vAlign w:val="center"/>
                </w:tcPr>
                <w:p w14:paraId="6EFB435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26" w:type="dxa"/>
                  <w:vAlign w:val="center"/>
                </w:tcPr>
                <w:p w14:paraId="7196192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47315036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70FCD86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647765B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25</w:t>
                  </w:r>
                </w:p>
              </w:tc>
              <w:tc>
                <w:tcPr>
                  <w:tcW w:w="1734" w:type="dxa"/>
                  <w:vAlign w:val="center"/>
                </w:tcPr>
                <w:p w14:paraId="4EA3FB4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数据库审计</w:t>
                  </w:r>
                </w:p>
              </w:tc>
              <w:tc>
                <w:tcPr>
                  <w:tcW w:w="2651" w:type="dxa"/>
                  <w:vAlign w:val="center"/>
                </w:tcPr>
                <w:p w14:paraId="664A1DD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K6000-H-TF10M</w:t>
                  </w:r>
                </w:p>
              </w:tc>
              <w:tc>
                <w:tcPr>
                  <w:tcW w:w="690" w:type="dxa"/>
                  <w:vAlign w:val="center"/>
                </w:tcPr>
                <w:p w14:paraId="6CACCAAF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6785C8E3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3DF89E03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00E922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3EBBD86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26</w:t>
                  </w:r>
                </w:p>
              </w:tc>
              <w:tc>
                <w:tcPr>
                  <w:tcW w:w="1734" w:type="dxa"/>
                  <w:vAlign w:val="center"/>
                </w:tcPr>
                <w:p w14:paraId="192A92F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堡垒机</w:t>
                  </w:r>
                </w:p>
              </w:tc>
              <w:tc>
                <w:tcPr>
                  <w:tcW w:w="2651" w:type="dxa"/>
                  <w:vAlign w:val="center"/>
                </w:tcPr>
                <w:p w14:paraId="3D1100E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C6100-H-TF10P</w:t>
                  </w:r>
                </w:p>
              </w:tc>
              <w:tc>
                <w:tcPr>
                  <w:tcW w:w="690" w:type="dxa"/>
                  <w:vAlign w:val="center"/>
                </w:tcPr>
                <w:p w14:paraId="3056392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0F94B9A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6005E366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61E201A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21247248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27</w:t>
                  </w:r>
                </w:p>
              </w:tc>
              <w:tc>
                <w:tcPr>
                  <w:tcW w:w="1734" w:type="dxa"/>
                  <w:vAlign w:val="center"/>
                </w:tcPr>
                <w:p w14:paraId="0B22CC5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服务器</w:t>
                  </w:r>
                </w:p>
              </w:tc>
              <w:tc>
                <w:tcPr>
                  <w:tcW w:w="2651" w:type="dxa"/>
                  <w:vAlign w:val="center"/>
                </w:tcPr>
                <w:p w14:paraId="7A66DE6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 2288H V5</w:t>
                  </w:r>
                </w:p>
              </w:tc>
              <w:tc>
                <w:tcPr>
                  <w:tcW w:w="690" w:type="dxa"/>
                  <w:vAlign w:val="center"/>
                </w:tcPr>
                <w:p w14:paraId="2289D28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626" w:type="dxa"/>
                  <w:vAlign w:val="center"/>
                </w:tcPr>
                <w:p w14:paraId="45CA819E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26" w:type="dxa"/>
                  <w:vAlign w:val="center"/>
                </w:tcPr>
                <w:p w14:paraId="0E054C5E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368FDF8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6" w:hRule="atLeast"/>
              </w:trPr>
              <w:tc>
                <w:tcPr>
                  <w:tcW w:w="629" w:type="dxa"/>
                  <w:vAlign w:val="center"/>
                </w:tcPr>
                <w:p w14:paraId="6AB97D7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28</w:t>
                  </w:r>
                </w:p>
              </w:tc>
              <w:tc>
                <w:tcPr>
                  <w:tcW w:w="1734" w:type="dxa"/>
                  <w:vAlign w:val="center"/>
                </w:tcPr>
                <w:p w14:paraId="24755ED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虚拟化软件</w:t>
                  </w:r>
                </w:p>
              </w:tc>
              <w:tc>
                <w:tcPr>
                  <w:tcW w:w="2651" w:type="dxa"/>
                  <w:vAlign w:val="center"/>
                </w:tcPr>
                <w:p w14:paraId="7792C18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VMware vCenter Standard VMware vSphere Enterprise Plus</w:t>
                  </w:r>
                </w:p>
              </w:tc>
              <w:tc>
                <w:tcPr>
                  <w:tcW w:w="690" w:type="dxa"/>
                  <w:vAlign w:val="center"/>
                </w:tcPr>
                <w:p w14:paraId="1F0F834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2372B9E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74D46FBE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5F53C83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7642A7A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29</w:t>
                  </w:r>
                </w:p>
              </w:tc>
              <w:tc>
                <w:tcPr>
                  <w:tcW w:w="1734" w:type="dxa"/>
                  <w:vAlign w:val="center"/>
                </w:tcPr>
                <w:p w14:paraId="6C254F8A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云操作系统&amp;运行智能管理</w:t>
                  </w:r>
                </w:p>
              </w:tc>
              <w:tc>
                <w:tcPr>
                  <w:tcW w:w="2651" w:type="dxa"/>
                  <w:vAlign w:val="center"/>
                </w:tcPr>
                <w:p w14:paraId="7A060B30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 CloudOS&amp;Ucenter</w:t>
                  </w:r>
                </w:p>
              </w:tc>
              <w:tc>
                <w:tcPr>
                  <w:tcW w:w="690" w:type="dxa"/>
                  <w:vAlign w:val="center"/>
                </w:tcPr>
                <w:p w14:paraId="6D1F3DC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44FF65E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2DD1C10F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0B74999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vAlign w:val="center"/>
                </w:tcPr>
                <w:p w14:paraId="1FCD661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30</w:t>
                  </w:r>
                </w:p>
              </w:tc>
              <w:tc>
                <w:tcPr>
                  <w:tcW w:w="1734" w:type="dxa"/>
                  <w:vAlign w:val="center"/>
                </w:tcPr>
                <w:p w14:paraId="5FC71C6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备份软件</w:t>
                  </w:r>
                </w:p>
              </w:tc>
              <w:tc>
                <w:tcPr>
                  <w:tcW w:w="2651" w:type="dxa"/>
                  <w:vAlign w:val="center"/>
                </w:tcPr>
                <w:p w14:paraId="33E51E9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壹进制 UnaDPMSoft</w:t>
                  </w:r>
                </w:p>
              </w:tc>
              <w:tc>
                <w:tcPr>
                  <w:tcW w:w="690" w:type="dxa"/>
                  <w:vAlign w:val="center"/>
                </w:tcPr>
                <w:p w14:paraId="34DD7B06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1605D56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3D22E3A2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24363EA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629" w:type="dxa"/>
                  <w:vAlign w:val="center"/>
                </w:tcPr>
                <w:p w14:paraId="3374848D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31</w:t>
                  </w:r>
                </w:p>
              </w:tc>
              <w:tc>
                <w:tcPr>
                  <w:tcW w:w="1734" w:type="dxa"/>
                  <w:vAlign w:val="center"/>
                </w:tcPr>
                <w:p w14:paraId="408DE9D5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云安全资源防护</w:t>
                  </w:r>
                </w:p>
              </w:tc>
              <w:tc>
                <w:tcPr>
                  <w:tcW w:w="2651" w:type="dxa"/>
                  <w:vAlign w:val="center"/>
                </w:tcPr>
                <w:p w14:paraId="5AC6D36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网神  云安全管理平台软件</w:t>
                  </w:r>
                </w:p>
              </w:tc>
              <w:tc>
                <w:tcPr>
                  <w:tcW w:w="690" w:type="dxa"/>
                  <w:vAlign w:val="center"/>
                </w:tcPr>
                <w:p w14:paraId="7043B3EC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3D850222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60C9EA40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4C13159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91" w:hRule="atLeast"/>
              </w:trPr>
              <w:tc>
                <w:tcPr>
                  <w:tcW w:w="629" w:type="dxa"/>
                  <w:vAlign w:val="center"/>
                </w:tcPr>
                <w:p w14:paraId="3DDFA859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32</w:t>
                  </w:r>
                </w:p>
              </w:tc>
              <w:tc>
                <w:tcPr>
                  <w:tcW w:w="1734" w:type="dxa"/>
                  <w:vAlign w:val="center"/>
                </w:tcPr>
                <w:p w14:paraId="4FA2FB0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统一身份认证和单点登录</w:t>
                  </w:r>
                </w:p>
              </w:tc>
              <w:tc>
                <w:tcPr>
                  <w:tcW w:w="2651" w:type="dxa"/>
                  <w:vAlign w:val="center"/>
                </w:tcPr>
                <w:p w14:paraId="7A127D9B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国民认证 基于终端生物识别的网络身份认证系统V1.0</w:t>
                  </w:r>
                </w:p>
              </w:tc>
              <w:tc>
                <w:tcPr>
                  <w:tcW w:w="690" w:type="dxa"/>
                  <w:vAlign w:val="center"/>
                </w:tcPr>
                <w:p w14:paraId="21F381A4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6" w:type="dxa"/>
                  <w:vAlign w:val="center"/>
                </w:tcPr>
                <w:p w14:paraId="38191CE3">
                  <w:pPr>
                    <w:pStyle w:val="6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1A2CC257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586A581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1" w:hRule="atLeast"/>
              </w:trPr>
              <w:tc>
                <w:tcPr>
                  <w:tcW w:w="629" w:type="dxa"/>
                  <w:shd w:val="clear" w:color="auto" w:fill="auto"/>
                  <w:vAlign w:val="center"/>
                </w:tcPr>
                <w:p w14:paraId="06F177D6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33</w:t>
                  </w: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408FA31F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 xml:space="preserve">企业服务总线 </w:t>
                  </w:r>
                </w:p>
              </w:tc>
              <w:tc>
                <w:tcPr>
                  <w:tcW w:w="2651" w:type="dxa"/>
                  <w:shd w:val="clear" w:color="auto" w:fill="auto"/>
                  <w:vAlign w:val="center"/>
                </w:tcPr>
                <w:p w14:paraId="686C8E2B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东方通TongESB V5</w:t>
                  </w:r>
                </w:p>
              </w:tc>
              <w:tc>
                <w:tcPr>
                  <w:tcW w:w="690" w:type="dxa"/>
                  <w:shd w:val="clear" w:color="auto" w:fill="auto"/>
                  <w:vAlign w:val="center"/>
                </w:tcPr>
                <w:p w14:paraId="389D76FC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1</w:t>
                  </w:r>
                </w:p>
              </w:tc>
              <w:tc>
                <w:tcPr>
                  <w:tcW w:w="626" w:type="dxa"/>
                  <w:shd w:val="clear" w:color="auto" w:fill="auto"/>
                  <w:vAlign w:val="center"/>
                </w:tcPr>
                <w:p w14:paraId="43048035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5EA82A2D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36A9E5B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91" w:hRule="atLeast"/>
              </w:trPr>
              <w:tc>
                <w:tcPr>
                  <w:tcW w:w="629" w:type="dxa"/>
                  <w:shd w:val="clear" w:color="auto" w:fill="auto"/>
                  <w:vAlign w:val="center"/>
                </w:tcPr>
                <w:p w14:paraId="36D21B4F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34</w:t>
                  </w: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19DA2342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应用中间件</w:t>
                  </w:r>
                </w:p>
              </w:tc>
              <w:tc>
                <w:tcPr>
                  <w:tcW w:w="2651" w:type="dxa"/>
                  <w:shd w:val="clear" w:color="auto" w:fill="auto"/>
                  <w:vAlign w:val="center"/>
                </w:tcPr>
                <w:p w14:paraId="0193318F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东方通应用服务器软件[简称：TongWeb]V6.1（企业版）</w:t>
                  </w:r>
                </w:p>
              </w:tc>
              <w:tc>
                <w:tcPr>
                  <w:tcW w:w="690" w:type="dxa"/>
                  <w:shd w:val="clear" w:color="auto" w:fill="auto"/>
                  <w:vAlign w:val="center"/>
                </w:tcPr>
                <w:p w14:paraId="3E2A4FBB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1</w:t>
                  </w:r>
                </w:p>
              </w:tc>
              <w:tc>
                <w:tcPr>
                  <w:tcW w:w="626" w:type="dxa"/>
                  <w:shd w:val="clear" w:color="auto" w:fill="auto"/>
                  <w:vAlign w:val="center"/>
                </w:tcPr>
                <w:p w14:paraId="51BE0371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24FF7B20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2D7EFF17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4" w:hRule="atLeast"/>
              </w:trPr>
              <w:tc>
                <w:tcPr>
                  <w:tcW w:w="629" w:type="dxa"/>
                  <w:shd w:val="clear" w:color="auto" w:fill="auto"/>
                  <w:vAlign w:val="center"/>
                </w:tcPr>
                <w:p w14:paraId="62E2F42F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35</w:t>
                  </w: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06440AFD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消息中间件</w:t>
                  </w:r>
                </w:p>
              </w:tc>
              <w:tc>
                <w:tcPr>
                  <w:tcW w:w="2651" w:type="dxa"/>
                  <w:shd w:val="clear" w:color="auto" w:fill="auto"/>
                  <w:vAlign w:val="center"/>
                </w:tcPr>
                <w:p w14:paraId="36FF5725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东方通消息中间件软件[简称：TongLINK/Q]V8.1</w:t>
                  </w:r>
                </w:p>
              </w:tc>
              <w:tc>
                <w:tcPr>
                  <w:tcW w:w="690" w:type="dxa"/>
                  <w:shd w:val="clear" w:color="auto" w:fill="auto"/>
                  <w:vAlign w:val="center"/>
                </w:tcPr>
                <w:p w14:paraId="173C1669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1</w:t>
                  </w:r>
                </w:p>
              </w:tc>
              <w:tc>
                <w:tcPr>
                  <w:tcW w:w="626" w:type="dxa"/>
                  <w:shd w:val="clear" w:color="auto" w:fill="auto"/>
                  <w:vAlign w:val="center"/>
                </w:tcPr>
                <w:p w14:paraId="4DA383F2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3400123E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622014E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1" w:hRule="atLeast"/>
              </w:trPr>
              <w:tc>
                <w:tcPr>
                  <w:tcW w:w="629" w:type="dxa"/>
                  <w:shd w:val="clear" w:color="auto" w:fill="auto"/>
                  <w:vAlign w:val="center"/>
                </w:tcPr>
                <w:p w14:paraId="420E9DE4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36</w:t>
                  </w: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127CC2C5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日志服务与管理系统</w:t>
                  </w:r>
                </w:p>
              </w:tc>
              <w:tc>
                <w:tcPr>
                  <w:tcW w:w="2651" w:type="dxa"/>
                  <w:shd w:val="clear" w:color="auto" w:fill="auto"/>
                  <w:vAlign w:val="center"/>
                </w:tcPr>
                <w:p w14:paraId="1609E78E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日志易日志搜索分析软件V2.0</w:t>
                  </w:r>
                </w:p>
              </w:tc>
              <w:tc>
                <w:tcPr>
                  <w:tcW w:w="690" w:type="dxa"/>
                  <w:shd w:val="clear" w:color="auto" w:fill="auto"/>
                  <w:vAlign w:val="center"/>
                </w:tcPr>
                <w:p w14:paraId="41083680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1</w:t>
                  </w:r>
                </w:p>
              </w:tc>
              <w:tc>
                <w:tcPr>
                  <w:tcW w:w="626" w:type="dxa"/>
                  <w:shd w:val="clear" w:color="auto" w:fill="auto"/>
                  <w:vAlign w:val="center"/>
                </w:tcPr>
                <w:p w14:paraId="11EAFA14">
                  <w:pPr>
                    <w:pStyle w:val="6"/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hd w:val="clear" w:color="auto" w:fill="auto"/>
                    </w:rPr>
                    <w:t>套</w:t>
                  </w:r>
                </w:p>
              </w:tc>
              <w:tc>
                <w:tcPr>
                  <w:tcW w:w="626" w:type="dxa"/>
                  <w:vAlign w:val="center"/>
                </w:tcPr>
                <w:p w14:paraId="188DD6F9">
                  <w:pPr>
                    <w:pStyle w:val="6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</w:tbl>
          <w:p w14:paraId="1164098F">
            <w:pPr>
              <w:pStyle w:val="6"/>
              <w:rPr>
                <w:rFonts w:hint="eastAsia" w:ascii="仿宋_GB2312" w:hAnsi="仿宋_GB2312" w:eastAsia="仿宋_GB2312" w:cs="仿宋_GB2312"/>
              </w:rPr>
            </w:pPr>
          </w:p>
          <w:p w14:paraId="3D888977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 云平台陕西省交通厅机房软硬件维保清单如下：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87"/>
              <w:gridCol w:w="2128"/>
              <w:gridCol w:w="2152"/>
              <w:gridCol w:w="667"/>
              <w:gridCol w:w="640"/>
              <w:gridCol w:w="691"/>
            </w:tblGrid>
            <w:tr w14:paraId="6D3ADB2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553473A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2128" w:type="dxa"/>
                  <w:vAlign w:val="center"/>
                </w:tcPr>
                <w:p w14:paraId="18F142C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设备/软件名称</w:t>
                  </w:r>
                </w:p>
              </w:tc>
              <w:tc>
                <w:tcPr>
                  <w:tcW w:w="2152" w:type="dxa"/>
                  <w:vAlign w:val="center"/>
                </w:tcPr>
                <w:p w14:paraId="5D215BA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品牌型号</w:t>
                  </w:r>
                </w:p>
              </w:tc>
              <w:tc>
                <w:tcPr>
                  <w:tcW w:w="667" w:type="dxa"/>
                  <w:vAlign w:val="center"/>
                </w:tcPr>
                <w:p w14:paraId="4C8CC2F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640" w:type="dxa"/>
                  <w:vAlign w:val="center"/>
                </w:tcPr>
                <w:p w14:paraId="4805EA8B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单位</w:t>
                  </w:r>
                </w:p>
              </w:tc>
              <w:tc>
                <w:tcPr>
                  <w:tcW w:w="691" w:type="dxa"/>
                  <w:vAlign w:val="center"/>
                </w:tcPr>
                <w:p w14:paraId="4877EB94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备注</w:t>
                  </w:r>
                </w:p>
              </w:tc>
            </w:tr>
            <w:tr w14:paraId="0834E02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1934DE7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2128" w:type="dxa"/>
                  <w:vAlign w:val="center"/>
                </w:tcPr>
                <w:p w14:paraId="618D3D79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虚拟化资源池服务器</w:t>
                  </w:r>
                </w:p>
              </w:tc>
              <w:tc>
                <w:tcPr>
                  <w:tcW w:w="2152" w:type="dxa"/>
                  <w:vAlign w:val="center"/>
                </w:tcPr>
                <w:p w14:paraId="521DA51E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浪潮NF8460M4</w:t>
                  </w:r>
                </w:p>
              </w:tc>
              <w:tc>
                <w:tcPr>
                  <w:tcW w:w="667" w:type="dxa"/>
                  <w:vAlign w:val="center"/>
                </w:tcPr>
                <w:p w14:paraId="65942F7A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12</w:t>
                  </w:r>
                </w:p>
              </w:tc>
              <w:tc>
                <w:tcPr>
                  <w:tcW w:w="640" w:type="dxa"/>
                  <w:vAlign w:val="center"/>
                </w:tcPr>
                <w:p w14:paraId="7F5518FE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75E6A97D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6E331B3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6C9DC76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2128" w:type="dxa"/>
                  <w:vAlign w:val="center"/>
                </w:tcPr>
                <w:p w14:paraId="232E190F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地市数据应用服务器</w:t>
                  </w:r>
                </w:p>
              </w:tc>
              <w:tc>
                <w:tcPr>
                  <w:tcW w:w="2152" w:type="dxa"/>
                  <w:vAlign w:val="center"/>
                </w:tcPr>
                <w:p w14:paraId="692587E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浪潮NF5280M4</w:t>
                  </w:r>
                </w:p>
              </w:tc>
              <w:tc>
                <w:tcPr>
                  <w:tcW w:w="667" w:type="dxa"/>
                  <w:vAlign w:val="center"/>
                </w:tcPr>
                <w:p w14:paraId="4271BCEA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640" w:type="dxa"/>
                  <w:vAlign w:val="center"/>
                </w:tcPr>
                <w:p w14:paraId="42650776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054FBFB7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01CA659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7235E017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2128" w:type="dxa"/>
                  <w:vAlign w:val="center"/>
                </w:tcPr>
                <w:p w14:paraId="09B5B59B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交换服务器</w:t>
                  </w:r>
                </w:p>
              </w:tc>
              <w:tc>
                <w:tcPr>
                  <w:tcW w:w="2152" w:type="dxa"/>
                  <w:vAlign w:val="center"/>
                </w:tcPr>
                <w:p w14:paraId="26253476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浪潮NF5280M4</w:t>
                  </w:r>
                </w:p>
              </w:tc>
              <w:tc>
                <w:tcPr>
                  <w:tcW w:w="667" w:type="dxa"/>
                  <w:vAlign w:val="center"/>
                </w:tcPr>
                <w:p w14:paraId="3C6D034E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18</w:t>
                  </w:r>
                </w:p>
              </w:tc>
              <w:tc>
                <w:tcPr>
                  <w:tcW w:w="640" w:type="dxa"/>
                  <w:vAlign w:val="center"/>
                </w:tcPr>
                <w:p w14:paraId="356EDD97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71B3E72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61BBD3A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18CC27D7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2128" w:type="dxa"/>
                  <w:vAlign w:val="center"/>
                </w:tcPr>
                <w:p w14:paraId="7FFAC90F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磁盘阵列</w:t>
                  </w:r>
                </w:p>
              </w:tc>
              <w:tc>
                <w:tcPr>
                  <w:tcW w:w="2152" w:type="dxa"/>
                  <w:vAlign w:val="center"/>
                </w:tcPr>
                <w:p w14:paraId="2C17317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宏杉MS3000G2</w:t>
                  </w:r>
                </w:p>
              </w:tc>
              <w:tc>
                <w:tcPr>
                  <w:tcW w:w="667" w:type="dxa"/>
                  <w:vAlign w:val="center"/>
                </w:tcPr>
                <w:p w14:paraId="697D842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40" w:type="dxa"/>
                  <w:vAlign w:val="center"/>
                </w:tcPr>
                <w:p w14:paraId="2C97737F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3F75EE4F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5D7B2A2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7809F9B5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2128" w:type="dxa"/>
                  <w:vAlign w:val="center"/>
                </w:tcPr>
                <w:p w14:paraId="6652612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地市磁盘阵列</w:t>
                  </w:r>
                </w:p>
              </w:tc>
              <w:tc>
                <w:tcPr>
                  <w:tcW w:w="2152" w:type="dxa"/>
                  <w:vAlign w:val="center"/>
                </w:tcPr>
                <w:p w14:paraId="1949CA8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宏杉MS2500G2-16A</w:t>
                  </w:r>
                </w:p>
              </w:tc>
              <w:tc>
                <w:tcPr>
                  <w:tcW w:w="667" w:type="dxa"/>
                  <w:vAlign w:val="center"/>
                </w:tcPr>
                <w:p w14:paraId="1F65223B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640" w:type="dxa"/>
                  <w:vAlign w:val="center"/>
                </w:tcPr>
                <w:p w14:paraId="55F3B8F4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09212229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677690E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5BD8600C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2128" w:type="dxa"/>
                  <w:vAlign w:val="center"/>
                </w:tcPr>
                <w:p w14:paraId="27F62127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接入交换机</w:t>
                  </w:r>
                </w:p>
              </w:tc>
              <w:tc>
                <w:tcPr>
                  <w:tcW w:w="2152" w:type="dxa"/>
                  <w:vAlign w:val="center"/>
                </w:tcPr>
                <w:p w14:paraId="1E7E54B0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新华三S5560-54S-EI</w:t>
                  </w:r>
                </w:p>
              </w:tc>
              <w:tc>
                <w:tcPr>
                  <w:tcW w:w="667" w:type="dxa"/>
                  <w:vAlign w:val="center"/>
                </w:tcPr>
                <w:p w14:paraId="2F236D6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40" w:type="dxa"/>
                  <w:vAlign w:val="center"/>
                </w:tcPr>
                <w:p w14:paraId="1D893EF0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06516DFA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112800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529F45CF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7</w:t>
                  </w:r>
                </w:p>
              </w:tc>
              <w:tc>
                <w:tcPr>
                  <w:tcW w:w="2128" w:type="dxa"/>
                  <w:vAlign w:val="center"/>
                </w:tcPr>
                <w:p w14:paraId="73F6466B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FC交换机</w:t>
                  </w:r>
                </w:p>
              </w:tc>
              <w:tc>
                <w:tcPr>
                  <w:tcW w:w="2152" w:type="dxa"/>
                  <w:vAlign w:val="center"/>
                </w:tcPr>
                <w:p w14:paraId="64CCF2C6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新华三S6800-2C</w:t>
                  </w:r>
                </w:p>
              </w:tc>
              <w:tc>
                <w:tcPr>
                  <w:tcW w:w="667" w:type="dxa"/>
                  <w:vAlign w:val="center"/>
                </w:tcPr>
                <w:p w14:paraId="35E5A4A6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640" w:type="dxa"/>
                  <w:vAlign w:val="center"/>
                </w:tcPr>
                <w:p w14:paraId="08EB719C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5A4F7B24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47893CF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7608F65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8</w:t>
                  </w:r>
                </w:p>
              </w:tc>
              <w:tc>
                <w:tcPr>
                  <w:tcW w:w="2128" w:type="dxa"/>
                  <w:vAlign w:val="center"/>
                </w:tcPr>
                <w:p w14:paraId="2E37B722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防火墙</w:t>
                  </w:r>
                </w:p>
              </w:tc>
              <w:tc>
                <w:tcPr>
                  <w:tcW w:w="2152" w:type="dxa"/>
                  <w:vAlign w:val="center"/>
                </w:tcPr>
                <w:p w14:paraId="3783B9B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天融信NGFW-4000-UF（6电口4光口）</w:t>
                  </w:r>
                </w:p>
              </w:tc>
              <w:tc>
                <w:tcPr>
                  <w:tcW w:w="667" w:type="dxa"/>
                  <w:vAlign w:val="center"/>
                </w:tcPr>
                <w:p w14:paraId="3AF699B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640" w:type="dxa"/>
                  <w:vAlign w:val="center"/>
                </w:tcPr>
                <w:p w14:paraId="31B3C20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36188BE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252F2E1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1D8CFD5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9</w:t>
                  </w:r>
                </w:p>
              </w:tc>
              <w:tc>
                <w:tcPr>
                  <w:tcW w:w="2128" w:type="dxa"/>
                  <w:vAlign w:val="center"/>
                </w:tcPr>
                <w:p w14:paraId="416B27F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地市接入交换机</w:t>
                  </w:r>
                </w:p>
              </w:tc>
              <w:tc>
                <w:tcPr>
                  <w:tcW w:w="2152" w:type="dxa"/>
                  <w:vAlign w:val="center"/>
                </w:tcPr>
                <w:p w14:paraId="656A2AE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新华三S5130S-28P-EI</w:t>
                  </w:r>
                </w:p>
              </w:tc>
              <w:tc>
                <w:tcPr>
                  <w:tcW w:w="667" w:type="dxa"/>
                  <w:vAlign w:val="center"/>
                </w:tcPr>
                <w:p w14:paraId="711DA2EE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7</w:t>
                  </w:r>
                </w:p>
              </w:tc>
              <w:tc>
                <w:tcPr>
                  <w:tcW w:w="640" w:type="dxa"/>
                  <w:vAlign w:val="center"/>
                </w:tcPr>
                <w:p w14:paraId="5AB53E1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461280A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72BD730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196DC290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2128" w:type="dxa"/>
                  <w:vAlign w:val="center"/>
                </w:tcPr>
                <w:p w14:paraId="1C2B3E49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地市防火墙</w:t>
                  </w:r>
                </w:p>
              </w:tc>
              <w:tc>
                <w:tcPr>
                  <w:tcW w:w="2152" w:type="dxa"/>
                  <w:vAlign w:val="center"/>
                </w:tcPr>
                <w:p w14:paraId="6B5AEC0A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天融信NGFW-4000-UF（10电口）</w:t>
                  </w:r>
                </w:p>
              </w:tc>
              <w:tc>
                <w:tcPr>
                  <w:tcW w:w="667" w:type="dxa"/>
                  <w:vAlign w:val="center"/>
                </w:tcPr>
                <w:p w14:paraId="6E65EC76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640" w:type="dxa"/>
                  <w:vAlign w:val="center"/>
                </w:tcPr>
                <w:p w14:paraId="4655CE0D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691" w:type="dxa"/>
                  <w:vAlign w:val="center"/>
                </w:tcPr>
                <w:p w14:paraId="71406F20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18C604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65073B96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11</w:t>
                  </w:r>
                </w:p>
              </w:tc>
              <w:tc>
                <w:tcPr>
                  <w:tcW w:w="2128" w:type="dxa"/>
                  <w:vAlign w:val="center"/>
                </w:tcPr>
                <w:p w14:paraId="5DE7CE79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防病毒软件</w:t>
                  </w:r>
                </w:p>
              </w:tc>
              <w:tc>
                <w:tcPr>
                  <w:tcW w:w="2152" w:type="dxa"/>
                  <w:vAlign w:val="center"/>
                </w:tcPr>
                <w:p w14:paraId="696E1332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企业终端安全管理系统软件</w:t>
                  </w:r>
                </w:p>
              </w:tc>
              <w:tc>
                <w:tcPr>
                  <w:tcW w:w="667" w:type="dxa"/>
                  <w:vAlign w:val="center"/>
                </w:tcPr>
                <w:p w14:paraId="48B1A24F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40" w:type="dxa"/>
                  <w:vAlign w:val="center"/>
                </w:tcPr>
                <w:p w14:paraId="65B23EA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691" w:type="dxa"/>
                  <w:vAlign w:val="center"/>
                </w:tcPr>
                <w:p w14:paraId="001F7EEA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  <w:tr w14:paraId="641B86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7" w:type="dxa"/>
                  <w:vAlign w:val="center"/>
                </w:tcPr>
                <w:p w14:paraId="0F07991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12</w:t>
                  </w:r>
                </w:p>
              </w:tc>
              <w:tc>
                <w:tcPr>
                  <w:tcW w:w="2128" w:type="dxa"/>
                  <w:vAlign w:val="center"/>
                </w:tcPr>
                <w:p w14:paraId="6A2DB619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虚拟化管理软件</w:t>
                  </w:r>
                </w:p>
              </w:tc>
              <w:tc>
                <w:tcPr>
                  <w:tcW w:w="2152" w:type="dxa"/>
                  <w:vAlign w:val="center"/>
                </w:tcPr>
                <w:p w14:paraId="0330346D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VMwarevSphere6Enterprise PlusVMware vCenter Server 6 Standard for vSphere 6</w:t>
                  </w:r>
                </w:p>
              </w:tc>
              <w:tc>
                <w:tcPr>
                  <w:tcW w:w="667" w:type="dxa"/>
                  <w:vAlign w:val="center"/>
                </w:tcPr>
                <w:p w14:paraId="0818641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40" w:type="dxa"/>
                  <w:vAlign w:val="center"/>
                </w:tcPr>
                <w:p w14:paraId="1C222092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691" w:type="dxa"/>
                  <w:vAlign w:val="center"/>
                </w:tcPr>
                <w:p w14:paraId="1CB8D6BC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</w:tbl>
          <w:p w14:paraId="04407040">
            <w:pPr>
              <w:pStyle w:val="6"/>
              <w:rPr>
                <w:rFonts w:hint="eastAsia" w:ascii="仿宋_GB2312" w:hAnsi="仿宋_GB2312" w:eastAsia="仿宋_GB2312" w:cs="仿宋_GB2312"/>
              </w:rPr>
            </w:pPr>
          </w:p>
          <w:p w14:paraId="6AFD99D9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专网主干网运维设备主要包括10台专网二级汇聚路由器。需完成交通行业专网网络设备硬件的日常维护保养、硬件(含系统软件)故障的分析排除、设备质保、备件管理和更换，以及网络的优化、调整、配置等工作，保障网络正常运行。</w:t>
            </w:r>
          </w:p>
          <w:p w14:paraId="3EF67FBF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专网主干网软硬件维保清单如下：</w:t>
            </w:r>
          </w:p>
          <w:tbl>
            <w:tblPr>
              <w:tblStyle w:val="4"/>
              <w:tblW w:w="6975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61"/>
              <w:gridCol w:w="1663"/>
              <w:gridCol w:w="1162"/>
              <w:gridCol w:w="1163"/>
              <w:gridCol w:w="1163"/>
              <w:gridCol w:w="1163"/>
            </w:tblGrid>
            <w:tr w14:paraId="741072F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1" w:type="dxa"/>
                  <w:vAlign w:val="center"/>
                </w:tcPr>
                <w:p w14:paraId="0B835927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1663" w:type="dxa"/>
                  <w:vAlign w:val="center"/>
                </w:tcPr>
                <w:p w14:paraId="542FC439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设备/软件名称</w:t>
                  </w:r>
                </w:p>
              </w:tc>
              <w:tc>
                <w:tcPr>
                  <w:tcW w:w="1162" w:type="dxa"/>
                  <w:vAlign w:val="center"/>
                </w:tcPr>
                <w:p w14:paraId="575BD441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品牌型号</w:t>
                  </w:r>
                </w:p>
              </w:tc>
              <w:tc>
                <w:tcPr>
                  <w:tcW w:w="1163" w:type="dxa"/>
                  <w:vAlign w:val="center"/>
                </w:tcPr>
                <w:p w14:paraId="4C97B7CD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 xml:space="preserve">数量 </w:t>
                  </w:r>
                </w:p>
              </w:tc>
              <w:tc>
                <w:tcPr>
                  <w:tcW w:w="1163" w:type="dxa"/>
                  <w:vAlign w:val="center"/>
                </w:tcPr>
                <w:p w14:paraId="2D059AE5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单位</w:t>
                  </w:r>
                </w:p>
              </w:tc>
              <w:tc>
                <w:tcPr>
                  <w:tcW w:w="1163" w:type="dxa"/>
                  <w:vAlign w:val="center"/>
                </w:tcPr>
                <w:p w14:paraId="4C7AD8C8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备注</w:t>
                  </w:r>
                </w:p>
              </w:tc>
            </w:tr>
            <w:tr w14:paraId="7E35516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1" w:type="dxa"/>
                  <w:vAlign w:val="top"/>
                </w:tcPr>
                <w:p w14:paraId="7993C3C3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  <w:highlight w:val="yellow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highlight w:val="none"/>
                    </w:rPr>
                    <w:t>1</w:t>
                  </w:r>
                </w:p>
              </w:tc>
              <w:tc>
                <w:tcPr>
                  <w:tcW w:w="1663" w:type="dxa"/>
                  <w:vAlign w:val="top"/>
                </w:tcPr>
                <w:p w14:paraId="64E13E0D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  <w:highlight w:val="yellow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汇聚</w:t>
                  </w:r>
                  <w:r>
                    <w:rPr>
                      <w:rFonts w:hint="eastAsia" w:ascii="仿宋_GB2312" w:hAnsi="仿宋_GB2312" w:eastAsia="仿宋_GB2312" w:cs="仿宋_GB2312"/>
                      <w:lang w:val="en-US" w:eastAsia="zh-CN"/>
                    </w:rPr>
                    <w:t>路由器</w:t>
                  </w:r>
                </w:p>
              </w:tc>
              <w:tc>
                <w:tcPr>
                  <w:tcW w:w="1162" w:type="dxa"/>
                  <w:vAlign w:val="top"/>
                </w:tcPr>
                <w:p w14:paraId="13C1EB6F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  <w:highlight w:val="yellow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华为NE20</w:t>
                  </w:r>
                </w:p>
              </w:tc>
              <w:tc>
                <w:tcPr>
                  <w:tcW w:w="1163" w:type="dxa"/>
                  <w:vAlign w:val="top"/>
                </w:tcPr>
                <w:p w14:paraId="04D9F7E4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  <w:highlight w:val="yellow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1163" w:type="dxa"/>
                  <w:vAlign w:val="top"/>
                </w:tcPr>
                <w:p w14:paraId="468F9DBE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  <w:highlight w:val="yellow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1163" w:type="dxa"/>
                  <w:vAlign w:val="top"/>
                </w:tcPr>
                <w:p w14:paraId="0C8262DA">
                  <w:pPr>
                    <w:pStyle w:val="6"/>
                    <w:widowControl w:val="0"/>
                    <w:jc w:val="both"/>
                    <w:rPr>
                      <w:rFonts w:hint="eastAsia" w:ascii="仿宋_GB2312" w:hAnsi="仿宋_GB2312" w:eastAsia="仿宋_GB2312" w:cs="仿宋_GB2312"/>
                    </w:rPr>
                  </w:pPr>
                </w:p>
              </w:tc>
            </w:tr>
          </w:tbl>
          <w:p w14:paraId="70EACD08">
            <w:pPr>
              <w:pStyle w:val="6"/>
              <w:rPr>
                <w:rFonts w:hint="eastAsia" w:ascii="仿宋_GB2312" w:hAnsi="仿宋_GB2312" w:eastAsia="仿宋_GB2312" w:cs="仿宋_GB2312"/>
              </w:rPr>
            </w:pPr>
          </w:p>
          <w:p w14:paraId="69A8BD0A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1.2日常维护工作</w:t>
            </w:r>
          </w:p>
          <w:p w14:paraId="0378F376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（1）云服务部署与配置</w:t>
            </w:r>
          </w:p>
          <w:p w14:paraId="3F77DF1C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根据业务需求配置网络和存储资源，确保服务的稳定性、可扩展性和高可用性。</w:t>
            </w:r>
          </w:p>
          <w:p w14:paraId="5965AAEB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（2）系统监控与维护</w:t>
            </w:r>
          </w:p>
          <w:p w14:paraId="6BBDC58E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系统监控是云服务运维的核心工作之一。通过部署各种监控工具和日志收集系统，实时收集和分析云服务的运行状态、性能指标、错误日志等信息。一旦发现异常，立即进行干预，确保系统的稳定运行。定期进行系统维护，如更新操作系统和软件包、清理日志文件、检查磁盘空间等。</w:t>
            </w:r>
          </w:p>
          <w:p w14:paraId="61657D1B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（3）性能优化与调整</w:t>
            </w:r>
          </w:p>
          <w:p w14:paraId="7CBC74B3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针对运行过程中出现的性能瓶颈进行性能优化与调整。包括但不限于优化数据库查询、调整系统参数、升级硬件资源、优化网络配置等。通过持续的优化和调整，提升云服务的性能和响应时间，为用户提供更好的服务体验。</w:t>
            </w:r>
          </w:p>
          <w:p w14:paraId="20655483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（4）故障诊断与排除</w:t>
            </w:r>
          </w:p>
          <w:p w14:paraId="3AB1FC86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出现故障时，迅速进行故障诊断与排除。建立完善的故障应对机制，确保在故障发生时能够迅速响应和恢复服务。</w:t>
            </w:r>
          </w:p>
          <w:p w14:paraId="58958D22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（5）数据备份与恢复</w:t>
            </w:r>
          </w:p>
          <w:p w14:paraId="30D91256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定期备份重要数据，并确保备份数据的完整性和可用性。同时建立数据恢复机制，以便在数据丢失或损坏时能够迅速恢复。这对于保障业务连续性和数据安全至关重要。</w:t>
            </w:r>
          </w:p>
          <w:p w14:paraId="1F99629D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（6）安全管理与防护</w:t>
            </w:r>
          </w:p>
          <w:p w14:paraId="439E6D50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关注网络安全、主机安全、数据安全等方面，采取多种措施防范安全威胁。包括但不限于部署防火墙、配置安全组、启用加密通信、定期更新安全补丁等。定期进行安全审计和风险评估，确保云服务的安全稳定。</w:t>
            </w:r>
          </w:p>
          <w:p w14:paraId="22352CE2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（7）容量规划与扩展</w:t>
            </w:r>
          </w:p>
          <w:p w14:paraId="7B9F1265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随着业务的发展，云服务的容量需求可能会不断增长。根据业务需求预测未来的资源需求，提前进行资源准备和扩容操作。同时，我们还要关注资源的利用情况和性能瓶颈，及时进行资源调整和优化。通过合理的容量规划与扩展，确保云服务能够满足业务发展的需求。</w:t>
            </w:r>
          </w:p>
          <w:p w14:paraId="14D0BF8E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1.3云平台资源优化工作</w:t>
            </w:r>
          </w:p>
          <w:p w14:paraId="44B850E4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根据业务需求，为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采购人</w:t>
            </w:r>
            <w:r>
              <w:rPr>
                <w:rFonts w:hint="eastAsia" w:ascii="仿宋_GB2312" w:hAnsi="仿宋_GB2312" w:eastAsia="仿宋_GB2312" w:cs="仿宋_GB2312"/>
              </w:rPr>
              <w:t>提供云平台的优化和资源管理优化服务实施工作，进一步提升云平台的稳定性和利用率。</w:t>
            </w:r>
          </w:p>
          <w:p w14:paraId="6FD33ACE">
            <w:pPr>
              <w:pStyle w:val="6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1.4服务指标</w:t>
            </w:r>
          </w:p>
          <w:p w14:paraId="00570DA2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（1）每周7×24小时，全年保持电话及时响应。</w:t>
            </w:r>
          </w:p>
          <w:p w14:paraId="34A52623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（2）对维护的计算、网络、存储、安全等设备（以下简称“设备”）硬件可能随时发生的一般故障，在接到故障申告时起，1小时内到达省信息化中心5楼机房，紧急故障在接到故障申告后30分钟内到达中心机房。</w:t>
            </w:r>
          </w:p>
          <w:p w14:paraId="1C3F36BC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（3）维护方到达故障现场时起，故障诊断时间不超过1小时。非运营商链路中断造成的故障，系统恢复运行时间不超过2小时。</w:t>
            </w:r>
          </w:p>
          <w:p w14:paraId="0CE4C15E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（4）如需要更换备件，在接到故障申告时起，1小时内备件到达故障现场，部分特殊订制备件到场时间不超过14天，从备件到场时起，更换备件作业时间不超过2小时。</w:t>
            </w:r>
          </w:p>
          <w:p w14:paraId="41BE52D8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5）每月一次对现场所维护的设备硬件进行常规检测，并详细记录检测内容和结果。对随时发现的故障和不合理的使用进行解决和纠正。对所有设备进行运行日志分析，发现潜在的硬件故障，并着手对故障进行解决。</w:t>
            </w:r>
          </w:p>
          <w:p w14:paraId="6C926C73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（6）每两个月一次派遣技术专家对维护的所有设备硬件进行常规检测，并详细记录检测内容和结果。对发现的故障隐患和不合理内容进行处理。</w:t>
            </w:r>
          </w:p>
          <w:p w14:paraId="03ED00B9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（7）对本次维护的所有设备硬件的故障排除、运行监测、检测和备件更换等所有操作都应有文字记录；每月1日以简报方式向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采购人</w:t>
            </w:r>
            <w:r>
              <w:rPr>
                <w:rFonts w:hint="eastAsia" w:ascii="仿宋_GB2312" w:hAnsi="仿宋_GB2312" w:eastAsia="仿宋_GB2312" w:cs="仿宋_GB2312"/>
              </w:rPr>
              <w:t>相关负责人提交上月维护报告；年末汇报总结全年的维护情况。</w:t>
            </w:r>
          </w:p>
          <w:p w14:paraId="11FEE84A">
            <w:pPr>
              <w:pStyle w:val="6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（8）每两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个</w:t>
            </w:r>
            <w:r>
              <w:rPr>
                <w:rFonts w:hint="eastAsia" w:ascii="仿宋_GB2312" w:hAnsi="仿宋_GB2312" w:eastAsia="仿宋_GB2312" w:cs="仿宋_GB2312"/>
              </w:rPr>
              <w:t>月打扫一次中心机房和机柜内部灰尘。每年两次清理本次合同范围内的所有网络设备、安全设备硬件机箱内部的灰尘。</w:t>
            </w:r>
          </w:p>
          <w:p w14:paraId="3833FC8D">
            <w:p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lang w:val="en-US" w:eastAsia="zh-Hans"/>
              </w:rPr>
            </w:pPr>
            <w:bookmarkStart w:id="0" w:name="_Hlk170909468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lang w:val="en-US" w:eastAsia="zh-CN"/>
              </w:rPr>
              <w:t>1.5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lang w:val="en-US" w:eastAsia="zh-Hans"/>
              </w:rPr>
              <w:t>预提交成果</w:t>
            </w:r>
          </w:p>
          <w:p w14:paraId="3C75CF16">
            <w:pPr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Hans"/>
              </w:rPr>
              <w:t>故障分析与排除报告：对于发生的每一次硬件（含系统软件）故障，提交详细的故障分析报告，包括故障现象描述、诊断过程、根本原因分析及采取的解决措施。</w:t>
            </w:r>
          </w:p>
          <w:bookmarkEnd w:id="0"/>
          <w:p w14:paraId="56A6B18E">
            <w:pPr>
              <w:ind w:firstLine="400" w:firstLineChars="200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Hans"/>
              </w:rPr>
              <w:t>设备监测与备件管理台账：所有网络设备、安全设备硬件的故障排除、运行监测、检测和备件更换等所有操作都应有文字记录，建立备件库存清单，包括备件种类、数量、存放位置及更换记录，确保关键备件充足且易于获取。</w:t>
            </w:r>
          </w:p>
        </w:tc>
      </w:tr>
    </w:tbl>
    <w:p w14:paraId="437F36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29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2026-06-10T08:33:58Z</dcterms:created>
  <dc:creator>pc</dc:creator>
  <cp:lastModifiedBy>肖肖</cp:lastModifiedBy>
  <dcterms:modified xsi:type="dcterms:W3CDTF">2026-06-10T08:34:25Z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eyJoZGlkIjoiMjRmYjg0N2M1ODc3ODUwZjJhZjcwZDM5MTYzMGM2OWIiLCJ1c2VySWQiOiI0MzM4MTU0MzAifQ==</vt:lpwstr>
  </property>
  <property fmtid="{D5CDD505-2E9C-101B-9397-08002B2CF9AE}" pid="4" name="ICV">
    <vt:lpwstr>8336C7DB3E4D4A5C87312A3DAC6E746D_12</vt:lpwstr>
  </property>
</Properties>
</file>