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版本号：JXZB2026-04-2020260430001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李家河水源地基础建设围网项目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JXZB2026-04-20</w:t>
      </w:r>
      <w:r>
        <w:br/>
      </w:r>
      <w:r>
        <w:br/>
      </w:r>
      <w:r>
        <w:br/>
      </w:r>
    </w:p>
    <w:p>
      <w:pPr>
        <w:pStyle w:val="null3"/>
        <w:jc w:val="center"/>
        <w:outlineLvl w:val="2"/>
      </w:pPr>
      <w:r>
        <w:rPr>
          <w:rFonts w:ascii="仿宋_GB2312" w:hAnsi="仿宋_GB2312" w:cs="仿宋_GB2312" w:eastAsia="仿宋_GB2312"/>
          <w:sz w:val="28"/>
          <w:b/>
        </w:rPr>
        <w:t>西安市李家河水源地环境保护管理站</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西安市李家河水源地环境保护管理站</w:t>
      </w:r>
      <w:r>
        <w:rPr>
          <w:rFonts w:ascii="仿宋_GB2312" w:hAnsi="仿宋_GB2312" w:cs="仿宋_GB2312" w:eastAsia="仿宋_GB2312"/>
        </w:rPr>
        <w:t>委托，拟对</w:t>
      </w:r>
      <w:r>
        <w:rPr>
          <w:rFonts w:ascii="仿宋_GB2312" w:hAnsi="仿宋_GB2312" w:cs="仿宋_GB2312" w:eastAsia="仿宋_GB2312"/>
        </w:rPr>
        <w:t>李家河水源地基础建设围网项目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JXZB2026-04-20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李家河水源地基础建设围网项目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李家河水源地防护网近几年因水毁、人为破坏等原因，造成大部分损坏，拟计划对损坏的2公里防护网拆除，二级、准保护区采购及安装3.5公里防护网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采购包1（基础建设围网）：属于专门面向中小企业采购。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1、主体身份：具有独立承担民事责任能力的法人、其他组织或自然人，提供合法有效的统一社会信用代码营业执照（事业单位法人证书/专业服务机构执业许可证/民办非企业单位登记证书，自然人提供身份证）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供应商需在项目电子化交易系统中按要求上传相应证明文件并进行电子签章。</w:t>
      </w:r>
    </w:p>
    <w:p>
      <w:pPr>
        <w:pStyle w:val="null3"/>
      </w:pPr>
      <w:r>
        <w:rPr>
          <w:rFonts w:ascii="仿宋_GB2312" w:hAnsi="仿宋_GB2312" w:cs="仿宋_GB2312" w:eastAsia="仿宋_GB2312"/>
        </w:rPr>
        <w:t>3、税收缴纳证明：供应商提供2025年09月至今已缴存的至少1个月的依法缴纳税收的相关凭据。依法免税或无须缴纳税收的供应商，应提供相应证明文件；</w:t>
      </w:r>
    </w:p>
    <w:p>
      <w:pPr>
        <w:pStyle w:val="null3"/>
      </w:pPr>
      <w:r>
        <w:rPr>
          <w:rFonts w:ascii="仿宋_GB2312" w:hAnsi="仿宋_GB2312" w:cs="仿宋_GB2312" w:eastAsia="仿宋_GB2312"/>
        </w:rPr>
        <w:t>4、社会保障资金缴纳证明：供应商提供2025年09月至今已缴存的至少1个月的社会保障资金缴存单据或社保机构开具的社会保险参保缴费情况证明。依法不需要缴纳社会保障资金的供应商应提供相关证明文件；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5、企业资质：具备建设行政主管部门颁发的建筑工程施工总承包三级及以上资质,具有建设行政主管部门颁发的安全生产许可证</w:t>
      </w:r>
    </w:p>
    <w:p>
      <w:pPr>
        <w:pStyle w:val="null3"/>
      </w:pPr>
      <w:r>
        <w:rPr>
          <w:rFonts w:ascii="仿宋_GB2312" w:hAnsi="仿宋_GB2312" w:cs="仿宋_GB2312" w:eastAsia="仿宋_GB2312"/>
        </w:rPr>
        <w:t>6、拟派项目负责人资质要求：项目经理具有建筑工程专业贰级（含贰级）以上建造师证及安全生产考核合格证且无在建工程</w:t>
      </w:r>
    </w:p>
    <w:p>
      <w:pPr>
        <w:pStyle w:val="null3"/>
      </w:pPr>
      <w:r>
        <w:rPr>
          <w:rFonts w:ascii="仿宋_GB2312" w:hAnsi="仿宋_GB2312" w:cs="仿宋_GB2312" w:eastAsia="仿宋_GB2312"/>
        </w:rPr>
        <w:t>7、设备和专业技术能力的声明：提供具有履行本合同所必需的设备和专业技术能力的声明</w:t>
      </w:r>
    </w:p>
    <w:p>
      <w:pPr>
        <w:pStyle w:val="null3"/>
      </w:pPr>
      <w:r>
        <w:rPr>
          <w:rFonts w:ascii="仿宋_GB2312" w:hAnsi="仿宋_GB2312" w:cs="仿宋_GB2312" w:eastAsia="仿宋_GB2312"/>
        </w:rPr>
        <w:t>8、无重大违法记录的书面声明：参加政府采购活动前三年内，在经营活动中没有重大违法记录的书面声明</w:t>
      </w:r>
    </w:p>
    <w:p>
      <w:pPr>
        <w:pStyle w:val="null3"/>
      </w:pPr>
      <w:r>
        <w:rPr>
          <w:rFonts w:ascii="仿宋_GB2312" w:hAnsi="仿宋_GB2312" w:cs="仿宋_GB2312" w:eastAsia="仿宋_GB2312"/>
        </w:rPr>
        <w:t>9、法人或授权委托人：法定代表人直接参加磋商的，须出具法人身份证;法定代表人授权代表参加磋商的，须出具法定代表人授权书及授权代表身份证;</w:t>
      </w:r>
    </w:p>
    <w:p>
      <w:pPr>
        <w:pStyle w:val="null3"/>
      </w:pPr>
      <w:r>
        <w:rPr>
          <w:rFonts w:ascii="仿宋_GB2312" w:hAnsi="仿宋_GB2312" w:cs="仿宋_GB2312" w:eastAsia="仿宋_GB2312"/>
        </w:rPr>
        <w:t>10、财务及信誉要求：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11、控股管理关系：本项目不接受联合体磋商，单位负责人为同一人或者存在直接控股、管理关系的不同供应商，不得参加同一合同项下的政府采购活动。</w:t>
      </w:r>
    </w:p>
    <w:p>
      <w:pPr>
        <w:pStyle w:val="null3"/>
      </w:pPr>
      <w:r>
        <w:rPr>
          <w:rFonts w:ascii="仿宋_GB2312" w:hAnsi="仿宋_GB2312" w:cs="仿宋_GB2312" w:eastAsia="仿宋_GB2312"/>
        </w:rPr>
        <w:t>12、联合体：本项目不接受联合体磋商，提供非联合体磋商声明</w:t>
      </w:r>
    </w:p>
    <w:p>
      <w:pPr>
        <w:pStyle w:val="null3"/>
      </w:pPr>
      <w:r>
        <w:rPr>
          <w:rFonts w:ascii="仿宋_GB2312" w:hAnsi="仿宋_GB2312" w:cs="仿宋_GB2312" w:eastAsia="仿宋_GB2312"/>
        </w:rPr>
        <w:t>13、落实政府采购政策需满足的资格要求：本项目专门面向中小企业采购，供应商须提供中小企业声明函；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西安市李家河水源地环境保护管理站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蓝田县辋川镇山底村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西安市李家河水源地环境保护管理站经办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19991212525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陕西省西安市碑林区陕西省西安市碑林区南二环路79号广丰国际大厦II区906室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18802907639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采购包1：802,900.00元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代理服务费收费标准：代理服务费收费标准：1、成交服务费按约定由成交供应商支付。 2、成交供应商应依据成交金额向采购代理机构交纳成交服务费，交费金额参照《招标代理服务收费管理暂行办法》（计价格（2002）1980号）附件规定的收费标准收取，不足伍仟元按伍仟元收取。 3、本项目代理服务费按服务计取。 由成交供应商在领取中标（成交）通知书时向代理机构缴纳代理服务费。招标代理服务费采用现金、电汇或银行转账方式交纳，不得采用投标保证金抵扣。 服务费交纳账户： 开户行：西安银行股份有限公司东二环南段支行； 开户名称：建信众诚工程咨询有限公司； 账号：209011580000085788</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西安市李家河水源地环境保护管理站</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西安市李家河水源地环境保护管理站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西安市李家河水源地环境保护管理站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联系电话：18802907639</w:t>
      </w:r>
    </w:p>
    <w:p>
      <w:pPr>
        <w:pStyle w:val="null3"/>
      </w:pPr>
      <w:r>
        <w:rPr>
          <w:rFonts w:ascii="仿宋_GB2312" w:hAnsi="仿宋_GB2312" w:cs="仿宋_GB2312" w:eastAsia="仿宋_GB2312"/>
        </w:rPr>
        <w:t>地址：陕西省西安市雁塔区南二环西段208号捷瑞智能大厦东区9楼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802,900.00</w:t>
      </w:r>
    </w:p>
    <w:p>
      <w:pPr>
        <w:pStyle w:val="null3"/>
      </w:pPr>
      <w:r>
        <w:rPr>
          <w:rFonts w:ascii="仿宋_GB2312" w:hAnsi="仿宋_GB2312" w:cs="仿宋_GB2312" w:eastAsia="仿宋_GB2312"/>
        </w:rPr>
        <w:t>采购包最高限价（元）: 802,900.00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李家河水源地基础建设围网项目</w:t>
            </w:r>
          </w:p>
        </w:tc>
        <w:tc>
          <w:tcPr>
            <w:tcW w:type="dxa" w:w="1384"/>
          </w:tcPr>
          <w:p>
            <w:pPr>
              <w:pStyle w:val="null3"/>
              <w:jc w:val="right"/>
            </w:pPr>
            <w:r>
              <w:rPr>
                <w:rFonts w:ascii="仿宋_GB2312" w:hAnsi="仿宋_GB2312" w:cs="仿宋_GB2312" w:eastAsia="仿宋_GB2312"/>
              </w:rPr>
              <w:t>5,500.00</w:t>
            </w:r>
          </w:p>
        </w:tc>
        <w:tc>
          <w:tcPr>
            <w:tcW w:type="dxa" w:w="1384"/>
          </w:tcPr>
          <w:p>
            <w:pPr>
              <w:pStyle w:val="null3"/>
              <w:jc w:val="right"/>
            </w:pPr>
            <w:r>
              <w:rPr>
                <w:rFonts w:ascii="仿宋_GB2312" w:hAnsi="仿宋_GB2312" w:cs="仿宋_GB2312" w:eastAsia="仿宋_GB2312"/>
              </w:rPr>
              <w:t>802,900.00</w:t>
            </w:r>
          </w:p>
        </w:tc>
        <w:tc>
          <w:tcPr>
            <w:tcW w:type="dxa" w:w="1384"/>
          </w:tcPr>
          <w:p>
            <w:pPr>
              <w:pStyle w:val="null3"/>
            </w:pPr>
            <w:r>
              <w:rPr>
                <w:rFonts w:ascii="仿宋_GB2312" w:hAnsi="仿宋_GB2312" w:cs="仿宋_GB2312" w:eastAsia="仿宋_GB2312"/>
              </w:rPr>
              <w:t>米</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标的名称：李家河水源地基础建设围网项目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1、防护网拆除工程</w:t>
            </w:r>
          </w:p>
          <w:tbl>
            <w:tblPr>
              <w:tblInd w:type="dxa" w:w="135"/>
              <w:tblBorders>
                <w:top w:val="none" w:color="000000" w:sz="4"/>
                <w:left w:val="none" w:color="000000" w:sz="4"/>
                <w:bottom w:val="none" w:color="000000" w:sz="4"/>
                <w:right w:val="none" w:color="000000" w:sz="4"/>
                <w:insideH w:val="none"/>
                <w:insideV w:val="none"/>
              </w:tblBorders>
            </w:tblPr>
            <w:tblGrid>
              <w:gridCol w:w="237"/>
              <w:gridCol w:w="1618"/>
              <w:gridCol w:w="257"/>
              <w:gridCol w:w="426"/>
            </w:tblGrid>
            <w:tr>
              <w:tc>
                <w:tcPr>
                  <w:tcW w:type="dxa" w:w="23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61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项目名称</w:t>
                  </w:r>
                </w:p>
              </w:tc>
              <w:tc>
                <w:tcPr>
                  <w:tcW w:type="dxa" w:w="2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计量单位</w:t>
                  </w:r>
                </w:p>
              </w:tc>
              <w:tc>
                <w:tcPr>
                  <w:tcW w:type="dxa" w:w="42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工程数量</w:t>
                  </w:r>
                </w:p>
              </w:tc>
            </w:tr>
            <w:tr>
              <w:tc>
                <w:tcPr>
                  <w:tcW w:type="dxa" w:w="237"/>
                  <w:vMerge/>
                  <w:tcBorders>
                    <w:top w:val="single" w:color="000000" w:sz="4"/>
                    <w:left w:val="single" w:color="000000" w:sz="4"/>
                    <w:bottom w:val="single" w:color="000000" w:sz="4"/>
                    <w:right w:val="single" w:color="000000" w:sz="4"/>
                  </w:tcBorders>
                </w:tcPr>
                <w:p/>
              </w:tc>
              <w:tc>
                <w:tcPr>
                  <w:tcW w:type="dxa" w:w="1618"/>
                  <w:vMerge/>
                  <w:tcBorders>
                    <w:top w:val="single" w:color="000000" w:sz="4"/>
                    <w:left w:val="none" w:color="000000" w:sz="4"/>
                    <w:bottom w:val="single" w:color="000000" w:sz="4"/>
                    <w:right w:val="single" w:color="000000" w:sz="4"/>
                  </w:tcBorders>
                </w:tcPr>
                <w:p/>
              </w:tc>
              <w:tc>
                <w:tcPr>
                  <w:tcW w:type="dxa" w:w="257"/>
                  <w:vMerge/>
                  <w:tcBorders>
                    <w:top w:val="single" w:color="000000" w:sz="4"/>
                    <w:left w:val="none" w:color="000000" w:sz="4"/>
                    <w:bottom w:val="single" w:color="000000" w:sz="4"/>
                    <w:right w:val="single" w:color="000000" w:sz="4"/>
                  </w:tcBorders>
                </w:tcPr>
                <w:p/>
              </w:tc>
              <w:tc>
                <w:tcPr>
                  <w:tcW w:type="dxa" w:w="426"/>
                  <w:vMerge/>
                  <w:tcBorders>
                    <w:top w:val="single" w:color="000000" w:sz="4"/>
                    <w:left w:val="none" w:color="000000" w:sz="4"/>
                    <w:bottom w:val="single" w:color="000000" w:sz="4"/>
                    <w:right w:val="single" w:color="000000" w:sz="4"/>
                  </w:tcBorders>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拆除</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对水源地东、西采峪二级保护区内损坏防护网拆除：（</w:t>
                  </w:r>
                  <w:r>
                    <w:rPr>
                      <w:rFonts w:ascii="仿宋_GB2312" w:hAnsi="仿宋_GB2312" w:cs="仿宋_GB2312" w:eastAsia="仿宋_GB2312"/>
                      <w:sz w:val="24"/>
                    </w:rPr>
                    <w:t>1）立杆拆除；（2）网面拆除（3）刀片刺绳拆除；（4）拆除后防护网拉运</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2000</w:t>
                  </w:r>
                </w:p>
              </w:tc>
            </w:tr>
          </w:tbl>
          <w:p>
            <w:pPr>
              <w:pStyle w:val="null3"/>
              <w:jc w:val="both"/>
            </w:pPr>
            <w:r>
              <w:rPr>
                <w:rFonts w:ascii="仿宋_GB2312" w:hAnsi="仿宋_GB2312" w:cs="仿宋_GB2312" w:eastAsia="仿宋_GB2312"/>
                <w:sz w:val="24"/>
              </w:rPr>
              <w:t>2、防护网新建工程</w:t>
            </w:r>
          </w:p>
          <w:tbl>
            <w:tblPr>
              <w:tblInd w:type="dxa" w:w="135"/>
              <w:tblBorders>
                <w:top w:val="none" w:color="000000" w:sz="4"/>
                <w:left w:val="none" w:color="000000" w:sz="4"/>
                <w:bottom w:val="none" w:color="000000" w:sz="4"/>
                <w:right w:val="none" w:color="000000" w:sz="4"/>
                <w:insideH w:val="none"/>
                <w:insideV w:val="none"/>
              </w:tblBorders>
            </w:tblPr>
            <w:tblGrid>
              <w:gridCol w:w="238"/>
              <w:gridCol w:w="1604"/>
              <w:gridCol w:w="252"/>
              <w:gridCol w:w="443"/>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项目名称</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计量单位</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工程数量</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新建</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rPr>
                    <w:t>在水源地东、西采峪二级及准保护区防护网新建：（</w:t>
                  </w:r>
                  <w:r>
                    <w:rPr>
                      <w:rFonts w:ascii="仿宋_GB2312" w:hAnsi="仿宋_GB2312" w:cs="仿宋_GB2312" w:eastAsia="仿宋_GB2312"/>
                      <w:sz w:val="24"/>
                    </w:rPr>
                    <w:t>1）立柱6cm，厚度2.5mm，塑前无下差，镀锌管，塑后4mm；（2）边框4.8cm，厚度1.5mm，塑前无下差，镀锌管,塑后2.5mm；（3）镀锌板框网尺寸高 2 米长3 米，网孔6*10cm，丝径2.5mm；（4）Y 型柱总高 3.1 米/根，上面 Y 型 0.5 米；（5）安装方式：预埋 40 公分；（6）表面处理：浸塑绿色；（7）刀片刺绳；</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3500</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符合国家现行有关标准、规范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详见采购需求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1.工期：60日历天; 2.项目地点：李家河二级、准保护区; 3.支付约定：合同签订后支付合同总价款40%作为预付款，工程主要材料进场并完成主体安装后，支付至合同总价的70%（即再支付合同总价的30%），工程全部完工、竣工验收合格后10个工作日内支付至合同总价的100%（即再支付合同总价的30%）; 4.质量保修范围和保修期：二年.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主体身份</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或2025年度财务报告（成立时间至开标时间不足一年的可提供成立后任意时段的资产负债表。投标人是企业的，财务报告是指经会计师事务所审计的上述指定年度整个会计年度财务报表（须提供会计师事务所出具的审计报告复印件）,复印件至少须包括报告正文、资产负债表、现金流量表、利润表、所有者权益变动表、附注和会计师事务所营业执照，报告正文应当有会计师事务所公章和2名注册会计师的签字及盖章。且2022年10月1日后出具的审计报告应当经过注册会计师行业统一监管平台备案赋码。）或开标前六个月内其基本账户银行出具的资信证明或政府采购信用担保机构出具的担保函。（以上三种形式的资料提供任意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供应商提供2025年09月至今已缴存的至少1个月的依法缴纳税收的相关凭据。依法免税或无须缴纳税收的供应商，应提供相应证明文件；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供应商提供2025年09月至今已缴存的至少1个月的社会保障资金缴存单据或社保机构开具的社会保险参保缴费情况证明。依法不需要缴纳社会保障资金的供应商应提供相关证明文件；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具备建设行政主管部门颁发的建筑工程施工总承包三级及以上资质,具有建设行政主管部门颁发的安全生产许可证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拟派项目负责人资质要求</w:t>
            </w:r>
          </w:p>
        </w:tc>
        <w:tc>
          <w:tcPr>
            <w:tcW w:type="dxa" w:w="3322"/>
          </w:tcPr>
          <w:p>
            <w:pPr>
              <w:pStyle w:val="null3"/>
            </w:pPr>
            <w:r>
              <w:rPr>
                <w:rFonts w:ascii="仿宋_GB2312" w:hAnsi="仿宋_GB2312" w:cs="仿宋_GB2312" w:eastAsia="仿宋_GB2312"/>
              </w:rPr>
              <w:t>项目经理具有建筑工程专业贰级（含贰级）以上建造师证及安全生产考核合格证且无在建工程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法人或授权委托人</w:t>
            </w:r>
          </w:p>
        </w:tc>
        <w:tc>
          <w:tcPr>
            <w:tcW w:type="dxa" w:w="3322"/>
          </w:tcPr>
          <w:p>
            <w:pPr>
              <w:pStyle w:val="null3"/>
            </w:pPr>
            <w:r>
              <w:rPr>
                <w:rFonts w:ascii="仿宋_GB2312" w:hAnsi="仿宋_GB2312" w:cs="仿宋_GB2312" w:eastAsia="仿宋_GB2312"/>
              </w:rPr>
              <w:t>法定代表人直接参加磋商的，须出具法人身份证;法定代表人授权代表参加磋商的，须出具法定代表人授权书及授权代表身份证;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财务及信誉要求</w:t>
            </w:r>
          </w:p>
        </w:tc>
        <w:tc>
          <w:tcPr>
            <w:tcW w:type="dxa" w:w="3322"/>
          </w:tcPr>
          <w:p>
            <w:pPr>
              <w:pStyle w:val="null3"/>
            </w:pPr>
            <w:r>
              <w:rPr>
                <w:rFonts w:ascii="仿宋_GB2312" w:hAnsi="仿宋_GB2312" w:cs="仿宋_GB2312" w:eastAsia="仿宋_GB2312"/>
              </w:rPr>
              <w:t>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本项目不接受联合体磋商，提供非联合体磋商声明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磋商响应文件中项目名称、项目编号、包号与本项目一致，无遗漏</w:t>
            </w:r>
          </w:p>
        </w:tc>
        <w:tc>
          <w:tcPr>
            <w:tcW w:type="dxa" w:w="3322"/>
          </w:tcPr>
          <w:p>
            <w:pPr>
              <w:pStyle w:val="null3"/>
            </w:pPr>
            <w:r>
              <w:rPr>
                <w:rFonts w:ascii="仿宋_GB2312" w:hAnsi="仿宋_GB2312" w:cs="仿宋_GB2312" w:eastAsia="仿宋_GB2312"/>
              </w:rPr>
              <w:t>磋商响应文件中项目名称、项目编号、包号与本项目一致，无遗漏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磋商响应文件签署、盖章及磋商有效期符合磋商文件要求</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响应文件封面 响应函 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磋商内容未出现漏项或数量与要求不符</w:t>
            </w:r>
          </w:p>
        </w:tc>
        <w:tc>
          <w:tcPr>
            <w:tcW w:type="dxa" w:w="3322"/>
          </w:tcPr>
          <w:p>
            <w:pPr>
              <w:pStyle w:val="null3"/>
            </w:pPr>
            <w:r>
              <w:rPr>
                <w:rFonts w:ascii="仿宋_GB2312" w:hAnsi="仿宋_GB2312" w:cs="仿宋_GB2312" w:eastAsia="仿宋_GB2312"/>
              </w:rPr>
              <w:t>磋商内容未出现漏项或数量与要求不符</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磋商报价未超出采购预算或采购最高限价的</w:t>
            </w:r>
          </w:p>
        </w:tc>
        <w:tc>
          <w:tcPr>
            <w:tcW w:type="dxa" w:w="3322"/>
          </w:tcPr>
          <w:p>
            <w:pPr>
              <w:pStyle w:val="null3"/>
            </w:pPr>
            <w:r>
              <w:rPr>
                <w:rFonts w:ascii="仿宋_GB2312" w:hAnsi="仿宋_GB2312" w:cs="仿宋_GB2312" w:eastAsia="仿宋_GB2312"/>
              </w:rPr>
              <w:t>磋商报价未超出采购预算或采购最高限价的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无效磋商检查</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施工方案全面、合理，施工方法先进，可行性强，完全满足工程施工要求的得（8-12）分； 施工方案全面、合理，施工方法较先进，有一定的可行性，能满足工程施工要求的得（4-8）分； 施工方案存在部分不完整，施工方法针对本项目基本可行的得（1-4）分；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清晰合理的质量保证措施，实施方法安排合理，可行性强，具有详细明确的质量保证措施实施计划，能够确保工程保质完成的得（8-12）分； 质量保证措施安排合理，有一定的可行性，实施计划基本明确的能够基本保证项目完成质量的得（4-8）分； 质量保证措施安排合理性、可行性均较差的得（1-4）；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措施完整全面，能够从多方面保证安全生产，且合理性、可行性强的得（8-12）分；措施基本完整全面，能从多个方面确保安全生产，基本合理、可行的得（4-8）分； 措施不完整、全面，但有一定的可行性的得（1-4）分；未提供的不得分。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措施全面、完整，能从多方面确保文明施工、考虑影响环境得因素，并提出相关解决和防治措施，实施度高、可落地性强，可确保达到环境保护的要求得（8-12）分； 措施基本全面、完整，基本有一定的可行性，能基本满足文明施工、环境保护要求的得（4-8）分； 措施存在较大不合理性、内容简单的得（1-4）分；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清晰合理的工期计划措施，实施进度安排合理，可行性强，具有详细明确的实施进度计划表，能够确保工程如期保质完成的得（8-12）分； 进度安排合理，有一定的可行性，实施进度计划基本明确的能够基本保证项目如期完成的得（4-8）分； 进度安排合理性、可行性均较差的得（1-4）分； 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企业类似项目业绩</w:t>
            </w:r>
          </w:p>
        </w:tc>
        <w:tc>
          <w:tcPr>
            <w:tcW w:type="dxa" w:w="2492"/>
          </w:tcPr>
          <w:p>
            <w:pPr>
              <w:pStyle w:val="null3"/>
            </w:pPr>
            <w:r>
              <w:rPr>
                <w:rFonts w:ascii="仿宋_GB2312" w:hAnsi="仿宋_GB2312" w:cs="仿宋_GB2312" w:eastAsia="仿宋_GB2312"/>
              </w:rPr>
              <w:t>2023年5月至今，投标企业，承担过类似项目业绩，以合同或中标/成交通知书复印件并加盖单位公章为准，否则不得分。 每有1项得1分，最高得3分。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项目负责人类似业绩</w:t>
            </w:r>
          </w:p>
        </w:tc>
        <w:tc>
          <w:tcPr>
            <w:tcW w:type="dxa" w:w="2492"/>
          </w:tcPr>
          <w:p>
            <w:pPr>
              <w:pStyle w:val="null3"/>
            </w:pPr>
            <w:r>
              <w:rPr>
                <w:rFonts w:ascii="仿宋_GB2312" w:hAnsi="仿宋_GB2312" w:cs="仿宋_GB2312" w:eastAsia="仿宋_GB2312"/>
              </w:rPr>
              <w:t>2023年5月至今，项目负责人，承担过类似项目业绩，以合同或中标/成交通知书为准，否则不得分。 每有1项得1分，最高得2分。 注：项目负责人业绩为本公司业绩，可以累加到企业业绩。</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项目管理机构配置</w:t>
            </w:r>
          </w:p>
        </w:tc>
        <w:tc>
          <w:tcPr>
            <w:tcW w:type="dxa" w:w="2492"/>
          </w:tcPr>
          <w:p>
            <w:pPr>
              <w:pStyle w:val="null3"/>
            </w:pPr>
            <w:r>
              <w:rPr>
                <w:rFonts w:ascii="仿宋_GB2312" w:hAnsi="仿宋_GB2312" w:cs="仿宋_GB2312" w:eastAsia="仿宋_GB2312"/>
              </w:rPr>
              <w:t>1、拟派项目负责人具备工程类或相关类别中级以上职称得2分； 2、拟派技术负责人具备工程类或相关类别中级以上职称得2分，拟派技术负责人具备工程类或相关类别高级及以上职称得3分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技术标响应方案.docx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以实质性满足招标文件要求的最低投标价格为基准值，投标报价得分=（评标基准价/投标报价）×30。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详见附件：技术标响应方案.docx</w:t>
      </w:r>
    </w:p>
    <w:p>
      <w:pPr>
        <w:pStyle w:val="null3"/>
        <w:ind w:firstLine="960"/>
      </w:pPr>
      <w:r>
        <w:rPr>
          <w:rFonts w:ascii="仿宋_GB2312" w:hAnsi="仿宋_GB2312" w:cs="仿宋_GB2312" w:eastAsia="仿宋_GB2312"/>
        </w:rPr>
        <w:t>详见附件：法定代表人授权书.docx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