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61A0B">
      <w:pPr>
        <w:jc w:val="center"/>
        <w:outlineLvl w:val="0"/>
        <w:rPr>
          <w:rFonts w:hint="eastAsia" w:ascii="仿宋" w:hAnsi="仿宋" w:eastAsia="仿宋" w:cs="仿宋"/>
          <w:b/>
          <w:color w:val="000000"/>
          <w:spacing w:val="20"/>
          <w:sz w:val="48"/>
          <w:szCs w:val="52"/>
          <w:highlight w:val="none"/>
          <w:lang w:eastAsia="zh-CN"/>
        </w:rPr>
      </w:pPr>
      <w:bookmarkStart w:id="0" w:name="_Toc28948"/>
    </w:p>
    <w:p w14:paraId="6ABCAAB6">
      <w:pPr>
        <w:jc w:val="center"/>
        <w:outlineLvl w:val="0"/>
        <w:rPr>
          <w:rFonts w:hint="eastAsia" w:ascii="仿宋" w:hAnsi="仿宋" w:eastAsia="仿宋" w:cs="仿宋"/>
          <w:b/>
          <w:color w:val="000000"/>
          <w:spacing w:val="20"/>
          <w:sz w:val="48"/>
          <w:szCs w:val="52"/>
          <w:highlight w:val="none"/>
          <w:lang w:eastAsia="zh-CN"/>
        </w:rPr>
      </w:pPr>
    </w:p>
    <w:p w14:paraId="26DD71CA">
      <w:pPr>
        <w:jc w:val="center"/>
        <w:outlineLvl w:val="0"/>
        <w:rPr>
          <w:rFonts w:hint="eastAsia" w:ascii="仿宋" w:hAnsi="仿宋" w:eastAsia="仿宋" w:cs="仿宋"/>
          <w:b/>
          <w:color w:val="000000"/>
          <w:spacing w:val="20"/>
          <w:sz w:val="48"/>
          <w:szCs w:val="52"/>
          <w:highlight w:val="none"/>
          <w:lang w:eastAsia="zh-CN"/>
        </w:rPr>
      </w:pPr>
    </w:p>
    <w:p w14:paraId="01C1E4F1">
      <w:pPr>
        <w:jc w:val="center"/>
        <w:outlineLvl w:val="0"/>
        <w:rPr>
          <w:rFonts w:hint="eastAsia" w:ascii="仿宋" w:hAnsi="仿宋" w:eastAsia="仿宋" w:cs="仿宋"/>
          <w:b/>
          <w:color w:val="000000"/>
          <w:spacing w:val="20"/>
          <w:sz w:val="48"/>
          <w:szCs w:val="52"/>
          <w:highlight w:val="none"/>
          <w:lang w:eastAsia="zh-CN"/>
        </w:rPr>
      </w:pPr>
      <w:r>
        <w:rPr>
          <w:rFonts w:hint="eastAsia" w:ascii="仿宋" w:hAnsi="仿宋" w:eastAsia="仿宋" w:cs="仿宋"/>
          <w:b/>
          <w:color w:val="000000"/>
          <w:spacing w:val="20"/>
          <w:sz w:val="48"/>
          <w:szCs w:val="52"/>
          <w:highlight w:val="none"/>
          <w:lang w:eastAsia="zh-CN"/>
        </w:rPr>
        <w:t>李家河水源地基础建设围网项目</w:t>
      </w:r>
    </w:p>
    <w:bookmarkEnd w:id="0"/>
    <w:p w14:paraId="4BAB2640">
      <w:pPr>
        <w:rPr>
          <w:rFonts w:hint="eastAsia" w:ascii="仿宋" w:hAnsi="仿宋" w:eastAsia="仿宋" w:cs="仿宋"/>
          <w:color w:val="000000"/>
          <w:highlight w:val="none"/>
        </w:rPr>
      </w:pPr>
    </w:p>
    <w:p w14:paraId="6C134D89">
      <w:pPr>
        <w:pStyle w:val="5"/>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(以最终签订</w:t>
      </w:r>
      <w:bookmarkStart w:id="35" w:name="_GoBack"/>
      <w:bookmarkEnd w:id="35"/>
      <w:r>
        <w:rPr>
          <w:rFonts w:hint="eastAsia" w:ascii="仿宋" w:hAnsi="仿宋" w:eastAsia="仿宋" w:cs="仿宋"/>
          <w:color w:val="000000"/>
          <w:highlight w:val="none"/>
          <w:lang w:val="en-US" w:eastAsia="zh-CN"/>
        </w:rPr>
        <w:t>合同为准)</w:t>
      </w:r>
    </w:p>
    <w:p w14:paraId="205742AE">
      <w:pPr>
        <w:rPr>
          <w:rFonts w:hint="eastAsia" w:ascii="仿宋" w:hAnsi="仿宋" w:eastAsia="仿宋" w:cs="仿宋"/>
        </w:rPr>
      </w:pPr>
    </w:p>
    <w:p w14:paraId="49F84DAC">
      <w:pPr>
        <w:rPr>
          <w:rFonts w:hint="eastAsia" w:ascii="仿宋" w:hAnsi="仿宋" w:eastAsia="仿宋" w:cs="仿宋"/>
          <w:color w:val="000000"/>
          <w:highlight w:val="none"/>
        </w:rPr>
      </w:pPr>
    </w:p>
    <w:p w14:paraId="4A7A9A51">
      <w:pPr>
        <w:rPr>
          <w:rFonts w:hint="eastAsia" w:ascii="仿宋" w:hAnsi="仿宋" w:eastAsia="仿宋" w:cs="仿宋"/>
          <w:color w:val="000000"/>
          <w:highlight w:val="none"/>
        </w:rPr>
      </w:pPr>
    </w:p>
    <w:p w14:paraId="269D6953">
      <w:pPr>
        <w:rPr>
          <w:rFonts w:hint="eastAsia" w:ascii="仿宋" w:hAnsi="仿宋" w:eastAsia="仿宋" w:cs="仿宋"/>
          <w:color w:val="000000"/>
          <w:highlight w:val="none"/>
        </w:rPr>
      </w:pPr>
    </w:p>
    <w:p w14:paraId="59F23A20">
      <w:pPr>
        <w:rPr>
          <w:rFonts w:hint="eastAsia" w:ascii="仿宋" w:hAnsi="仿宋" w:eastAsia="仿宋" w:cs="仿宋"/>
          <w:color w:val="000000"/>
          <w:highlight w:val="none"/>
        </w:rPr>
      </w:pPr>
    </w:p>
    <w:p w14:paraId="512F20DC">
      <w:pPr>
        <w:rPr>
          <w:rFonts w:hint="eastAsia" w:ascii="仿宋" w:hAnsi="仿宋" w:eastAsia="仿宋" w:cs="仿宋"/>
          <w:color w:val="000000"/>
          <w:highlight w:val="none"/>
        </w:rPr>
      </w:pPr>
    </w:p>
    <w:p w14:paraId="02BB3F7A">
      <w:pPr>
        <w:rPr>
          <w:rFonts w:hint="eastAsia" w:ascii="仿宋" w:hAnsi="仿宋" w:eastAsia="仿宋" w:cs="仿宋"/>
          <w:color w:val="000000"/>
          <w:highlight w:val="none"/>
        </w:rPr>
      </w:pPr>
    </w:p>
    <w:p w14:paraId="55CF4B92">
      <w:pPr>
        <w:rPr>
          <w:rFonts w:hint="eastAsia" w:ascii="仿宋" w:hAnsi="仿宋" w:eastAsia="仿宋" w:cs="仿宋"/>
          <w:color w:val="000000"/>
          <w:highlight w:val="none"/>
        </w:rPr>
      </w:pPr>
    </w:p>
    <w:p w14:paraId="69A56BB0">
      <w:pPr>
        <w:pStyle w:val="5"/>
        <w:rPr>
          <w:rFonts w:hint="eastAsia" w:ascii="仿宋" w:hAnsi="仿宋" w:eastAsia="仿宋" w:cs="仿宋"/>
        </w:rPr>
      </w:pPr>
    </w:p>
    <w:p w14:paraId="05E6B02B">
      <w:pPr>
        <w:rPr>
          <w:rFonts w:hint="eastAsia" w:ascii="仿宋" w:hAnsi="仿宋" w:eastAsia="仿宋" w:cs="仿宋"/>
          <w:color w:val="000000"/>
          <w:highlight w:val="none"/>
        </w:rPr>
      </w:pPr>
    </w:p>
    <w:p w14:paraId="1E6610C7">
      <w:pPr>
        <w:rPr>
          <w:rFonts w:hint="eastAsia" w:ascii="仿宋" w:hAnsi="仿宋" w:eastAsia="仿宋" w:cs="仿宋"/>
          <w:color w:val="000000"/>
          <w:highlight w:val="none"/>
        </w:rPr>
      </w:pPr>
    </w:p>
    <w:p w14:paraId="15542ACA">
      <w:pPr>
        <w:rPr>
          <w:rFonts w:hint="eastAsia" w:ascii="仿宋" w:hAnsi="仿宋" w:eastAsia="仿宋" w:cs="仿宋"/>
          <w:color w:val="000000"/>
          <w:highlight w:val="none"/>
        </w:rPr>
      </w:pPr>
    </w:p>
    <w:p w14:paraId="07072B58">
      <w:pPr>
        <w:widowControl/>
        <w:snapToGrid w:val="0"/>
        <w:spacing w:line="720" w:lineRule="auto"/>
        <w:ind w:firstLine="750" w:firstLineChars="250"/>
        <w:jc w:val="left"/>
        <w:outlineLvl w:val="0"/>
        <w:rPr>
          <w:rFonts w:hint="eastAsia" w:ascii="仿宋" w:hAnsi="仿宋" w:eastAsia="仿宋" w:cs="仿宋"/>
          <w:bCs/>
          <w:color w:val="000000"/>
          <w:spacing w:val="-6"/>
          <w:sz w:val="30"/>
          <w:szCs w:val="30"/>
          <w:highlight w:val="none"/>
          <w:u w:val="single"/>
          <w:lang w:val="en-US" w:eastAsia="zh-CN"/>
        </w:rPr>
      </w:pPr>
      <w:bookmarkStart w:id="1" w:name="_Toc16919"/>
      <w:r>
        <w:rPr>
          <w:rFonts w:hint="eastAsia" w:ascii="仿宋" w:hAnsi="仿宋" w:eastAsia="仿宋" w:cs="仿宋"/>
          <w:bCs/>
          <w:color w:val="000000"/>
          <w:sz w:val="30"/>
          <w:szCs w:val="30"/>
          <w:highlight w:val="none"/>
        </w:rPr>
        <w:t>发包人：</w:t>
      </w:r>
      <w:r>
        <w:rPr>
          <w:rFonts w:hint="eastAsia" w:ascii="仿宋" w:hAnsi="仿宋" w:eastAsia="仿宋" w:cs="仿宋"/>
          <w:bCs/>
          <w:color w:val="000000"/>
          <w:sz w:val="30"/>
          <w:szCs w:val="30"/>
          <w:highlight w:val="none"/>
          <w:u w:val="single"/>
        </w:rPr>
        <w:t xml:space="preserve">  西安市李家河水源地环境保护管理站</w:t>
      </w:r>
      <w:r>
        <w:rPr>
          <w:rFonts w:hint="eastAsia" w:ascii="仿宋" w:hAnsi="仿宋" w:eastAsia="仿宋" w:cs="仿宋"/>
          <w:bCs/>
          <w:color w:val="000000"/>
          <w:spacing w:val="-6"/>
          <w:sz w:val="30"/>
          <w:szCs w:val="30"/>
          <w:highlight w:val="none"/>
          <w:u w:val="single"/>
          <w:lang w:val="en-US" w:eastAsia="zh-CN"/>
        </w:rPr>
        <w:t xml:space="preserve">        .</w:t>
      </w:r>
      <w:bookmarkEnd w:id="1"/>
    </w:p>
    <w:p w14:paraId="24658DBD">
      <w:pPr>
        <w:widowControl/>
        <w:snapToGrid w:val="0"/>
        <w:spacing w:line="720" w:lineRule="auto"/>
        <w:ind w:firstLine="750" w:firstLineChars="250"/>
        <w:jc w:val="left"/>
        <w:outlineLvl w:val="0"/>
        <w:rPr>
          <w:rFonts w:hint="eastAsia" w:ascii="仿宋" w:hAnsi="仿宋" w:eastAsia="仿宋" w:cs="仿宋"/>
          <w:bCs/>
          <w:color w:val="000000"/>
          <w:sz w:val="30"/>
          <w:szCs w:val="30"/>
          <w:highlight w:val="none"/>
          <w:u w:val="single"/>
        </w:rPr>
      </w:pPr>
      <w:bookmarkStart w:id="2" w:name="_Toc16680"/>
      <w:r>
        <w:rPr>
          <w:rFonts w:hint="eastAsia" w:ascii="仿宋" w:hAnsi="仿宋" w:eastAsia="仿宋" w:cs="仿宋"/>
          <w:bCs/>
          <w:color w:val="000000"/>
          <w:sz w:val="30"/>
          <w:szCs w:val="30"/>
          <w:highlight w:val="none"/>
        </w:rPr>
        <w:t xml:space="preserve">承包人： </w:t>
      </w:r>
      <w:r>
        <w:rPr>
          <w:rFonts w:hint="eastAsia" w:ascii="仿宋" w:hAnsi="仿宋" w:eastAsia="仿宋" w:cs="仿宋"/>
          <w:bCs/>
          <w:color w:val="000000"/>
          <w:sz w:val="30"/>
          <w:szCs w:val="30"/>
          <w:highlight w:val="none"/>
          <w:u w:val="single"/>
        </w:rPr>
        <w:t xml:space="preserve">                       </w:t>
      </w:r>
      <w:r>
        <w:rPr>
          <w:rFonts w:hint="eastAsia" w:ascii="仿宋" w:hAnsi="仿宋" w:eastAsia="仿宋" w:cs="仿宋"/>
          <w:bCs/>
          <w:color w:val="000000"/>
          <w:sz w:val="30"/>
          <w:szCs w:val="30"/>
          <w:highlight w:val="none"/>
          <w:u w:val="single"/>
          <w:lang w:val="en-US" w:eastAsia="zh-CN"/>
        </w:rPr>
        <w:t xml:space="preserve">         </w:t>
      </w:r>
      <w:r>
        <w:rPr>
          <w:rFonts w:hint="eastAsia" w:ascii="仿宋" w:hAnsi="仿宋" w:eastAsia="仿宋" w:cs="仿宋"/>
          <w:bCs/>
          <w:color w:val="000000"/>
          <w:sz w:val="30"/>
          <w:szCs w:val="30"/>
          <w:highlight w:val="none"/>
          <w:u w:val="single"/>
        </w:rPr>
        <w:t xml:space="preserve"> .</w:t>
      </w:r>
      <w:bookmarkEnd w:id="2"/>
    </w:p>
    <w:p w14:paraId="27E04A5B">
      <w:pPr>
        <w:rPr>
          <w:rFonts w:hint="eastAsia" w:ascii="仿宋" w:hAnsi="仿宋" w:eastAsia="仿宋" w:cs="仿宋"/>
          <w:highlight w:val="none"/>
        </w:rPr>
      </w:pPr>
    </w:p>
    <w:p w14:paraId="7AB4AAA0">
      <w:pPr>
        <w:widowControl/>
        <w:snapToGrid w:val="0"/>
        <w:spacing w:line="360" w:lineRule="auto"/>
        <w:ind w:firstLine="2560" w:firstLineChars="850"/>
        <w:jc w:val="left"/>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合同签订日期：20</w:t>
      </w:r>
      <w:r>
        <w:rPr>
          <w:rFonts w:hint="eastAsia" w:ascii="仿宋" w:hAnsi="仿宋" w:eastAsia="仿宋" w:cs="仿宋"/>
          <w:b/>
          <w:color w:val="000000"/>
          <w:sz w:val="30"/>
          <w:szCs w:val="30"/>
          <w:highlight w:val="none"/>
          <w:lang w:val="en-US" w:eastAsia="zh-CN"/>
        </w:rPr>
        <w:t>26</w:t>
      </w:r>
      <w:r>
        <w:rPr>
          <w:rFonts w:hint="eastAsia" w:ascii="仿宋" w:hAnsi="仿宋" w:eastAsia="仿宋" w:cs="仿宋"/>
          <w:b/>
          <w:color w:val="000000"/>
          <w:sz w:val="30"/>
          <w:szCs w:val="30"/>
          <w:highlight w:val="none"/>
        </w:rPr>
        <w:t>年  月   日</w:t>
      </w:r>
    </w:p>
    <w:p w14:paraId="0352B5FC">
      <w:pPr>
        <w:spacing w:line="720" w:lineRule="auto"/>
        <w:jc w:val="center"/>
        <w:rPr>
          <w:rFonts w:hint="eastAsia" w:ascii="仿宋" w:hAnsi="仿宋" w:eastAsia="仿宋" w:cs="仿宋"/>
          <w:b/>
          <w:bCs/>
          <w:color w:val="000000"/>
          <w:kern w:val="0"/>
          <w:sz w:val="40"/>
          <w:szCs w:val="40"/>
          <w:highlight w:val="none"/>
          <w:lang w:eastAsia="zh-CN"/>
        </w:rPr>
      </w:pPr>
    </w:p>
    <w:p w14:paraId="34FAB0F7">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p>
    <w:p w14:paraId="41127E4E">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甲方（发包方）：</w:t>
      </w:r>
    </w:p>
    <w:p w14:paraId="3F12C46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联系地址：</w:t>
      </w:r>
    </w:p>
    <w:p w14:paraId="490A2C96">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联系电话：</w:t>
      </w:r>
    </w:p>
    <w:p w14:paraId="29531E14">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乙方（承包方）：</w:t>
      </w:r>
    </w:p>
    <w:p w14:paraId="639A7E0E">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联系地址：</w:t>
      </w:r>
    </w:p>
    <w:p w14:paraId="0B82F5D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联系电话：</w:t>
      </w:r>
    </w:p>
    <w:p w14:paraId="13B40D8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依据《中华人民共和国民法典》及相关法律法规，甲乙双方本着平等自愿、公平诚信、权责对等的原则，就李家河水源地基础建设围网项目（工程名称）事宜，经协商一致，订立本合同，以资共同信守。</w:t>
      </w:r>
    </w:p>
    <w:p w14:paraId="4237537D">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一、工程概况</w:t>
      </w:r>
    </w:p>
    <w:p w14:paraId="320826A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工程名称：李家河水源地基础建设围网项目</w:t>
      </w:r>
    </w:p>
    <w:p w14:paraId="54710785">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工程地点：李家河二级、准保护区</w:t>
      </w:r>
    </w:p>
    <w:p w14:paraId="53E2F32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工程内容：对损坏的2公里防护网拆除，二级、准保护区采购及安装3.5公里防护网</w:t>
      </w:r>
    </w:p>
    <w:p w14:paraId="0B870E02">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4. 工期：自______年____月____日起至______年____月____日止，总工期______天；若因甲方原因、不可抗力或乙方合理申请，工期可相应顺延（顺延需双方书面确认）。</w:t>
      </w:r>
    </w:p>
    <w:p w14:paraId="58C75910">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二、工程价款及支付方式</w:t>
      </w:r>
    </w:p>
    <w:p w14:paraId="449C59C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工程总价款：人民币__________元（大写：________________________），该价款已包含人工、材料、机械、运输、验收等全部相关费用，除双方书面约定外，甲方无需额外支付其他费用。</w:t>
      </w:r>
    </w:p>
    <w:p w14:paraId="42B9AB3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支付方式：</w:t>
      </w:r>
    </w:p>
    <w:p w14:paraId="4ADD0C8F">
      <w:pPr>
        <w:keepNext w:val="0"/>
        <w:keepLines w:val="0"/>
        <w:widowControl/>
        <w:suppressLineNumbers w:val="0"/>
        <w:spacing w:line="360" w:lineRule="auto"/>
        <w:ind w:firstLine="480" w:firstLineChars="200"/>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合同签订后支付合同总价款40%作为预付款，工程主要材料进场并完成主体安装后，支付至合同总价的70%（即再支付合同总价的30%）,工程全部完工、竣工验收合格后10个工作日内支付至合同总价的100%（即再支付合同总价的30%）。</w:t>
      </w:r>
    </w:p>
    <w:p w14:paraId="4ACEAB72">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乙方需在甲方付款前，提供合法有效的收款凭证，否则甲方有权顺延付款，且不承担逾期付款责任。</w:t>
      </w:r>
    </w:p>
    <w:p w14:paraId="142FE0E3">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三、双方权责</w:t>
      </w:r>
    </w:p>
    <w:p w14:paraId="45E02D39">
      <w:pPr>
        <w:pStyle w:val="4"/>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（一）甲方权责</w:t>
      </w:r>
    </w:p>
    <w:p w14:paraId="2E98A6BB">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按合同约定及时支付工程价款，配合乙方协调施工过程中的相关事宜；</w:t>
      </w:r>
    </w:p>
    <w:p w14:paraId="78DD703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负责组织工程竣工验收，验收合格后出具验收确认单。</w:t>
      </w:r>
    </w:p>
    <w:p w14:paraId="6B060AB4">
      <w:pPr>
        <w:pStyle w:val="4"/>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（二）乙方权责</w:t>
      </w:r>
    </w:p>
    <w:p w14:paraId="5E121AD6">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严格按照合同约定及相关规范要求施工，保证工程质量，达到国家或行业合格标准；</w:t>
      </w:r>
    </w:p>
    <w:p w14:paraId="37B2A9C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负责施工过程中的安全管理，承担施工人员安全、施工设备安全及施工现场安全责任，若发生安全事故，由乙方承担全部损失；</w:t>
      </w:r>
    </w:p>
    <w:p w14:paraId="717B809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按时完成施工任务，如需顺延工期，需提前______日书面通知甲方，经甲方确认后方可顺延；</w:t>
      </w:r>
    </w:p>
    <w:p w14:paraId="0D3A24B0">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4. 工程完工后，及时通知甲方进行验收，并提供完整的施工资料。</w:t>
      </w:r>
    </w:p>
    <w:p w14:paraId="2969CA19">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四、工程质量与验收</w:t>
      </w:r>
    </w:p>
    <w:p w14:paraId="7BA6440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乙方施工需符合国家及行业相关施工规范、质量标准，确保工程无质量隐患；</w:t>
      </w:r>
    </w:p>
    <w:p w14:paraId="3AD4DFA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工程完工后，乙方提交验收申请，甲方应在______日内组织验收，验收合格的，双方签署验收确认单；验收不合格的，乙方需在甲方指定期限内整改，整改费用由乙方承担，工期不予顺延。</w:t>
      </w:r>
    </w:p>
    <w:p w14:paraId="797B8445">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五、违约责任</w:t>
      </w:r>
    </w:p>
    <w:p w14:paraId="657F9D7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甲方逾期支付工程价款的，每逾期一日，按逾期金额的______‰向乙方支付违约金；逾期超过______日，乙方有权暂停施工，由此造成的损失由甲方承担。</w:t>
      </w:r>
    </w:p>
    <w:p w14:paraId="545DBB58">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乙方未按合同约定工期完工的，每逾期一日，按工程总价款的______‰向甲方支付违约金；逾期超过______日，甲方有权解除合同，乙方需退还甲方已支付的全部款项，并赔偿甲方相应损失。</w:t>
      </w:r>
    </w:p>
    <w:p w14:paraId="6AD5A1CE">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乙方施工工程质量不合格，经整改后仍不合格的，甲方有权解除合同，乙方需承担工程总价款______%的违约金，并赔偿甲方损失。</w:t>
      </w:r>
    </w:p>
    <w:p w14:paraId="2CB328FA">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六、不可抗力</w:t>
      </w:r>
    </w:p>
    <w:p w14:paraId="18FEDA2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因地震、台风、洪水、战争等不可抗力因素导致本合同无法履行或延迟履行的，遭遇不可抗力一方应及时通知对方，并在不可抗力发生后______日内提供相关证明，双方根据不可抗力影响程度，协商解除合同、免除部分责任或顺延工期。</w:t>
      </w:r>
    </w:p>
    <w:p w14:paraId="55423C32">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七、争议解决</w:t>
      </w:r>
    </w:p>
    <w:p w14:paraId="6512F9D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本合同履行过程中发生的争议，双方应首先协商解决；协商不成的，任何一方均有权向__________（工程所在地/甲方所在地/乙方所在地）人民法院提起诉讼。</w:t>
      </w:r>
    </w:p>
    <w:p w14:paraId="165D0D66">
      <w:pPr>
        <w:pStyle w:val="3"/>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sz w:val="24"/>
          <w:szCs w:val="24"/>
        </w:rPr>
        <w:t>八、其他</w:t>
      </w:r>
    </w:p>
    <w:p w14:paraId="7FB9CA53">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1. 本合同自双方签字盖章之日起生效，一式两份，甲乙双方各执一份，具有同等法律效力；</w:t>
      </w:r>
    </w:p>
    <w:p w14:paraId="015AB6D1">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 本合同未尽事宜，双方可另行签订补充协议，补充协议与本合同具有同等法律效力；</w:t>
      </w:r>
    </w:p>
    <w:p w14:paraId="390ACB7F">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3. 双方的联系地址、联系电话作为本合同的有效送达地址，任何一方变更联系方式，应提前______日书面通知对方，否则因此产生的送达不能、延误等后果由变更方承担。</w:t>
      </w:r>
    </w:p>
    <w:p w14:paraId="03443EC7">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（以下无正文）</w:t>
      </w:r>
    </w:p>
    <w:p w14:paraId="4E0185DF">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甲方（签字/盖章）：                        乙方（签字/盖章）：</w:t>
      </w:r>
    </w:p>
    <w:p w14:paraId="28FAA693">
      <w:pPr>
        <w:keepNext w:val="0"/>
        <w:keepLines w:val="0"/>
        <w:widowControl/>
        <w:suppressLineNumbers w:val="0"/>
        <w:spacing w:line="360" w:lineRule="auto"/>
        <w:jc w:val="left"/>
        <w:rPr>
          <w:rFonts w:hint="eastAsia" w:ascii="仿宋" w:hAnsi="仿宋" w:eastAsia="仿宋" w:cs="仿宋"/>
          <w:kern w:val="0"/>
          <w:sz w:val="24"/>
          <w:szCs w:val="24"/>
          <w:lang w:val="en-US" w:eastAsia="zh-CN" w:bidi="ar"/>
        </w:rPr>
      </w:pPr>
    </w:p>
    <w:p w14:paraId="1F0E26B4">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签订日期：   年   月   日                  签订日期：   年   月   日</w:t>
      </w:r>
    </w:p>
    <w:p w14:paraId="435BCE6F">
      <w:pPr>
        <w:keepNext w:val="0"/>
        <w:keepLines w:val="0"/>
        <w:widowControl/>
        <w:suppressLineNumbers w:val="0"/>
        <w:jc w:val="left"/>
        <w:rPr>
          <w:rFonts w:hint="eastAsia" w:ascii="仿宋" w:hAnsi="仿宋" w:eastAsia="仿宋" w:cs="仿宋"/>
          <w:lang w:val="en-US"/>
        </w:rPr>
      </w:pPr>
    </w:p>
    <w:p w14:paraId="48690FEA">
      <w:pPr>
        <w:rPr>
          <w:rFonts w:hint="eastAsia" w:ascii="仿宋" w:hAnsi="仿宋" w:eastAsia="仿宋" w:cs="仿宋"/>
          <w:color w:val="000000"/>
          <w:sz w:val="24"/>
          <w:szCs w:val="24"/>
          <w:highlight w:val="none"/>
        </w:rPr>
      </w:pPr>
      <w:bookmarkStart w:id="3" w:name="_Toc13909"/>
      <w:r>
        <w:rPr>
          <w:rFonts w:hint="eastAsia" w:ascii="仿宋" w:hAnsi="仿宋" w:eastAsia="仿宋" w:cs="仿宋"/>
          <w:color w:val="000000"/>
          <w:sz w:val="24"/>
          <w:szCs w:val="24"/>
          <w:highlight w:val="none"/>
        </w:rPr>
        <w:br w:type="page"/>
      </w:r>
    </w:p>
    <w:p w14:paraId="64FF6E09">
      <w:pPr>
        <w:spacing w:line="440" w:lineRule="exac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w:t>
      </w:r>
      <w:bookmarkStart w:id="4" w:name="_Toc296503232"/>
      <w:bookmarkStart w:id="5" w:name="_Toc296944571"/>
      <w:bookmarkStart w:id="6" w:name="_Toc267261702"/>
      <w:bookmarkStart w:id="7" w:name="_Toc296891060"/>
      <w:bookmarkStart w:id="8" w:name="_Toc296347231"/>
      <w:bookmarkStart w:id="9" w:name="_Toc296891272"/>
      <w:bookmarkStart w:id="10" w:name="_Toc296346733"/>
      <w:r>
        <w:rPr>
          <w:rFonts w:hint="eastAsia" w:ascii="仿宋" w:hAnsi="仿宋" w:eastAsia="仿宋" w:cs="仿宋"/>
          <w:color w:val="000000"/>
          <w:sz w:val="24"/>
          <w:szCs w:val="24"/>
          <w:highlight w:val="none"/>
        </w:rPr>
        <w:t>件1</w:t>
      </w:r>
      <w:bookmarkEnd w:id="3"/>
    </w:p>
    <w:p w14:paraId="0836762A">
      <w:pPr>
        <w:snapToGrid w:val="0"/>
        <w:spacing w:line="480" w:lineRule="atLeast"/>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施工安全生产责任书</w:t>
      </w:r>
    </w:p>
    <w:p w14:paraId="6B93505F">
      <w:pPr>
        <w:spacing w:line="380" w:lineRule="exact"/>
        <w:ind w:firstLine="480" w:firstLineChars="200"/>
        <w:rPr>
          <w:rFonts w:hint="eastAsia" w:ascii="仿宋" w:hAnsi="仿宋" w:eastAsia="仿宋" w:cs="仿宋"/>
          <w:color w:val="000000"/>
          <w:sz w:val="24"/>
          <w:szCs w:val="24"/>
          <w:highlight w:val="none"/>
        </w:rPr>
      </w:pPr>
    </w:p>
    <w:p w14:paraId="7F58A885">
      <w:pPr>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发包人（甲方）：</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color w:val="000000"/>
          <w:sz w:val="24"/>
          <w:szCs w:val="24"/>
          <w:highlight w:val="none"/>
          <w:u w:val="single"/>
        </w:rPr>
        <w:t xml:space="preserve">                                          </w:t>
      </w:r>
    </w:p>
    <w:p w14:paraId="3DC93592">
      <w:pPr>
        <w:snapToGrid w:val="0"/>
        <w:spacing w:line="48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承包人（乙方）：</w:t>
      </w:r>
      <w:r>
        <w:rPr>
          <w:rFonts w:hint="eastAsia" w:ascii="仿宋" w:hAnsi="仿宋" w:eastAsia="仿宋" w:cs="仿宋"/>
          <w:b/>
          <w:color w:val="000000"/>
          <w:sz w:val="24"/>
          <w:szCs w:val="24"/>
          <w:highlight w:val="none"/>
          <w:u w:val="single"/>
        </w:rPr>
        <w:t xml:space="preserve">                                           </w:t>
      </w:r>
    </w:p>
    <w:p w14:paraId="634D84B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加强建设工程安全生产管理，落实安全生产责任，防止和减少生产安全事故，经甲乙丙各方在平等、自愿的基础上协商一致，根据《中华人民共和国安全生产法》、《建设工程安全生产管理条例》及相关法律、法规的规定，达成如下合同：</w:t>
      </w:r>
    </w:p>
    <w:p w14:paraId="2EB2B5B5">
      <w:pPr>
        <w:widowControl/>
        <w:snapToGrid w:val="0"/>
        <w:spacing w:line="480" w:lineRule="exact"/>
        <w:ind w:firstLine="480" w:firstLineChars="200"/>
        <w:rPr>
          <w:rFonts w:hint="eastAsia" w:ascii="仿宋" w:hAnsi="仿宋" w:eastAsia="仿宋" w:cs="仿宋"/>
          <w:color w:val="000000"/>
          <w:sz w:val="24"/>
          <w:szCs w:val="24"/>
          <w:highlight w:val="none"/>
        </w:rPr>
      </w:pPr>
      <w:bookmarkStart w:id="11" w:name="_Toc359913019"/>
      <w:bookmarkStart w:id="12" w:name="_Toc419886958"/>
      <w:r>
        <w:rPr>
          <w:rFonts w:hint="eastAsia" w:ascii="仿宋" w:hAnsi="仿宋" w:eastAsia="仿宋" w:cs="仿宋"/>
          <w:color w:val="000000"/>
          <w:sz w:val="24"/>
          <w:szCs w:val="24"/>
          <w:highlight w:val="none"/>
        </w:rPr>
        <w:t>一、建设工程安全生产管理目标及必须达到的安全事故控制指标</w:t>
      </w:r>
      <w:bookmarkEnd w:id="11"/>
      <w:bookmarkEnd w:id="12"/>
    </w:p>
    <w:p w14:paraId="59CA7FA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4A0DFD8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1、因工死亡率为零；</w:t>
      </w:r>
    </w:p>
    <w:p w14:paraId="20BA832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2、因工重伤率为零；</w:t>
      </w:r>
    </w:p>
    <w:p w14:paraId="07170C3A">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3、因工轻伤事故率不高于5%；</w:t>
      </w:r>
    </w:p>
    <w:p w14:paraId="731C101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4、不发生损失额1万元以上的机械、设备、交通和火灾事故。</w:t>
      </w:r>
    </w:p>
    <w:p w14:paraId="57772A4D">
      <w:pPr>
        <w:widowControl/>
        <w:snapToGrid w:val="0"/>
        <w:spacing w:line="480" w:lineRule="exact"/>
        <w:ind w:firstLine="480" w:firstLineChars="200"/>
        <w:rPr>
          <w:rFonts w:hint="eastAsia" w:ascii="仿宋" w:hAnsi="仿宋" w:eastAsia="仿宋" w:cs="仿宋"/>
          <w:color w:val="000000"/>
          <w:sz w:val="24"/>
          <w:szCs w:val="24"/>
          <w:highlight w:val="none"/>
        </w:rPr>
      </w:pPr>
      <w:bookmarkStart w:id="13" w:name="_Toc419886959"/>
      <w:bookmarkStart w:id="14" w:name="_Toc359913020"/>
      <w:r>
        <w:rPr>
          <w:rFonts w:hint="eastAsia" w:ascii="仿宋" w:hAnsi="仿宋" w:eastAsia="仿宋" w:cs="仿宋"/>
          <w:color w:val="000000"/>
          <w:sz w:val="24"/>
          <w:szCs w:val="24"/>
          <w:highlight w:val="none"/>
        </w:rPr>
        <w:t>二、本合同有效期限</w:t>
      </w:r>
      <w:bookmarkEnd w:id="13"/>
      <w:bookmarkEnd w:id="14"/>
    </w:p>
    <w:p w14:paraId="02FD258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自承包人入驻施工场地之日起，至工程竣工验收合格交付发包人使用时止。</w:t>
      </w:r>
    </w:p>
    <w:p w14:paraId="0FD00001">
      <w:pPr>
        <w:widowControl/>
        <w:snapToGrid w:val="0"/>
        <w:spacing w:line="480" w:lineRule="exact"/>
        <w:ind w:firstLine="480" w:firstLineChars="200"/>
        <w:rPr>
          <w:rFonts w:hint="eastAsia" w:ascii="仿宋" w:hAnsi="仿宋" w:eastAsia="仿宋" w:cs="仿宋"/>
          <w:color w:val="000000"/>
          <w:sz w:val="24"/>
          <w:szCs w:val="24"/>
          <w:highlight w:val="none"/>
        </w:rPr>
      </w:pPr>
      <w:bookmarkStart w:id="15" w:name="_Toc359913021"/>
      <w:bookmarkStart w:id="16" w:name="_Toc419886960"/>
      <w:r>
        <w:rPr>
          <w:rFonts w:hint="eastAsia" w:ascii="仿宋" w:hAnsi="仿宋" w:eastAsia="仿宋" w:cs="仿宋"/>
          <w:color w:val="000000"/>
          <w:sz w:val="24"/>
          <w:szCs w:val="24"/>
          <w:highlight w:val="none"/>
        </w:rPr>
        <w:t>三、发包人的安全生产管理权利</w:t>
      </w:r>
      <w:bookmarkEnd w:id="15"/>
      <w:bookmarkEnd w:id="16"/>
    </w:p>
    <w:p w14:paraId="14B79E6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1、监督检查承包人的各项安全生产工作，对建筑工地现场实施日常检查和定期、不定期的巡查。</w:t>
      </w:r>
    </w:p>
    <w:p w14:paraId="05FD018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2、在实施检查、巡查过程中，发现建设工程存在安全事故隐患的，有权要求承包人暂时停止施工进行整改，直至消除安全事故隐患。</w:t>
      </w:r>
    </w:p>
    <w:p w14:paraId="05BB086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3、查阅与检查、巡查事项有关的文件、资料。并可根据实际情况，对施工现场进行检测、拍照、录音、摄像等。</w:t>
      </w:r>
    </w:p>
    <w:p w14:paraId="7EF6E2E3">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4、承包人违反安全生产约定或规定时，发包人有权要求其支付违约金，并承担其他违约责任。</w:t>
      </w:r>
    </w:p>
    <w:p w14:paraId="666C4C16">
      <w:pPr>
        <w:widowControl/>
        <w:snapToGrid w:val="0"/>
        <w:spacing w:line="480" w:lineRule="exact"/>
        <w:ind w:firstLine="480" w:firstLineChars="200"/>
        <w:rPr>
          <w:rFonts w:hint="eastAsia" w:ascii="仿宋" w:hAnsi="仿宋" w:eastAsia="仿宋" w:cs="仿宋"/>
          <w:color w:val="000000"/>
          <w:sz w:val="24"/>
          <w:szCs w:val="24"/>
          <w:highlight w:val="none"/>
        </w:rPr>
      </w:pPr>
      <w:bookmarkStart w:id="17" w:name="_Toc419886961"/>
      <w:bookmarkStart w:id="18" w:name="_Toc359913022"/>
      <w:r>
        <w:rPr>
          <w:rFonts w:hint="eastAsia" w:ascii="仿宋" w:hAnsi="仿宋" w:eastAsia="仿宋" w:cs="仿宋"/>
          <w:color w:val="000000"/>
          <w:sz w:val="24"/>
          <w:szCs w:val="24"/>
          <w:highlight w:val="none"/>
        </w:rPr>
        <w:t>四、发包人的安全生产管理义务</w:t>
      </w:r>
      <w:bookmarkEnd w:id="17"/>
      <w:bookmarkEnd w:id="18"/>
    </w:p>
    <w:p w14:paraId="5652D93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1、发包人不得对承包人提出不符合建设工程安全生产法律、法规和强制性标准的要求。</w:t>
      </w:r>
    </w:p>
    <w:p w14:paraId="70D454A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2、发包人不得明示或暗示承包人购买、租赁、使用不符合安全施工要求的安全防护用具、机械设备、施工机具及配件、消防设施和器材。</w:t>
      </w:r>
    </w:p>
    <w:p w14:paraId="13DD102D">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3、对承包人施工现场采取的安全施工技术措施，根据承包人的请求，提供必要的协助。</w:t>
      </w:r>
    </w:p>
    <w:p w14:paraId="0062F7A5">
      <w:pPr>
        <w:widowControl/>
        <w:snapToGrid w:val="0"/>
        <w:spacing w:line="480" w:lineRule="exact"/>
        <w:ind w:firstLine="480" w:firstLineChars="200"/>
        <w:rPr>
          <w:rFonts w:hint="eastAsia" w:ascii="仿宋" w:hAnsi="仿宋" w:eastAsia="仿宋" w:cs="仿宋"/>
          <w:color w:val="000000"/>
          <w:sz w:val="24"/>
          <w:szCs w:val="24"/>
          <w:highlight w:val="none"/>
        </w:rPr>
      </w:pPr>
      <w:bookmarkStart w:id="19" w:name="_Toc359913023"/>
      <w:bookmarkStart w:id="20" w:name="_Toc419886962"/>
      <w:r>
        <w:rPr>
          <w:rFonts w:hint="eastAsia" w:ascii="仿宋" w:hAnsi="仿宋" w:eastAsia="仿宋" w:cs="仿宋"/>
          <w:color w:val="000000"/>
          <w:sz w:val="24"/>
          <w:szCs w:val="24"/>
          <w:highlight w:val="none"/>
        </w:rPr>
        <w:t>五、承包人的安全生产责任与义务</w:t>
      </w:r>
      <w:bookmarkEnd w:id="19"/>
      <w:bookmarkEnd w:id="20"/>
    </w:p>
    <w:p w14:paraId="38C94556">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1、承包人应当在其资质等级许可范围内，并具备安全生产许可证的条件下承揽工程。</w:t>
      </w:r>
    </w:p>
    <w:p w14:paraId="207857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EA9D7A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3、建立、健全与落实安全生产责任制度、安全生产教育培训制度、安全生产规章制度和操作规程。</w:t>
      </w:r>
    </w:p>
    <w:p w14:paraId="60E98FA4">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4、设立安全生产管理机构，配备专职安全生产管理人员。</w:t>
      </w:r>
    </w:p>
    <w:p w14:paraId="39ABC46F">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64500E83">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6、随时接受发包人实施的安全检查、巡查、并按照发包人的要求进行整改，消除安全事故隐患，确保安全生产。</w:t>
      </w:r>
    </w:p>
    <w:p w14:paraId="271B1CD5">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7、承包人应当在施工现场入口处、施工起重机械、临时用电设施、脚手架、出入通道口、基坑边沿等危险部位，设置明显的安全警示标志，安全警示标志必须符合国家标准。</w:t>
      </w:r>
    </w:p>
    <w:p w14:paraId="234305F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8、承包人应根据不同施工阶段和周围环境及季节、气候气象的变化，在施工现场采取相应的安全施工措施。确保雨季等特殊气候气象情况下的施工安全。</w:t>
      </w:r>
    </w:p>
    <w:p w14:paraId="4FF2447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9、对建设工程施工进行定期和专项安全自检，并做好安全检查记录，及时发现并消除安全生产事故隐患。</w:t>
      </w:r>
    </w:p>
    <w:p w14:paraId="2B22937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10、在施工现场建立消防安全责任制度，确定消防安全责任人，制定用火、用电等各项消防安全管理制度和操作规程。</w:t>
      </w:r>
    </w:p>
    <w:p w14:paraId="64B25155">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11、制定实施工程现场生产安全事故应急救援预案，并定期组织演练。</w:t>
      </w:r>
    </w:p>
    <w:p w14:paraId="27A5E5F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12、根据安全生产法律、法规、规章及相关标准、规程的规定，承包人应承担的其它责任与义务。</w:t>
      </w:r>
    </w:p>
    <w:p w14:paraId="1FCC1E58">
      <w:pPr>
        <w:widowControl/>
        <w:snapToGrid w:val="0"/>
        <w:spacing w:line="480" w:lineRule="exact"/>
        <w:ind w:firstLine="480" w:firstLineChars="200"/>
        <w:rPr>
          <w:rFonts w:hint="eastAsia" w:ascii="仿宋" w:hAnsi="仿宋" w:eastAsia="仿宋" w:cs="仿宋"/>
          <w:color w:val="000000"/>
          <w:sz w:val="24"/>
          <w:szCs w:val="24"/>
          <w:highlight w:val="none"/>
        </w:rPr>
      </w:pPr>
      <w:bookmarkStart w:id="21" w:name="_Toc419886963"/>
      <w:bookmarkStart w:id="22" w:name="_Toc359913024"/>
      <w:r>
        <w:rPr>
          <w:rFonts w:hint="eastAsia" w:ascii="仿宋" w:hAnsi="仿宋" w:eastAsia="仿宋" w:cs="仿宋"/>
          <w:color w:val="000000"/>
          <w:sz w:val="24"/>
          <w:szCs w:val="24"/>
          <w:highlight w:val="none"/>
        </w:rPr>
        <w:t>六、现场停工整改约定</w:t>
      </w:r>
      <w:bookmarkEnd w:id="21"/>
      <w:bookmarkEnd w:id="22"/>
    </w:p>
    <w:p w14:paraId="44F6F220">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C0015A2">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2、承包人进行整改后，经发包人检查已消除安全事故隐患的，可以进行复工。</w:t>
      </w:r>
    </w:p>
    <w:p w14:paraId="1623BEC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08EF79AD">
      <w:pPr>
        <w:widowControl/>
        <w:snapToGrid w:val="0"/>
        <w:spacing w:line="480" w:lineRule="exact"/>
        <w:ind w:firstLine="480" w:firstLineChars="200"/>
        <w:rPr>
          <w:rFonts w:hint="eastAsia" w:ascii="仿宋" w:hAnsi="仿宋" w:eastAsia="仿宋" w:cs="仿宋"/>
          <w:color w:val="000000"/>
          <w:sz w:val="24"/>
          <w:szCs w:val="24"/>
          <w:highlight w:val="none"/>
        </w:rPr>
      </w:pPr>
      <w:bookmarkStart w:id="23" w:name="_Toc419886964"/>
      <w:bookmarkStart w:id="24" w:name="_Toc359913025"/>
      <w:r>
        <w:rPr>
          <w:rFonts w:hint="eastAsia" w:ascii="仿宋" w:hAnsi="仿宋" w:eastAsia="仿宋" w:cs="仿宋"/>
          <w:color w:val="000000"/>
          <w:sz w:val="24"/>
          <w:szCs w:val="24"/>
          <w:highlight w:val="none"/>
        </w:rPr>
        <w:t>七、安全生产违约责任</w:t>
      </w:r>
      <w:bookmarkEnd w:id="23"/>
      <w:bookmarkEnd w:id="24"/>
    </w:p>
    <w:p w14:paraId="22081BEB">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06695961">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投标总价的2%。</w:t>
      </w:r>
    </w:p>
    <w:p w14:paraId="675248AF">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3、发包人从工程费中扣除一定金额作为违约金时，应当以书面形式通知承包人。其中：</w:t>
      </w:r>
    </w:p>
    <w:p w14:paraId="294BFC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（1）承包人有下列行为之一的，每次违约金金额为按承包人投标总价的1%扣除安全生产保证金。</w:t>
      </w:r>
    </w:p>
    <w:p w14:paraId="55BA99B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发生人员死亡的生产安全事故；</w:t>
      </w:r>
    </w:p>
    <w:p w14:paraId="78F0E34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发生人员重伤的生产安全事故。</w:t>
      </w:r>
    </w:p>
    <w:p w14:paraId="47AEA187">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（2）承包人有下列行为之一的，每次违约金金额为按承包人投标总价的0.5%扣除安全生产保证金。</w:t>
      </w:r>
    </w:p>
    <w:p w14:paraId="3FF7F62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发生人员轻伤的生产安全事故累计超过三次或一个月内连续发生两次；</w:t>
      </w:r>
    </w:p>
    <w:p w14:paraId="6A7E052C">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发生1万元以上的机械、设备、交通和火灾生产安全事故。</w:t>
      </w:r>
    </w:p>
    <w:p w14:paraId="4322EF7E">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4、发包人按本合同约定从工程费中扣除一定金额作为违约金，并不能免除承包人应承担的有关国家机关行政处罚与民事赔偿责任，以及应负的其他法律责任。</w:t>
      </w:r>
    </w:p>
    <w:p w14:paraId="572DB5BB">
      <w:pPr>
        <w:widowControl/>
        <w:snapToGrid w:val="0"/>
        <w:spacing w:line="480" w:lineRule="exact"/>
        <w:ind w:firstLine="480" w:firstLineChars="200"/>
        <w:rPr>
          <w:rFonts w:hint="eastAsia" w:ascii="仿宋" w:hAnsi="仿宋" w:eastAsia="仿宋" w:cs="仿宋"/>
          <w:color w:val="000000"/>
          <w:sz w:val="24"/>
          <w:szCs w:val="24"/>
          <w:highlight w:val="none"/>
        </w:rPr>
      </w:pPr>
      <w:bookmarkStart w:id="25" w:name="_Toc419886965"/>
      <w:bookmarkStart w:id="26" w:name="_Toc359913026"/>
      <w:r>
        <w:rPr>
          <w:rFonts w:hint="eastAsia" w:ascii="仿宋" w:hAnsi="仿宋" w:eastAsia="仿宋" w:cs="仿宋"/>
          <w:color w:val="000000"/>
          <w:sz w:val="24"/>
          <w:szCs w:val="24"/>
          <w:highlight w:val="none"/>
        </w:rPr>
        <w:t>八、附则</w:t>
      </w:r>
      <w:bookmarkEnd w:id="25"/>
      <w:bookmarkEnd w:id="26"/>
    </w:p>
    <w:p w14:paraId="59CBCE88">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1、本合同自各方签字、盖章、后即生效。</w:t>
      </w:r>
    </w:p>
    <w:p w14:paraId="4CDCE7B9">
      <w:pPr>
        <w:widowControl/>
        <w:snapToGrid w:val="0"/>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2、本合同同合同份数相同，具有同等法律效力。</w:t>
      </w:r>
    </w:p>
    <w:p w14:paraId="5C9BE38A">
      <w:pPr>
        <w:pStyle w:val="6"/>
        <w:tabs>
          <w:tab w:val="left" w:pos="0"/>
        </w:tabs>
        <w:snapToGrid w:val="0"/>
        <w:spacing w:line="390" w:lineRule="exact"/>
        <w:ind w:firstLine="422" w:firstLineChars="176"/>
        <w:rPr>
          <w:rFonts w:hint="eastAsia" w:ascii="仿宋" w:hAnsi="仿宋" w:eastAsia="仿宋" w:cs="仿宋"/>
          <w:color w:val="000000"/>
          <w:sz w:val="24"/>
          <w:szCs w:val="24"/>
          <w:highlight w:val="none"/>
        </w:rPr>
      </w:pPr>
    </w:p>
    <w:p w14:paraId="63D01730">
      <w:pPr>
        <w:pStyle w:val="6"/>
        <w:tabs>
          <w:tab w:val="left" w:pos="0"/>
        </w:tabs>
        <w:snapToGrid w:val="0"/>
        <w:spacing w:line="390" w:lineRule="exact"/>
        <w:ind w:firstLine="422" w:firstLineChars="176"/>
        <w:rPr>
          <w:rFonts w:hint="eastAsia" w:ascii="仿宋" w:hAnsi="仿宋" w:eastAsia="仿宋" w:cs="仿宋"/>
          <w:color w:val="000000"/>
          <w:sz w:val="24"/>
          <w:szCs w:val="24"/>
          <w:highlight w:val="none"/>
        </w:rPr>
      </w:pPr>
    </w:p>
    <w:p w14:paraId="7816D431">
      <w:pPr>
        <w:widowControl/>
        <w:tabs>
          <w:tab w:val="left" w:pos="0"/>
        </w:tabs>
        <w:spacing w:line="390" w:lineRule="exac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发包人（盖章）：                      承包人（盖章）：         </w:t>
      </w:r>
    </w:p>
    <w:p w14:paraId="56267652">
      <w:pPr>
        <w:widowControl/>
        <w:tabs>
          <w:tab w:val="left" w:pos="0"/>
        </w:tabs>
        <w:spacing w:line="390" w:lineRule="exac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法定代表人或委托代理人：              法定代表人或委托代理人   </w:t>
      </w:r>
    </w:p>
    <w:p w14:paraId="5F2A510D">
      <w:pPr>
        <w:widowControl/>
        <w:tabs>
          <w:tab w:val="left" w:pos="0"/>
        </w:tabs>
        <w:spacing w:line="390" w:lineRule="exact"/>
        <w:ind w:firstLine="424" w:firstLineChars="177"/>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 xml:space="preserve">（签字）：__________                 （签字）：___________      </w:t>
      </w:r>
    </w:p>
    <w:p w14:paraId="3264DD0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p>
    <w:p w14:paraId="281EDCA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6D4FB114">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0E6B17BE">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1DF8A697">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0E84042D">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7856ECF6">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p w14:paraId="1E21A0F2">
      <w:pPr>
        <w:widowControl/>
        <w:tabs>
          <w:tab w:val="left" w:pos="0"/>
        </w:tabs>
        <w:spacing w:line="390" w:lineRule="exact"/>
        <w:ind w:firstLine="600" w:firstLineChars="250"/>
        <w:rPr>
          <w:rFonts w:hint="eastAsia" w:ascii="仿宋" w:hAnsi="仿宋" w:eastAsia="仿宋" w:cs="仿宋"/>
          <w:color w:val="000000"/>
          <w:kern w:val="0"/>
          <w:sz w:val="24"/>
          <w:szCs w:val="24"/>
          <w:highlight w:val="none"/>
        </w:rPr>
      </w:pPr>
    </w:p>
    <w:bookmarkEnd w:id="4"/>
    <w:bookmarkEnd w:id="5"/>
    <w:bookmarkEnd w:id="6"/>
    <w:bookmarkEnd w:id="7"/>
    <w:bookmarkEnd w:id="8"/>
    <w:bookmarkEnd w:id="9"/>
    <w:bookmarkEnd w:id="10"/>
    <w:p w14:paraId="0450DE3D">
      <w:pPr>
        <w:spacing w:line="440" w:lineRule="exact"/>
        <w:outlineLvl w:val="0"/>
        <w:rPr>
          <w:rFonts w:hint="eastAsia" w:ascii="仿宋" w:hAnsi="仿宋" w:eastAsia="仿宋" w:cs="仿宋"/>
          <w:color w:val="000000"/>
          <w:sz w:val="24"/>
          <w:szCs w:val="24"/>
          <w:highlight w:val="none"/>
        </w:rPr>
      </w:pPr>
      <w:bookmarkStart w:id="27" w:name="_Toc26012"/>
    </w:p>
    <w:p w14:paraId="3B6C9376">
      <w:pPr>
        <w:spacing w:line="440" w:lineRule="exact"/>
        <w:outlineLvl w:val="0"/>
        <w:rPr>
          <w:rFonts w:hint="eastAsia" w:ascii="仿宋" w:hAnsi="仿宋" w:eastAsia="仿宋" w:cs="仿宋"/>
          <w:color w:val="000000"/>
          <w:sz w:val="24"/>
          <w:szCs w:val="24"/>
          <w:highlight w:val="none"/>
        </w:rPr>
      </w:pPr>
    </w:p>
    <w:p w14:paraId="0D7ABDC5">
      <w:pPr>
        <w:spacing w:line="440" w:lineRule="exact"/>
        <w:outlineLvl w:val="0"/>
        <w:rPr>
          <w:rFonts w:hint="eastAsia" w:ascii="仿宋" w:hAnsi="仿宋" w:eastAsia="仿宋" w:cs="仿宋"/>
          <w:color w:val="000000"/>
          <w:sz w:val="24"/>
          <w:szCs w:val="24"/>
          <w:highlight w:val="none"/>
        </w:rPr>
      </w:pPr>
    </w:p>
    <w:p w14:paraId="07946207">
      <w:pPr>
        <w:spacing w:line="440" w:lineRule="exact"/>
        <w:outlineLvl w:val="0"/>
        <w:rPr>
          <w:rFonts w:hint="eastAsia" w:ascii="仿宋" w:hAnsi="仿宋" w:eastAsia="仿宋" w:cs="仿宋"/>
          <w:color w:val="000000"/>
          <w:sz w:val="24"/>
          <w:szCs w:val="24"/>
          <w:highlight w:val="none"/>
        </w:rPr>
      </w:pPr>
    </w:p>
    <w:p w14:paraId="2849FEF2">
      <w:pPr>
        <w:spacing w:line="440" w:lineRule="exact"/>
        <w:outlineLvl w:val="0"/>
        <w:rPr>
          <w:rFonts w:hint="eastAsia" w:ascii="仿宋" w:hAnsi="仿宋" w:eastAsia="仿宋" w:cs="仿宋"/>
          <w:color w:val="000000"/>
          <w:sz w:val="24"/>
          <w:szCs w:val="24"/>
          <w:highlight w:val="none"/>
        </w:rPr>
      </w:pPr>
    </w:p>
    <w:p w14:paraId="5FCD0196">
      <w:pPr>
        <w:spacing w:line="440" w:lineRule="exac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r>
        <w:rPr>
          <w:rFonts w:hint="eastAsia" w:ascii="仿宋" w:hAnsi="仿宋" w:eastAsia="仿宋" w:cs="仿宋"/>
          <w:color w:val="000000"/>
          <w:sz w:val="24"/>
          <w:szCs w:val="24"/>
          <w:highlight w:val="none"/>
        </w:rPr>
        <w:t>附</w:t>
      </w:r>
      <w:bookmarkStart w:id="28" w:name="_Toc296503233"/>
      <w:bookmarkStart w:id="29" w:name="_Toc296347232"/>
      <w:bookmarkStart w:id="30" w:name="_Toc296944572"/>
      <w:bookmarkStart w:id="31" w:name="_Toc296891273"/>
      <w:bookmarkStart w:id="32" w:name="_Toc296891061"/>
      <w:bookmarkStart w:id="33" w:name="_Toc296346734"/>
      <w:r>
        <w:rPr>
          <w:rFonts w:hint="eastAsia" w:ascii="仿宋" w:hAnsi="仿宋" w:eastAsia="仿宋" w:cs="仿宋"/>
          <w:color w:val="000000"/>
          <w:sz w:val="24"/>
          <w:szCs w:val="24"/>
          <w:highlight w:val="none"/>
        </w:rPr>
        <w:t>件2:</w:t>
      </w:r>
      <w:bookmarkEnd w:id="27"/>
      <w:r>
        <w:rPr>
          <w:rFonts w:hint="eastAsia" w:ascii="仿宋" w:hAnsi="仿宋" w:eastAsia="仿宋" w:cs="仿宋"/>
          <w:color w:val="000000"/>
          <w:sz w:val="24"/>
          <w:szCs w:val="24"/>
          <w:highlight w:val="none"/>
        </w:rPr>
        <w:t xml:space="preserve">  </w:t>
      </w:r>
    </w:p>
    <w:bookmarkEnd w:id="28"/>
    <w:bookmarkEnd w:id="29"/>
    <w:bookmarkEnd w:id="30"/>
    <w:bookmarkEnd w:id="31"/>
    <w:bookmarkEnd w:id="32"/>
    <w:bookmarkEnd w:id="33"/>
    <w:p w14:paraId="5C80E855">
      <w:pPr>
        <w:snapToGrid w:val="0"/>
        <w:spacing w:line="480" w:lineRule="atLeast"/>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工程建设项目廉政合同书</w:t>
      </w:r>
    </w:p>
    <w:p w14:paraId="41C2FEB3">
      <w:pPr>
        <w:adjustRightInd w:val="0"/>
        <w:snapToGrid w:val="0"/>
        <w:spacing w:line="360" w:lineRule="auto"/>
        <w:rPr>
          <w:rFonts w:hint="eastAsia" w:ascii="仿宋" w:hAnsi="仿宋" w:eastAsia="仿宋" w:cs="仿宋"/>
          <w:color w:val="000000"/>
          <w:sz w:val="24"/>
          <w:szCs w:val="24"/>
          <w:highlight w:val="none"/>
        </w:rPr>
      </w:pPr>
    </w:p>
    <w:p w14:paraId="2A9ECBA0">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sz w:val="24"/>
          <w:szCs w:val="24"/>
          <w:highlight w:val="none"/>
        </w:rPr>
        <w:t>（以下简称发包人)与</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（以下简称承包人)，特签订本廉政合同书。</w:t>
      </w:r>
    </w:p>
    <w:p w14:paraId="797C29CF">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第一条：各方的权利和义务</w:t>
      </w:r>
    </w:p>
    <w:p w14:paraId="0E36FFEC">
      <w:pPr>
        <w:pStyle w:val="6"/>
        <w:spacing w:before="156" w:beforeLines="50" w:after="156" w:afterLines="50" w:line="500" w:lineRule="atLeas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各方同意并声明，在业务活动中：</w:t>
      </w:r>
    </w:p>
    <w:p w14:paraId="0F4AE7D3">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441992AA">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(二)各方的业务活动坚持公开、公正、诚信的原则(除法律认定的商业秘密和合同文件另有规定之外)，严格、自觉按照合同办事，不得损害国家和甲乙各方的利益。</w:t>
      </w:r>
    </w:p>
    <w:p w14:paraId="4A4BB9C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7428E91">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17F766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(五)不以损害国家、集体或第三人利益为代价获取不正当的利益。</w:t>
      </w:r>
    </w:p>
    <w:p w14:paraId="6F6C5DC5">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第二条：发包人的承诺</w:t>
      </w:r>
    </w:p>
    <w:p w14:paraId="1C5D497F">
      <w:pPr>
        <w:spacing w:line="500" w:lineRule="atLeast"/>
        <w:ind w:firstLine="480" w:firstLineChars="200"/>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发包人工作人员在工程建设中应遵守如下规定：</w:t>
      </w:r>
    </w:p>
    <w:p w14:paraId="7C9BEA56">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(一)不得索要或接受承包人钱物(现金、有价证券、信用卡、礼金、奖金、补贴、物品等)，不得在承包人报销任何应由发包人或个人支付的费用。</w:t>
      </w:r>
    </w:p>
    <w:p w14:paraId="5FCA484F">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(二)不得接受承包人安排的可能影响公务的住宿、宴请娱乐及出国（境）、旅游观光活动；不得接受承包人提供的合同规定外的通讯工具、交通工具和高档办公用品等。</w:t>
      </w:r>
    </w:p>
    <w:p w14:paraId="7CD47064">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(三)不得要求或者接受承包人为其及家庭成员在住房装修、婚丧嫁娶、配偶子女的工作安排及出国、出境、旅游等方面提供方便。</w:t>
      </w:r>
    </w:p>
    <w:p w14:paraId="110CB05F">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(四)工作人员及其配偶、子女、亲属不得从事与工程有关的材料设备供应、工程分包、劳务等经济活动。</w:t>
      </w:r>
    </w:p>
    <w:p w14:paraId="39DBCF5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(五)不得违反规定向承包人推荐分包单位和设备、材料</w:t>
      </w:r>
      <w:r>
        <w:rPr>
          <w:rFonts w:hint="eastAsia" w:ascii="仿宋" w:hAnsi="仿宋" w:eastAsia="仿宋" w:cs="仿宋"/>
          <w:color w:val="000000"/>
          <w:sz w:val="24"/>
          <w:szCs w:val="24"/>
          <w:highlight w:val="none"/>
          <w:lang w:eastAsia="zh-CN"/>
        </w:rPr>
        <w:t>投标人</w:t>
      </w:r>
      <w:r>
        <w:rPr>
          <w:rFonts w:hint="eastAsia" w:ascii="仿宋" w:hAnsi="仿宋" w:eastAsia="仿宋" w:cs="仿宋"/>
          <w:color w:val="000000"/>
          <w:sz w:val="24"/>
          <w:szCs w:val="24"/>
          <w:highlight w:val="none"/>
        </w:rPr>
        <w:t>，不得要求承包人购买合同规定外的材料和设备等。</w:t>
      </w:r>
    </w:p>
    <w:p w14:paraId="15ED126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(六)不得为获取承包人回扣或其他谋取私利目的而多签或多算工程量、多结工程款；不得从承包人承包的工程中收受回扣，谋取私利。</w:t>
      </w:r>
    </w:p>
    <w:p w14:paraId="2FFCCC9C">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(七)不得因承包人拒绝本人的不合理要求，而故意刁难承包人。</w:t>
      </w:r>
    </w:p>
    <w:p w14:paraId="3D32E31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(八)其它有关违反廉政规定的行为。</w:t>
      </w:r>
    </w:p>
    <w:p w14:paraId="19E272C0">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第三条：承包人的承诺</w:t>
      </w:r>
    </w:p>
    <w:p w14:paraId="7C26227D">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承包人应与发包人和监理保持正常的业务来往，按照有关法律、法规和工作程序开展业务工作并遵守以下规定：</w:t>
      </w:r>
    </w:p>
    <w:p w14:paraId="5F5B6655">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(一)不得以任何理由向发包人、监理人赠送钱物(现金、有价证券、信用卡、礼金、奖金、补贴、物品等)。</w:t>
      </w:r>
    </w:p>
    <w:p w14:paraId="431D0D98">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(二)不得以任何名义为发包人、监理人报销应由发包人、监理人或个人支付的任何费用。</w:t>
      </w:r>
    </w:p>
    <w:p w14:paraId="1C43649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(三)不准以任何理由为发包人、监理人和其它相关单位及其工作人员提供有可能影响执行公务的宴请、健身和娱乐等活动。</w:t>
      </w:r>
    </w:p>
    <w:p w14:paraId="6A9425F0">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(四)不得为发包人和监理人的相关人员购置或提供合同规定外的通讯工具、交通工具和高档办公用品等。</w:t>
      </w:r>
    </w:p>
    <w:p w14:paraId="4DD2F6B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(五)不准接受或暗示为发包人、监理人和其它相关单位及其工作人员装修房屋、婚丧嫁娶、配偶子女的工作安排以及出国（境）、旅游观光活动提供方便。</w:t>
      </w:r>
    </w:p>
    <w:p w14:paraId="66A4282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(六)不准利用黄、赌、贿等各种手段拉拢腐蚀发包人工作人员。</w:t>
      </w:r>
    </w:p>
    <w:p w14:paraId="2451A3EB">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(七)其它有关违反廉政规定的行为。</w:t>
      </w:r>
    </w:p>
    <w:p w14:paraId="48CE3EF3">
      <w:pPr>
        <w:spacing w:line="500" w:lineRule="atLeas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第四条：责任追究</w:t>
      </w:r>
    </w:p>
    <w:p w14:paraId="0ABEE7E2">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9CB5FC4">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(二)承包人若违反本承诺规定，发包人有权要求承包人对责任人进行处理。情节严重的，申请相关部门禁止承包人进入本区工程建设市场；在新闻媒体曝光并报承包人上级或行业主管部门。</w:t>
      </w:r>
    </w:p>
    <w:p w14:paraId="414A6BA0">
      <w:pPr>
        <w:spacing w:line="500" w:lineRule="atLeast"/>
        <w:ind w:firstLine="482" w:firstLineChars="200"/>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第五条：其他约定</w:t>
      </w:r>
    </w:p>
    <w:p w14:paraId="4B696D83">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（一）本合同书由各方单位或上级主管单位的纪检、监察部门负责监督执行。</w:t>
      </w:r>
    </w:p>
    <w:p w14:paraId="1C312501">
      <w:pPr>
        <w:spacing w:line="500" w:lineRule="atLeas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（二）本合同书作为承包合同的组成部分，各方签字、盖章后即生效，有效期为各方签署之日起至该工程项目竣工验收合格并办理完毕工程结算时止。</w:t>
      </w:r>
    </w:p>
    <w:p w14:paraId="3ED5A39C">
      <w:pPr>
        <w:spacing w:line="500" w:lineRule="atLeast"/>
        <w:ind w:firstLine="482" w:firstLineChars="200"/>
        <w:rPr>
          <w:rFonts w:hint="eastAsia" w:ascii="仿宋" w:hAnsi="仿宋" w:eastAsia="仿宋" w:cs="仿宋"/>
          <w:b/>
          <w:color w:val="000000"/>
          <w:sz w:val="24"/>
          <w:szCs w:val="24"/>
          <w:highlight w:val="none"/>
        </w:rPr>
      </w:pPr>
    </w:p>
    <w:p w14:paraId="33BD4252">
      <w:pPr>
        <w:spacing w:line="500" w:lineRule="atLeast"/>
        <w:ind w:firstLine="482" w:firstLineChars="200"/>
        <w:rPr>
          <w:rFonts w:hint="eastAsia" w:ascii="仿宋" w:hAnsi="仿宋" w:eastAsia="仿宋" w:cs="仿宋"/>
          <w:b/>
          <w:color w:val="000000"/>
          <w:sz w:val="24"/>
          <w:szCs w:val="24"/>
          <w:highlight w:val="none"/>
        </w:rPr>
      </w:pPr>
    </w:p>
    <w:p w14:paraId="6ABFD29B">
      <w:pPr>
        <w:widowControl/>
        <w:tabs>
          <w:tab w:val="left" w:pos="0"/>
        </w:tabs>
        <w:spacing w:line="500" w:lineRule="atLeas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发包人（盖章）：                      承包人（盖章）：         </w:t>
      </w:r>
    </w:p>
    <w:p w14:paraId="272F8737">
      <w:pPr>
        <w:widowControl/>
        <w:tabs>
          <w:tab w:val="left" w:pos="0"/>
        </w:tabs>
        <w:spacing w:line="500" w:lineRule="atLeast"/>
        <w:ind w:firstLine="424" w:firstLineChars="177"/>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法定代表人或委托代理人：              法定代表人或委托代理人   </w:t>
      </w:r>
    </w:p>
    <w:p w14:paraId="590E47E4">
      <w:pPr>
        <w:widowControl/>
        <w:tabs>
          <w:tab w:val="left" w:pos="0"/>
        </w:tabs>
        <w:spacing w:line="500" w:lineRule="atLeast"/>
        <w:ind w:firstLine="424" w:firstLineChars="177"/>
        <w:rPr>
          <w:rFonts w:hint="eastAsia" w:ascii="仿宋" w:hAnsi="仿宋" w:eastAsia="仿宋" w:cs="仿宋"/>
          <w:color w:val="000000"/>
          <w:kern w:val="0"/>
          <w:sz w:val="24"/>
          <w:szCs w:val="24"/>
          <w:highlight w:val="none"/>
          <w:u w:val="single"/>
        </w:rPr>
      </w:pPr>
      <w:r>
        <w:rPr>
          <w:rFonts w:hint="eastAsia" w:ascii="仿宋" w:hAnsi="仿宋" w:eastAsia="仿宋" w:cs="仿宋"/>
          <w:color w:val="000000"/>
          <w:kern w:val="0"/>
          <w:sz w:val="24"/>
          <w:szCs w:val="24"/>
          <w:highlight w:val="none"/>
        </w:rPr>
        <w:t xml:space="preserve">（签字）：__________                 （签字）：___________      </w:t>
      </w:r>
    </w:p>
    <w:p w14:paraId="5E737D7B">
      <w:pPr>
        <w:spacing w:line="500" w:lineRule="atLeas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年</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月</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日     </w:t>
      </w:r>
    </w:p>
    <w:p w14:paraId="05E30045">
      <w:pPr>
        <w:spacing w:line="500" w:lineRule="atLeast"/>
        <w:rPr>
          <w:rFonts w:hint="eastAsia" w:ascii="仿宋" w:hAnsi="仿宋" w:eastAsia="仿宋" w:cs="仿宋"/>
          <w:color w:val="000000"/>
          <w:kern w:val="0"/>
          <w:sz w:val="24"/>
          <w:szCs w:val="24"/>
          <w:highlight w:val="none"/>
        </w:rPr>
      </w:pPr>
    </w:p>
    <w:p w14:paraId="6C72BD45">
      <w:pPr>
        <w:spacing w:line="500" w:lineRule="atLeast"/>
        <w:rPr>
          <w:rFonts w:hint="eastAsia" w:ascii="仿宋" w:hAnsi="仿宋" w:eastAsia="仿宋" w:cs="仿宋"/>
          <w:color w:val="000000"/>
          <w:kern w:val="0"/>
          <w:sz w:val="24"/>
          <w:szCs w:val="24"/>
          <w:highlight w:val="none"/>
        </w:rPr>
      </w:pPr>
    </w:p>
    <w:p w14:paraId="0C2AA93F">
      <w:pPr>
        <w:spacing w:line="500" w:lineRule="atLeast"/>
        <w:rPr>
          <w:rFonts w:hint="eastAsia" w:ascii="仿宋" w:hAnsi="仿宋" w:eastAsia="仿宋" w:cs="仿宋"/>
          <w:color w:val="000000"/>
          <w:kern w:val="0"/>
          <w:sz w:val="24"/>
          <w:szCs w:val="24"/>
          <w:highlight w:val="none"/>
        </w:rPr>
      </w:pPr>
    </w:p>
    <w:p w14:paraId="3EFA526B">
      <w:pPr>
        <w:spacing w:line="500" w:lineRule="atLeast"/>
        <w:rPr>
          <w:rFonts w:hint="eastAsia" w:ascii="仿宋" w:hAnsi="仿宋" w:eastAsia="仿宋" w:cs="仿宋"/>
          <w:color w:val="000000"/>
          <w:kern w:val="0"/>
          <w:sz w:val="24"/>
          <w:szCs w:val="24"/>
          <w:highlight w:val="none"/>
        </w:rPr>
      </w:pPr>
    </w:p>
    <w:p w14:paraId="2D45F74F">
      <w:pPr>
        <w:spacing w:line="360" w:lineRule="auto"/>
        <w:ind w:right="150"/>
        <w:jc w:val="lef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w:t>
      </w:r>
    </w:p>
    <w:p w14:paraId="636B6DD7">
      <w:pPr>
        <w:spacing w:line="360" w:lineRule="auto"/>
        <w:ind w:right="150"/>
        <w:jc w:val="left"/>
        <w:outlineLvl w:val="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br w:type="page"/>
      </w:r>
      <w:r>
        <w:rPr>
          <w:rFonts w:hint="eastAsia" w:ascii="仿宋" w:hAnsi="仿宋" w:eastAsia="仿宋" w:cs="仿宋"/>
          <w:color w:val="000000"/>
          <w:sz w:val="24"/>
          <w:szCs w:val="24"/>
          <w:highlight w:val="none"/>
        </w:rPr>
        <w:t xml:space="preserve"> </w:t>
      </w:r>
      <w:bookmarkStart w:id="34" w:name="_Toc14734"/>
      <w:r>
        <w:rPr>
          <w:rFonts w:hint="eastAsia" w:ascii="仿宋" w:hAnsi="仿宋" w:eastAsia="仿宋" w:cs="仿宋"/>
          <w:color w:val="000000"/>
          <w:sz w:val="24"/>
          <w:szCs w:val="24"/>
          <w:highlight w:val="none"/>
        </w:rPr>
        <w:t>附件3</w:t>
      </w:r>
      <w:bookmarkEnd w:id="34"/>
    </w:p>
    <w:p w14:paraId="5F409517">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现场施工环境综合整治及扬尘污染治理、创卫承诺书</w:t>
      </w:r>
    </w:p>
    <w:p w14:paraId="416FCF8B">
      <w:pPr>
        <w:spacing w:line="48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w:t>
      </w:r>
      <w:r>
        <w:rPr>
          <w:rFonts w:hint="eastAsia" w:ascii="仿宋" w:hAnsi="仿宋" w:eastAsia="仿宋" w:cs="仿宋"/>
          <w:color w:val="000000"/>
          <w:sz w:val="24"/>
          <w:szCs w:val="24"/>
          <w:highlight w:val="none"/>
          <w:u w:val="single"/>
        </w:rPr>
        <w:t xml:space="preserve">                              </w:t>
      </w:r>
    </w:p>
    <w:p w14:paraId="31F712DF">
      <w:pPr>
        <w:spacing w:line="480" w:lineRule="exact"/>
        <w:ind w:firstLine="360" w:firstLineChars="1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了更好的贯彻落实国家及西安市人民政府《关于做好建筑工地环境卫生综合整治工作的通知》、《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7376A391">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我公司自进入</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施工现场施工之日起，将在施工现场积极开展以“整顿、整理、清扫、清洁和素养”为主题的“创卫”活动；积极行动，创建国家及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31D40AC9">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4B51B34E">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全面及时清理工地内的建筑垃圾和废弃物；合理、整齐的摆放各类建筑材料和设施；确保排水系统畅通，杜绝场内积水和废水横流的现象发生。</w:t>
      </w:r>
    </w:p>
    <w:p w14:paraId="375834E9">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加强各类车辆管理，车辆驶出工地及责任区前对车轮、车厢侧帮进行清扫冲洗除尘，严密封闭拉运渣土的车辆，各类运输车辆场内行驶速度不得超过每小时20公里。</w:t>
      </w:r>
    </w:p>
    <w:p w14:paraId="0A4AB9A3">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63CFFC6E">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对行车过人道路、施工现场及责任区等进行定时清扫、洒水，清除地面浮土避免二次扬尘。</w:t>
      </w:r>
    </w:p>
    <w:p w14:paraId="6F341558">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4C45920D">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10000元的处罚。</w:t>
      </w:r>
    </w:p>
    <w:p w14:paraId="556DF3C8">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我们将对施工现场环境整治和扬尘污染治理及创卫工作常抓不懈；自觉接受发包人及发监理人的检查管理，对查出的问题及时进行有效整改，我们愿意接受每次10000元的违约处罚。</w:t>
      </w:r>
    </w:p>
    <w:p w14:paraId="5F94B505">
      <w:pPr>
        <w:numPr>
          <w:ilvl w:val="0"/>
          <w:numId w:val="1"/>
        </w:num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施工过程中我们若被铁腕治霾办公室、质监站、住建局等单位点名批评、通报或评比位于倒数后三名时，除接受上级的处罚外，还接收发包人每次20000-50000元的违约处罚；若连续两次（含两次）以上被通报批评时，承包人将主动撤换不合格的项目经理，并自愿接受任意金额的处罚。</w:t>
      </w:r>
    </w:p>
    <w:p w14:paraId="3F370700">
      <w:pPr>
        <w:spacing w:line="480" w:lineRule="exact"/>
        <w:ind w:firstLine="480" w:firstLineChars="200"/>
        <w:rPr>
          <w:rFonts w:hint="eastAsia" w:ascii="仿宋" w:hAnsi="仿宋" w:eastAsia="仿宋" w:cs="仿宋"/>
          <w:color w:val="000000"/>
          <w:sz w:val="24"/>
          <w:szCs w:val="24"/>
          <w:highlight w:val="none"/>
        </w:rPr>
      </w:pPr>
    </w:p>
    <w:p w14:paraId="0582F516">
      <w:pPr>
        <w:spacing w:line="48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特此承诺</w:t>
      </w:r>
    </w:p>
    <w:p w14:paraId="42ECAA0B">
      <w:pPr>
        <w:spacing w:line="480" w:lineRule="exact"/>
        <w:ind w:firstLine="480" w:firstLineChars="200"/>
        <w:rPr>
          <w:rFonts w:hint="eastAsia" w:ascii="仿宋" w:hAnsi="仿宋" w:eastAsia="仿宋" w:cs="仿宋"/>
          <w:color w:val="000000"/>
          <w:sz w:val="24"/>
          <w:szCs w:val="24"/>
          <w:highlight w:val="none"/>
        </w:rPr>
      </w:pPr>
    </w:p>
    <w:p w14:paraId="0CFBD392">
      <w:pPr>
        <w:spacing w:line="480" w:lineRule="exact"/>
        <w:ind w:firstLine="480" w:firstLineChars="200"/>
        <w:rPr>
          <w:rFonts w:hint="eastAsia" w:ascii="仿宋" w:hAnsi="仿宋" w:eastAsia="仿宋" w:cs="仿宋"/>
          <w:color w:val="000000"/>
          <w:sz w:val="24"/>
          <w:szCs w:val="24"/>
          <w:highlight w:val="none"/>
        </w:rPr>
      </w:pPr>
    </w:p>
    <w:p w14:paraId="46BB0FF2">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施工单位：（公章）</w:t>
      </w:r>
    </w:p>
    <w:p w14:paraId="21A452F5">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法定代表人：（签字）</w:t>
      </w:r>
    </w:p>
    <w:p w14:paraId="698BC2CA">
      <w:pPr>
        <w:spacing w:line="48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日期：    年    月    日</w:t>
      </w:r>
    </w:p>
    <w:p w14:paraId="5DF224C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B396B"/>
    <w:rsid w:val="10611EED"/>
    <w:rsid w:val="15DF7DCF"/>
    <w:rsid w:val="16EC4FE1"/>
    <w:rsid w:val="182F3A61"/>
    <w:rsid w:val="183103F7"/>
    <w:rsid w:val="19CF7EC7"/>
    <w:rsid w:val="1B8A054A"/>
    <w:rsid w:val="209D2ACD"/>
    <w:rsid w:val="2F050873"/>
    <w:rsid w:val="37265299"/>
    <w:rsid w:val="380E222F"/>
    <w:rsid w:val="3A0D261A"/>
    <w:rsid w:val="4B614574"/>
    <w:rsid w:val="4C726431"/>
    <w:rsid w:val="4CBE1765"/>
    <w:rsid w:val="56DB396B"/>
    <w:rsid w:val="6FF71563"/>
    <w:rsid w:val="6FF74BDF"/>
    <w:rsid w:val="778A121C"/>
    <w:rsid w:val="7D470792"/>
    <w:rsid w:val="7DCC1471"/>
    <w:rsid w:val="7EB63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360" w:lineRule="auto"/>
      <w:outlineLvl w:val="0"/>
    </w:pPr>
    <w:rPr>
      <w:rFonts w:ascii="等线" w:hAnsi="等线" w:eastAsia="黑体" w:cs="等线"/>
      <w:b/>
      <w:color w:val="000000"/>
      <w:kern w:val="44"/>
      <w:sz w:val="28"/>
      <w:lang w:eastAsia="en-US" w:bidi="en-US"/>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Body Text Indent"/>
    <w:basedOn w:val="1"/>
    <w:qFormat/>
    <w:uiPriority w:val="0"/>
    <w:pPr>
      <w:ind w:firstLine="480"/>
    </w:pPr>
    <w:rPr>
      <w:rFonts w:ascii="宋体" w:hAnsi="宋体"/>
    </w:rPr>
  </w:style>
  <w:style w:type="paragraph" w:customStyle="1" w:styleId="9">
    <w:name w:val="p0"/>
    <w:basedOn w:val="1"/>
    <w:qFormat/>
    <w:uiPriority w:val="0"/>
    <w:pPr>
      <w:widowControl/>
    </w:pPr>
    <w:rPr>
      <w:kern w:val="0"/>
      <w:szCs w:val="21"/>
    </w:rPr>
  </w:style>
  <w:style w:type="paragraph" w:customStyle="1" w:styleId="10">
    <w:name w:val="正文缩进1"/>
    <w:basedOn w:val="1"/>
    <w:qFormat/>
    <w:uiPriority w:val="0"/>
    <w:pPr>
      <w:ind w:firstLine="42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6632</Words>
  <Characters>6851</Characters>
  <Lines>0</Lines>
  <Paragraphs>0</Paragraphs>
  <TotalTime>3</TotalTime>
  <ScaleCrop>false</ScaleCrop>
  <LinksUpToDate>false</LinksUpToDate>
  <CharactersWithSpaces>7463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2025-07-23T01:58:00Z</dcterms:created>
  <dc:creator>Mr.好奇</dc:creator>
  <cp:lastModifiedBy>在看大海阿</cp:lastModifiedBy>
  <dcterms:modified xsi:type="dcterms:W3CDTF">2026-04-30T07:49:45Z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DC23875AC057486D894E69BA64BB30D6_13</vt:lpwstr>
  </property>
  <property fmtid="{D5CDD505-2E9C-101B-9397-08002B2CF9AE}" pid="4" name="KSOTemplateDocerSaveRecord">
    <vt:lpwstr>eyJoZGlkIjoiZDRmZTQ3ZGQ5YTVmYTMzZDY0MzJkNDE5N2E3YTYwOWIiLCJ1c2VySWQiOiI2MDk3MTk1NjgifQ==</vt:lpwstr>
  </property>
</Properties>
</file>