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版本号：ZX2026-06-9220260723001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全院弱电及监控设备维保服务项目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ZX2026-06-92</w:t>
      </w:r>
      <w:r>
        <w:br/>
      </w:r>
      <w:r>
        <w:br/>
      </w:r>
      <w:r>
        <w:br/>
      </w:r>
    </w:p>
    <w:p>
      <w:pPr>
        <w:pStyle w:val="null3"/>
        <w:jc w:val="center"/>
        <w:outlineLvl w:val="2"/>
      </w:pPr>
      <w:r>
        <w:rPr>
          <w:rFonts w:ascii="仿宋_GB2312" w:hAnsi="仿宋_GB2312" w:cs="仿宋_GB2312" w:eastAsia="仿宋_GB2312"/>
          <w:sz w:val="28"/>
          <w:b/>
        </w:rPr>
        <w:t>西安市第九医院</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西安市第九医院</w:t>
      </w:r>
      <w:r>
        <w:rPr>
          <w:rFonts w:ascii="仿宋_GB2312" w:hAnsi="仿宋_GB2312" w:cs="仿宋_GB2312" w:eastAsia="仿宋_GB2312"/>
        </w:rPr>
        <w:t>委托，拟对</w:t>
      </w:r>
      <w:r>
        <w:rPr>
          <w:rFonts w:ascii="仿宋_GB2312" w:hAnsi="仿宋_GB2312" w:cs="仿宋_GB2312" w:eastAsia="仿宋_GB2312"/>
        </w:rPr>
        <w:t>全院弱电及监控设备维保服务项目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ZX2026-06-92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全院弱电及监控设备维保服务项目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本项目为全院弱电及监控设备维保服务项目，1项，具体要求详见采购文件第三章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采购包1（全院弱电及监控设备维保服务项目）：属于专门面向中小企业采购。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磋商的，须提供法定代表人身份证；法定代表人授权本单位他人参加磋商的，须提供法定代表人授权委托书及被授权代表开标截止前三个月内任意一个月在本单位的社会保险缴纳证明。</w:t>
      </w:r>
    </w:p>
    <w:p>
      <w:pPr>
        <w:pStyle w:val="null3"/>
      </w:pPr>
      <w:r>
        <w:rPr>
          <w:rFonts w:ascii="仿宋_GB2312" w:hAnsi="仿宋_GB2312" w:cs="仿宋_GB2312" w:eastAsia="仿宋_GB2312"/>
        </w:rPr>
        <w:t>2、非联合体不分包投标声明：本项目不接受联合体投标，不允许分包。供应商应提供《非联合体不分包投标声明》。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西安市第九医院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西安市南二环东段151号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西安市南二环东段151号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029-61165668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孙童欣 李雨 王宇轩 曹婷 马演 崔文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029-88110800转8033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代理服务费收费标准：参照国家计委计价格[2002]1980号及发改办价格[2003]857号通知规定下浮20%计取，由成交供应商支付代理服务费。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西安市第九医院</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西安市第九医院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西安市第九医院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按磋商文件、成交供应商投标文件及合同约定执行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按照磋商文件、响应文件及合同约定执行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联系人：王宇轩 孙童欣</w:t>
      </w:r>
    </w:p>
    <w:p>
      <w:pPr>
        <w:pStyle w:val="null3"/>
      </w:pPr>
      <w:r>
        <w:rPr>
          <w:rFonts w:ascii="仿宋_GB2312" w:hAnsi="仿宋_GB2312" w:cs="仿宋_GB2312" w:eastAsia="仿宋_GB2312"/>
        </w:rPr>
        <w:t>联系电话：029-88110800转8033</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本项目为全院弱电及监控设备维保服务项目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950,000.00</w:t>
      </w:r>
    </w:p>
    <w:p>
      <w:pPr>
        <w:pStyle w:val="null3"/>
      </w:pPr>
      <w:r>
        <w:rPr>
          <w:rFonts w:ascii="仿宋_GB2312" w:hAnsi="仿宋_GB2312" w:cs="仿宋_GB2312" w:eastAsia="仿宋_GB2312"/>
        </w:rPr>
        <w:t>采购包最高限价（元）: 950,000.00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全院弱电及监控设备维保服务项目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950,000.00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信息传输业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标的名称：全院弱电及监控设备维保服务项目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color w:val="000000"/>
                <w:shd w:fill="FFFFFF" w:val="clear"/>
              </w:rPr>
              <w:t>项目概况</w:t>
            </w:r>
          </w:p>
          <w:tbl>
            <w:tblPr>
              <w:tblBorders>
                <w:top w:val="single"/>
                <w:left w:val="single"/>
                <w:bottom w:val="single"/>
                <w:right w:val="single"/>
                <w:insideH w:val="single"/>
                <w:insideV w:val="single"/>
              </w:tblBorders>
            </w:tblPr>
            <w:tblGrid>
              <w:gridCol w:w="353"/>
              <w:gridCol w:w="209"/>
              <w:gridCol w:w="163"/>
              <w:gridCol w:w="1821"/>
            </w:tblGrid>
            <w:tr>
              <w:tc>
                <w:tcPr>
                  <w:tcW w:type="dxa" w:w="353"/>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采购</w:t>
                  </w:r>
                </w:p>
                <w:p>
                  <w:pPr>
                    <w:pStyle w:val="null3"/>
                    <w:jc w:val="center"/>
                  </w:pPr>
                  <w:r>
                    <w:rPr>
                      <w:rFonts w:ascii="仿宋_GB2312" w:hAnsi="仿宋_GB2312" w:cs="仿宋_GB2312" w:eastAsia="仿宋_GB2312"/>
                      <w:sz w:val="20"/>
                    </w:rPr>
                    <w:t>内容</w:t>
                  </w:r>
                </w:p>
              </w:tc>
              <w:tc>
                <w:tcPr>
                  <w:tcW w:type="dxa" w:w="20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数量</w:t>
                  </w:r>
                </w:p>
              </w:tc>
              <w:tc>
                <w:tcPr>
                  <w:tcW w:type="dxa" w:w="16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单位</w:t>
                  </w:r>
                </w:p>
              </w:tc>
              <w:tc>
                <w:tcPr>
                  <w:tcW w:type="dxa" w:w="182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简要技术要求、用途</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医院电视服务</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500</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户</w:t>
                  </w:r>
                </w:p>
              </w:tc>
              <w:tc>
                <w:tcPr>
                  <w:tcW w:type="dxa" w:w="18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按照院方需求提供电视系统布线、电视系统核心设备。满足全院内病房电视定制内容稳定输出,功能包括：</w:t>
                  </w:r>
                  <w:r>
                    <w:br/>
                  </w:r>
                  <w:r>
                    <w:rPr>
                      <w:rFonts w:ascii="仿宋_GB2312" w:hAnsi="仿宋_GB2312" w:cs="仿宋_GB2312" w:eastAsia="仿宋_GB2312"/>
                      <w:sz w:val="20"/>
                    </w:rPr>
                    <w:t xml:space="preserve"> 1.数字电视直播≥60套内容</w:t>
                  </w:r>
                  <w:r>
                    <w:br/>
                  </w:r>
                  <w:r>
                    <w:rPr>
                      <w:rFonts w:ascii="仿宋_GB2312" w:hAnsi="仿宋_GB2312" w:cs="仿宋_GB2312" w:eastAsia="仿宋_GB2312"/>
                      <w:sz w:val="20"/>
                    </w:rPr>
                    <w:t xml:space="preserve"> 2.医院文化宣传</w:t>
                  </w:r>
                  <w:r>
                    <w:br/>
                  </w:r>
                  <w:r>
                    <w:rPr>
                      <w:rFonts w:ascii="仿宋_GB2312" w:hAnsi="仿宋_GB2312" w:cs="仿宋_GB2312" w:eastAsia="仿宋_GB2312"/>
                      <w:sz w:val="20"/>
                    </w:rPr>
                    <w:t xml:space="preserve"> 3.科室宣教内容播放</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光猫支持病房内无线wifi</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提供运营商授权</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电话系统</w:t>
                  </w:r>
                </w:p>
                <w:p>
                  <w:pPr>
                    <w:pStyle w:val="null3"/>
                    <w:jc w:val="center"/>
                  </w:pPr>
                  <w:r>
                    <w:rPr>
                      <w:rFonts w:ascii="仿宋_GB2312" w:hAnsi="仿宋_GB2312" w:cs="仿宋_GB2312" w:eastAsia="仿宋_GB2312"/>
                      <w:sz w:val="20"/>
                    </w:rPr>
                    <w:t>服务</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套</w:t>
                  </w:r>
                </w:p>
              </w:tc>
              <w:tc>
                <w:tcPr>
                  <w:tcW w:type="dxa" w:w="18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按照院方需求提供电话系统布线、电话系统核心设备。</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、本次提供设备需支持≥300路座机。固定电话≥250路座机线路，并根据医院要求免费进行扩充，提供运营商授权</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、每月满足全院外线通话时长≥1500小时</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移动办公手机：</w:t>
                  </w:r>
                  <w:r>
                    <w:rPr>
                      <w:rFonts w:ascii="仿宋_GB2312" w:hAnsi="仿宋_GB2312" w:cs="仿宋_GB2312" w:eastAsia="仿宋_GB2312"/>
                      <w:sz w:val="20"/>
                    </w:rPr>
                    <w:t>为医院医护人员提供≥10个移动值班号码，套餐内容40GB国内4/5G通用流量；800分钟国内主叫通话。</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、提供固话网络设备及配件，维护院内通话网络，外线故障时不影响院内通信。</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互联网专线接入服务</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条</w:t>
                  </w:r>
                </w:p>
              </w:tc>
              <w:tc>
                <w:tcPr>
                  <w:tcW w:type="dxa" w:w="18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业务开通速率：≥500M一条，≥200M两条</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提供≥3个固定IP</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针对临床科室合理业务需求，进行外网信息点位接入；针对行政办公区域提供光纤入户、无线wifi服务，并根据合理业务需求，新建外网信息点位接入</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提供运营商授权。</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弱电系统维护、设备维保服务</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套</w:t>
                  </w:r>
                </w:p>
              </w:tc>
              <w:tc>
                <w:tcPr>
                  <w:tcW w:type="dxa" w:w="18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维护院内弱≥1500个电视、电话、网络信息点位（含巡捡、故障、跳纤、标签、链路测试），并根据医院实际业务需求，新建各类信息点位，不得收取费用。</w:t>
                  </w:r>
                </w:p>
                <w:p>
                  <w:pPr>
                    <w:pStyle w:val="null3"/>
                    <w:jc w:val="left"/>
                  </w:pPr>
                  <w:r>
                    <w:rPr>
                      <w:rFonts w:ascii="仿宋_GB2312" w:hAnsi="仿宋_GB2312" w:cs="仿宋_GB2312" w:eastAsia="仿宋_GB2312"/>
                      <w:sz w:val="20"/>
                    </w:rPr>
                    <w:t>院内光缆干线建设及维护</w:t>
                  </w:r>
                </w:p>
                <w:p>
                  <w:pPr>
                    <w:pStyle w:val="null3"/>
                    <w:jc w:val="left"/>
                  </w:pPr>
                  <w:r>
                    <w:rPr>
                      <w:rFonts w:ascii="仿宋_GB2312" w:hAnsi="仿宋_GB2312" w:cs="仿宋_GB2312" w:eastAsia="仿宋_GB2312"/>
                      <w:sz w:val="20"/>
                    </w:rPr>
                    <w:t>全院1100路监控摄像头维护</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全院门禁系统维护，共计108路，人脸识别门禁24路，密码门禁84路（不含综合楼病房全视通门禁系统）</w:t>
                  </w:r>
                </w:p>
              </w:tc>
            </w:tr>
          </w:tbl>
          <w:p>
            <w:pPr>
              <w:pStyle w:val="null3"/>
            </w:pPr>
            <w:r>
              <w:rPr>
                <w:rFonts w:ascii="仿宋_GB2312" w:hAnsi="仿宋_GB2312" w:cs="仿宋_GB2312" w:eastAsia="仿宋_GB2312"/>
                <w:sz w:val="20"/>
                <w:color w:val="000000"/>
              </w:rPr>
              <w:t>一、医院电视服务要求</w:t>
            </w:r>
          </w:p>
          <w:tbl>
            <w:tblPr>
              <w:tblBorders>
                <w:top w:val="none" w:color="000000" w:sz="4"/>
                <w:left w:val="none" w:color="000000" w:sz="4"/>
                <w:bottom w:val="none" w:color="000000" w:sz="4"/>
                <w:right w:val="none" w:color="000000" w:sz="4"/>
                <w:insideH w:val="none"/>
                <w:insideV w:val="none"/>
              </w:tblBorders>
            </w:tblPr>
            <w:tblGrid>
              <w:gridCol w:w="182"/>
              <w:gridCol w:w="442"/>
              <w:gridCol w:w="1431"/>
              <w:gridCol w:w="494"/>
            </w:tblGrid>
            <w:tr>
              <w:tc>
                <w:tcPr>
                  <w:tcW w:type="dxa" w:w="182"/>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序号</w:t>
                  </w:r>
                </w:p>
              </w:tc>
              <w:tc>
                <w:tcPr>
                  <w:tcW w:type="dxa" w:w="44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标的名称</w:t>
                  </w:r>
                </w:p>
              </w:tc>
              <w:tc>
                <w:tcPr>
                  <w:tcW w:type="dxa" w:w="143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要求</w:t>
                  </w:r>
                </w:p>
              </w:tc>
              <w:tc>
                <w:tcPr>
                  <w:tcW w:type="dxa" w:w="49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备注</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直播信号源接入</w:t>
                  </w:r>
                </w:p>
              </w:tc>
              <w:tc>
                <w:tcPr>
                  <w:tcW w:type="dxa" w:w="14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系统支持采集网络源、IPTV源：用于提供电视直播节目前端信号</w:t>
                  </w:r>
                </w:p>
              </w:tc>
              <w:tc>
                <w:tcPr>
                  <w:tcW w:type="dxa" w:w="4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实现≥60个节目源频道。</w:t>
                  </w:r>
                </w:p>
              </w:tc>
            </w:tr>
            <w:tr>
              <w:tc>
                <w:tcPr>
                  <w:tcW w:type="dxa" w:w="1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w:t>
                  </w:r>
                </w:p>
                <w:p>
                  <w:pPr>
                    <w:pStyle w:val="null3"/>
                    <w:jc w:val="center"/>
                  </w:pPr>
                </w:p>
              </w:tc>
              <w:tc>
                <w:tcPr>
                  <w:tcW w:type="dxa" w:w="4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支持功能</w:t>
                  </w:r>
                </w:p>
                <w:p>
                  <w:pPr>
                    <w:pStyle w:val="null3"/>
                    <w:jc w:val="center"/>
                  </w:pPr>
                </w:p>
              </w:tc>
              <w:tc>
                <w:tcPr>
                  <w:tcW w:type="dxa" w:w="14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系统支持默认开机频道，并支持频道顺序编辑功能；</w:t>
                  </w:r>
                </w:p>
              </w:tc>
              <w:tc>
                <w:tcPr>
                  <w:tcW w:type="dxa" w:w="494"/>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182"/>
                  <w:vMerge/>
                  <w:tcBorders>
                    <w:top w:val="none" w:color="000000" w:sz="4"/>
                    <w:left w:val="single" w:color="000000" w:sz="4"/>
                    <w:bottom w:val="single" w:color="000000" w:sz="4"/>
                    <w:right w:val="single" w:color="000000" w:sz="4"/>
                  </w:tcBorders>
                </w:tcPr>
                <w:p/>
              </w:tc>
              <w:tc>
                <w:tcPr>
                  <w:tcW w:type="dxa" w:w="442"/>
                  <w:vMerge/>
                  <w:tcBorders>
                    <w:top w:val="none" w:color="000000" w:sz="4"/>
                    <w:left w:val="none" w:color="000000" w:sz="4"/>
                    <w:bottom w:val="single" w:color="000000" w:sz="4"/>
                    <w:right w:val="single" w:color="000000" w:sz="4"/>
                  </w:tcBorders>
                </w:tcPr>
                <w:p/>
              </w:tc>
              <w:tc>
                <w:tcPr>
                  <w:tcW w:type="dxa" w:w="14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频道切换速度在1s以内，频道切换无黑屏</w:t>
                  </w:r>
                </w:p>
              </w:tc>
              <w:tc>
                <w:tcPr>
                  <w:tcW w:type="dxa" w:w="494"/>
                  <w:vMerge/>
                  <w:tcBorders>
                    <w:top w:val="none" w:color="000000" w:sz="4"/>
                    <w:left w:val="none" w:color="000000" w:sz="4"/>
                    <w:bottom w:val="single" w:color="000000" w:sz="4"/>
                    <w:right w:val="single" w:color="000000" w:sz="4"/>
                  </w:tcBorders>
                </w:tcPr>
                <w:p/>
              </w:tc>
            </w:tr>
            <w:tr>
              <w:tc>
                <w:tcPr>
                  <w:tcW w:type="dxa" w:w="182"/>
                  <w:vMerge/>
                  <w:tcBorders>
                    <w:top w:val="none" w:color="000000" w:sz="4"/>
                    <w:left w:val="single" w:color="000000" w:sz="4"/>
                    <w:bottom w:val="single" w:color="000000" w:sz="4"/>
                    <w:right w:val="single" w:color="000000" w:sz="4"/>
                  </w:tcBorders>
                </w:tcPr>
                <w:p/>
              </w:tc>
              <w:tc>
                <w:tcPr>
                  <w:tcW w:type="dxa" w:w="442"/>
                  <w:vMerge/>
                  <w:tcBorders>
                    <w:top w:val="none" w:color="000000" w:sz="4"/>
                    <w:left w:val="none" w:color="000000" w:sz="4"/>
                    <w:bottom w:val="single" w:color="000000" w:sz="4"/>
                    <w:right w:val="single" w:color="000000" w:sz="4"/>
                  </w:tcBorders>
                </w:tcPr>
                <w:p/>
              </w:tc>
              <w:tc>
                <w:tcPr>
                  <w:tcW w:type="dxa" w:w="14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系统支持开机图片、开机视频、温馨提示、欢迎词等功能</w:t>
                  </w:r>
                </w:p>
              </w:tc>
              <w:tc>
                <w:tcPr>
                  <w:tcW w:type="dxa" w:w="494"/>
                  <w:vMerge/>
                  <w:tcBorders>
                    <w:top w:val="none" w:color="000000" w:sz="4"/>
                    <w:left w:val="none" w:color="000000" w:sz="4"/>
                    <w:bottom w:val="single" w:color="000000" w:sz="4"/>
                    <w:right w:val="single" w:color="000000" w:sz="4"/>
                  </w:tcBorders>
                </w:tcPr>
                <w:p/>
              </w:tc>
            </w:tr>
            <w:tr>
              <w:tc>
                <w:tcPr>
                  <w:tcW w:type="dxa" w:w="182"/>
                  <w:vMerge/>
                  <w:tcBorders>
                    <w:top w:val="none" w:color="000000" w:sz="4"/>
                    <w:left w:val="single" w:color="000000" w:sz="4"/>
                    <w:bottom w:val="single" w:color="000000" w:sz="4"/>
                    <w:right w:val="single" w:color="000000" w:sz="4"/>
                  </w:tcBorders>
                </w:tcPr>
                <w:p/>
              </w:tc>
              <w:tc>
                <w:tcPr>
                  <w:tcW w:type="dxa" w:w="442"/>
                  <w:vMerge/>
                  <w:tcBorders>
                    <w:top w:val="none" w:color="000000" w:sz="4"/>
                    <w:left w:val="none" w:color="000000" w:sz="4"/>
                    <w:bottom w:val="single" w:color="000000" w:sz="4"/>
                    <w:right w:val="single" w:color="000000" w:sz="4"/>
                  </w:tcBorders>
                </w:tcPr>
                <w:p/>
              </w:tc>
              <w:tc>
                <w:tcPr>
                  <w:tcW w:type="dxa" w:w="14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系统支持多种用户终端，包括高清智能云终端、智能一体式电视机等；</w:t>
                  </w:r>
                </w:p>
              </w:tc>
              <w:tc>
                <w:tcPr>
                  <w:tcW w:type="dxa" w:w="494"/>
                  <w:vMerge/>
                  <w:tcBorders>
                    <w:top w:val="none" w:color="000000" w:sz="4"/>
                    <w:left w:val="none" w:color="000000" w:sz="4"/>
                    <w:bottom w:val="single" w:color="000000" w:sz="4"/>
                    <w:right w:val="single" w:color="000000" w:sz="4"/>
                  </w:tcBorders>
                </w:tcPr>
                <w:p/>
              </w:tc>
            </w:tr>
            <w:tr>
              <w:tc>
                <w:tcPr>
                  <w:tcW w:type="dxa" w:w="182"/>
                  <w:vMerge/>
                  <w:tcBorders>
                    <w:top w:val="none" w:color="000000" w:sz="4"/>
                    <w:left w:val="single" w:color="000000" w:sz="4"/>
                    <w:bottom w:val="single" w:color="000000" w:sz="4"/>
                    <w:right w:val="single" w:color="000000" w:sz="4"/>
                  </w:tcBorders>
                </w:tcPr>
                <w:p/>
              </w:tc>
              <w:tc>
                <w:tcPr>
                  <w:tcW w:type="dxa" w:w="442"/>
                  <w:vMerge/>
                  <w:tcBorders>
                    <w:top w:val="none" w:color="000000" w:sz="4"/>
                    <w:left w:val="none" w:color="000000" w:sz="4"/>
                    <w:bottom w:val="single" w:color="000000" w:sz="4"/>
                    <w:right w:val="single" w:color="000000" w:sz="4"/>
                  </w:tcBorders>
                </w:tcPr>
                <w:p/>
              </w:tc>
              <w:tc>
                <w:tcPr>
                  <w:tcW w:type="dxa" w:w="14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系统支持直播服务、点播服务、健康讲座服务；</w:t>
                  </w:r>
                </w:p>
              </w:tc>
              <w:tc>
                <w:tcPr>
                  <w:tcW w:type="dxa" w:w="494"/>
                  <w:vMerge/>
                  <w:tcBorders>
                    <w:top w:val="none" w:color="000000" w:sz="4"/>
                    <w:left w:val="none" w:color="000000" w:sz="4"/>
                    <w:bottom w:val="single" w:color="000000" w:sz="4"/>
                    <w:right w:val="single" w:color="000000" w:sz="4"/>
                  </w:tcBorders>
                </w:tcPr>
                <w:p/>
              </w:tc>
            </w:tr>
            <w:tr>
              <w:tc>
                <w:tcPr>
                  <w:tcW w:type="dxa" w:w="182"/>
                  <w:vMerge/>
                  <w:tcBorders>
                    <w:top w:val="none" w:color="000000" w:sz="4"/>
                    <w:left w:val="single" w:color="000000" w:sz="4"/>
                    <w:bottom w:val="single" w:color="000000" w:sz="4"/>
                    <w:right w:val="single" w:color="000000" w:sz="4"/>
                  </w:tcBorders>
                </w:tcPr>
                <w:p/>
              </w:tc>
              <w:tc>
                <w:tcPr>
                  <w:tcW w:type="dxa" w:w="442"/>
                  <w:vMerge/>
                  <w:tcBorders>
                    <w:top w:val="none" w:color="000000" w:sz="4"/>
                    <w:left w:val="none" w:color="000000" w:sz="4"/>
                    <w:bottom w:val="single" w:color="000000" w:sz="4"/>
                    <w:right w:val="single" w:color="000000" w:sz="4"/>
                  </w:tcBorders>
                </w:tcPr>
                <w:p/>
              </w:tc>
              <w:tc>
                <w:tcPr>
                  <w:tcW w:type="dxa" w:w="14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支持1080P全高清节目播放，支持直播，支持蓝光影片点播；</w:t>
                  </w:r>
                </w:p>
              </w:tc>
              <w:tc>
                <w:tcPr>
                  <w:tcW w:type="dxa" w:w="494"/>
                  <w:vMerge/>
                  <w:tcBorders>
                    <w:top w:val="none" w:color="000000" w:sz="4"/>
                    <w:left w:val="none" w:color="000000" w:sz="4"/>
                    <w:bottom w:val="single" w:color="000000" w:sz="4"/>
                    <w:right w:val="single" w:color="000000" w:sz="4"/>
                  </w:tcBorders>
                </w:tcPr>
                <w:p/>
              </w:tc>
            </w:tr>
            <w:tr>
              <w:tc>
                <w:tcPr>
                  <w:tcW w:type="dxa" w:w="182"/>
                  <w:vMerge/>
                  <w:tcBorders>
                    <w:top w:val="none" w:color="000000" w:sz="4"/>
                    <w:left w:val="single" w:color="000000" w:sz="4"/>
                    <w:bottom w:val="single" w:color="000000" w:sz="4"/>
                    <w:right w:val="single" w:color="000000" w:sz="4"/>
                  </w:tcBorders>
                </w:tcPr>
                <w:p/>
              </w:tc>
              <w:tc>
                <w:tcPr>
                  <w:tcW w:type="dxa" w:w="442"/>
                  <w:vMerge/>
                  <w:tcBorders>
                    <w:top w:val="none" w:color="000000" w:sz="4"/>
                    <w:left w:val="none" w:color="000000" w:sz="4"/>
                    <w:bottom w:val="single" w:color="000000" w:sz="4"/>
                    <w:right w:val="single" w:color="000000" w:sz="4"/>
                  </w:tcBorders>
                </w:tcPr>
                <w:p/>
              </w:tc>
              <w:tc>
                <w:tcPr>
                  <w:tcW w:type="dxa" w:w="14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系统支持直播频道管理、直播节目单预告等；</w:t>
                  </w:r>
                </w:p>
              </w:tc>
              <w:tc>
                <w:tcPr>
                  <w:tcW w:type="dxa" w:w="494"/>
                  <w:vMerge/>
                  <w:tcBorders>
                    <w:top w:val="none" w:color="000000" w:sz="4"/>
                    <w:left w:val="none" w:color="000000" w:sz="4"/>
                    <w:bottom w:val="single" w:color="000000" w:sz="4"/>
                    <w:right w:val="single" w:color="000000" w:sz="4"/>
                  </w:tcBorders>
                </w:tcPr>
                <w:p/>
              </w:tc>
            </w:tr>
            <w:tr>
              <w:tc>
                <w:tcPr>
                  <w:tcW w:type="dxa" w:w="182"/>
                  <w:vMerge/>
                  <w:tcBorders>
                    <w:top w:val="none" w:color="000000" w:sz="4"/>
                    <w:left w:val="single" w:color="000000" w:sz="4"/>
                    <w:bottom w:val="single" w:color="000000" w:sz="4"/>
                    <w:right w:val="single" w:color="000000" w:sz="4"/>
                  </w:tcBorders>
                </w:tcPr>
                <w:p/>
              </w:tc>
              <w:tc>
                <w:tcPr>
                  <w:tcW w:type="dxa" w:w="442"/>
                  <w:vMerge/>
                  <w:tcBorders>
                    <w:top w:val="none" w:color="000000" w:sz="4"/>
                    <w:left w:val="none" w:color="000000" w:sz="4"/>
                    <w:bottom w:val="single" w:color="000000" w:sz="4"/>
                    <w:right w:val="single" w:color="000000" w:sz="4"/>
                  </w:tcBorders>
                </w:tcPr>
                <w:p/>
              </w:tc>
              <w:tc>
                <w:tcPr>
                  <w:tcW w:type="dxa" w:w="14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系统支持开机显示模块，可支持开机图片、开机视频、温馨提示、欢迎词自定义编辑功能；</w:t>
                  </w:r>
                </w:p>
              </w:tc>
              <w:tc>
                <w:tcPr>
                  <w:tcW w:type="dxa" w:w="494"/>
                  <w:vMerge/>
                  <w:tcBorders>
                    <w:top w:val="none" w:color="000000" w:sz="4"/>
                    <w:left w:val="none" w:color="000000" w:sz="4"/>
                    <w:bottom w:val="single" w:color="000000" w:sz="4"/>
                    <w:right w:val="single" w:color="000000" w:sz="4"/>
                  </w:tcBorders>
                </w:tcPr>
                <w:p/>
              </w:tc>
            </w:tr>
            <w:tr>
              <w:tc>
                <w:tcPr>
                  <w:tcW w:type="dxa" w:w="182"/>
                  <w:vMerge/>
                  <w:tcBorders>
                    <w:top w:val="none" w:color="000000" w:sz="4"/>
                    <w:left w:val="single" w:color="000000" w:sz="4"/>
                    <w:bottom w:val="single" w:color="000000" w:sz="4"/>
                    <w:right w:val="single" w:color="000000" w:sz="4"/>
                  </w:tcBorders>
                </w:tcPr>
                <w:p/>
              </w:tc>
              <w:tc>
                <w:tcPr>
                  <w:tcW w:type="dxa" w:w="442"/>
                  <w:vMerge/>
                  <w:tcBorders>
                    <w:top w:val="none" w:color="000000" w:sz="4"/>
                    <w:left w:val="none" w:color="000000" w:sz="4"/>
                    <w:bottom w:val="single" w:color="000000" w:sz="4"/>
                    <w:right w:val="single" w:color="000000" w:sz="4"/>
                  </w:tcBorders>
                </w:tcPr>
                <w:p/>
              </w:tc>
              <w:tc>
                <w:tcPr>
                  <w:tcW w:type="dxa" w:w="14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9.</w:t>
                  </w:r>
                  <w:r>
                    <w:rPr>
                      <w:rFonts w:ascii="仿宋_GB2312" w:hAnsi="仿宋_GB2312" w:cs="仿宋_GB2312" w:eastAsia="仿宋_GB2312"/>
                      <w:sz w:val="20"/>
                    </w:rPr>
                    <w:t>系统支持插播功能模块，可支持强制插播视频、图片功能；支持滚动字幕模块，可支持显示广告、通知等滚动字幕信息等功能；</w:t>
                  </w:r>
                </w:p>
              </w:tc>
              <w:tc>
                <w:tcPr>
                  <w:tcW w:type="dxa" w:w="494"/>
                  <w:vMerge/>
                  <w:tcBorders>
                    <w:top w:val="none" w:color="000000" w:sz="4"/>
                    <w:left w:val="none" w:color="000000" w:sz="4"/>
                    <w:bottom w:val="single" w:color="000000" w:sz="4"/>
                    <w:right w:val="single" w:color="000000" w:sz="4"/>
                  </w:tcBorders>
                </w:tcPr>
                <w:p/>
              </w:tc>
            </w:tr>
          </w:tbl>
          <w:p>
            <w:pPr>
              <w:pStyle w:val="null3"/>
              <w:jc w:val="both"/>
            </w:pPr>
            <w:r>
              <w:rPr>
                <w:rFonts w:ascii="仿宋_GB2312" w:hAnsi="仿宋_GB2312" w:cs="仿宋_GB2312" w:eastAsia="仿宋_GB2312"/>
                <w:sz w:val="20"/>
              </w:rPr>
              <w:t>二、电话系统核心设备要求</w:t>
            </w:r>
          </w:p>
          <w:tbl>
            <w:tblPr>
              <w:tblBorders>
                <w:top w:val="single"/>
                <w:left w:val="single"/>
                <w:bottom w:val="single"/>
                <w:right w:val="single"/>
                <w:insideH w:val="single"/>
                <w:insideV w:val="single"/>
              </w:tblBorders>
            </w:tblPr>
            <w:tblGrid>
              <w:gridCol w:w="335"/>
              <w:gridCol w:w="1135"/>
              <w:gridCol w:w="1083"/>
            </w:tblGrid>
            <w:tr>
              <w:tc>
                <w:tcPr>
                  <w:tcW w:type="dxa" w:w="2553"/>
                  <w:gridSpan w:val="3"/>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固话系统核心设备性能要求</w:t>
                  </w:r>
                </w:p>
              </w:tc>
            </w:tr>
            <w:tr>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序号</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组网和接入</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设置情况</w:t>
                  </w:r>
                </w:p>
              </w:tc>
            </w:tr>
            <w:tr>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w:t>
                  </w:r>
                </w:p>
              </w:tc>
              <w:tc>
                <w:tcPr>
                  <w:tcW w:type="dxa" w:w="2218"/>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支持的接口协议</w:t>
                  </w:r>
                </w:p>
              </w:tc>
            </w:tr>
            <w:tr>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2</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上联接口支持类型</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SIP</w:t>
                  </w:r>
                  <w:r>
                    <w:rPr>
                      <w:rFonts w:ascii="仿宋_GB2312" w:hAnsi="仿宋_GB2312" w:cs="仿宋_GB2312" w:eastAsia="仿宋_GB2312"/>
                      <w:sz w:val="20"/>
                      <w:color w:val="000000"/>
                    </w:rPr>
                    <w:t>中继</w:t>
                  </w:r>
                </w:p>
              </w:tc>
            </w:tr>
            <w:tr>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3</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下联接口支持类型</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SIP</w:t>
                  </w:r>
                  <w:r>
                    <w:rPr>
                      <w:rFonts w:ascii="仿宋_GB2312" w:hAnsi="仿宋_GB2312" w:cs="仿宋_GB2312" w:eastAsia="仿宋_GB2312"/>
                      <w:sz w:val="20"/>
                      <w:color w:val="000000"/>
                    </w:rPr>
                    <w:t>中继、SIP用户、视频用户</w:t>
                  </w:r>
                </w:p>
              </w:tc>
            </w:tr>
            <w:tr>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4</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下联设备支持类型</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SIP</w:t>
                  </w:r>
                  <w:r>
                    <w:rPr>
                      <w:rFonts w:ascii="仿宋_GB2312" w:hAnsi="仿宋_GB2312" w:cs="仿宋_GB2312" w:eastAsia="仿宋_GB2312"/>
                      <w:sz w:val="20"/>
                      <w:color w:val="000000"/>
                    </w:rPr>
                    <w:t>话机/视频话机/软终端/IAD</w:t>
                  </w:r>
                </w:p>
              </w:tc>
            </w:tr>
            <w:tr>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5</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支持的VOIP编解码格式</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G.711A/U</w:t>
                  </w:r>
                  <w:r>
                    <w:rPr>
                      <w:rFonts w:ascii="仿宋_GB2312" w:hAnsi="仿宋_GB2312" w:cs="仿宋_GB2312" w:eastAsia="仿宋_GB2312"/>
                      <w:sz w:val="20"/>
                      <w:color w:val="000000"/>
                    </w:rPr>
                    <w:t>、G.729、G.723</w:t>
                  </w:r>
                </w:p>
              </w:tc>
            </w:tr>
            <w:tr>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6</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支持的视频通话编解码格式</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H.263/H.264</w:t>
                  </w:r>
                </w:p>
              </w:tc>
            </w:tr>
            <w:tr>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7</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支持视频回落功能</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支持</w:t>
                  </w:r>
                </w:p>
              </w:tc>
            </w:tr>
            <w:tr>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8</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上联支持的协议</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SIP</w:t>
                  </w:r>
                </w:p>
              </w:tc>
            </w:tr>
            <w:tr>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9</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下联支持的协议</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SIP</w:t>
                  </w:r>
                </w:p>
              </w:tc>
            </w:tr>
            <w:tr>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10</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是否支持回声抑制功能</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支持</w:t>
                  </w:r>
                </w:p>
              </w:tc>
            </w:tr>
            <w:tr>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11</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支持的鉴权算法</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Http Digest/SIP Digest/IMS AKA</w:t>
                  </w:r>
                </w:p>
              </w:tc>
            </w:tr>
            <w:tr>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12</w:t>
                  </w:r>
                </w:p>
              </w:tc>
              <w:tc>
                <w:tcPr>
                  <w:tcW w:type="dxa" w:w="2218"/>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组网方式</w:t>
                  </w:r>
                </w:p>
              </w:tc>
            </w:tr>
            <w:tr>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13</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支持接入多家运营商</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支持</w:t>
                  </w:r>
                </w:p>
              </w:tc>
            </w:tr>
            <w:tr>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14</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支持插板扩容</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不支持</w:t>
                  </w:r>
                </w:p>
              </w:tc>
            </w:tr>
            <w:tr>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15</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是否支持不同用户区别使用不同IP地址或端口号</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支持</w:t>
                  </w:r>
                </w:p>
              </w:tc>
            </w:tr>
            <w:tr>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16</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信令流使用的端口范围</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5060</w:t>
                  </w:r>
                </w:p>
              </w:tc>
            </w:tr>
            <w:tr>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17</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媒体流使用的端口范围</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10000-40000</w:t>
                  </w:r>
                </w:p>
              </w:tc>
            </w:tr>
          </w:tbl>
          <w:p>
            <w:pPr>
              <w:pStyle w:val="null3"/>
              <w:numPr>
                <w:ilvl w:val="0"/>
                <w:numId w:val="1"/>
              </w:numPr>
              <w:jc w:val="both"/>
            </w:pPr>
            <w:r>
              <w:rPr>
                <w:rFonts w:ascii="仿宋_GB2312" w:hAnsi="仿宋_GB2312" w:cs="仿宋_GB2312" w:eastAsia="仿宋_GB2312"/>
                <w:sz w:val="20"/>
              </w:rPr>
              <w:t>互联网专线接入要求：</w:t>
            </w:r>
          </w:p>
          <w:p>
            <w:pPr>
              <w:pStyle w:val="null3"/>
              <w:ind w:firstLine="400"/>
              <w:jc w:val="left"/>
            </w:pPr>
            <w:r>
              <w:rPr>
                <w:rFonts w:ascii="仿宋_GB2312" w:hAnsi="仿宋_GB2312" w:cs="仿宋_GB2312" w:eastAsia="仿宋_GB2312"/>
                <w:sz w:val="20"/>
              </w:rPr>
              <w:t>提供三条互联网专线，≥500M一条，≥200M两条。综合楼、住院一部、住院三部、门诊互联网改造为光纤传输，且在服务期内须提供以下设备，满足院内互联网接入需求。</w:t>
            </w:r>
          </w:p>
          <w:tbl>
            <w:tblPr>
              <w:tblBorders>
                <w:top w:val="single"/>
                <w:left w:val="single"/>
                <w:bottom w:val="single"/>
                <w:right w:val="single"/>
                <w:insideH w:val="single"/>
                <w:insideV w:val="single"/>
              </w:tblBorders>
            </w:tblPr>
            <w:tblGrid>
              <w:gridCol w:w="284"/>
              <w:gridCol w:w="335"/>
              <w:gridCol w:w="1676"/>
              <w:gridCol w:w="258"/>
            </w:tblGrid>
            <w:tr>
              <w:tc>
                <w:tcPr>
                  <w:tcW w:type="dxa" w:w="2553"/>
                  <w:gridSpan w:val="4"/>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 xml:space="preserve">提供网络系统组网设备   </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类别</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名称</w:t>
                  </w:r>
                </w:p>
              </w:tc>
              <w:tc>
                <w:tcPr>
                  <w:tcW w:type="dxa" w:w="16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要求</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数量</w:t>
                  </w:r>
                </w:p>
              </w:tc>
            </w:tr>
            <w:tr>
              <w:tc>
                <w:tcPr>
                  <w:tcW w:type="dxa" w:w="284"/>
                  <w:vMerge w:val="restart"/>
                  <w:tcBorders>
                    <w:top w:val="none" w:color="000000" w:sz="4"/>
                    <w:left w:val="single" w:color="000000" w:sz="4"/>
                    <w:bottom w:val="non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网络核心设备</w:t>
                  </w:r>
                </w:p>
              </w:tc>
              <w:tc>
                <w:tcPr>
                  <w:tcW w:type="dxa" w:w="33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网关</w:t>
                  </w:r>
                </w:p>
              </w:tc>
              <w:tc>
                <w:tcPr>
                  <w:tcW w:type="dxa" w:w="16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支持固化千兆电口≥5个，标准1U设备，非X86多核硬件体系架构，支持内存≥512MB，USB接口≥1个</w:t>
                  </w:r>
                </w:p>
              </w:tc>
              <w:tc>
                <w:tcPr>
                  <w:tcW w:type="dxa" w:w="25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≥3</w:t>
                  </w:r>
                </w:p>
              </w:tc>
            </w:tr>
            <w:tr>
              <w:tc>
                <w:tcPr>
                  <w:tcW w:type="dxa" w:w="284"/>
                  <w:vMerge/>
                  <w:tcBorders>
                    <w:top w:val="none" w:color="000000" w:sz="4"/>
                    <w:left w:val="single" w:color="000000" w:sz="4"/>
                    <w:bottom w:val="none" w:color="000000" w:sz="4"/>
                    <w:right w:val="single" w:color="000000" w:sz="4"/>
                  </w:tcBorders>
                </w:tcPr>
                <w:p/>
              </w:tc>
              <w:tc>
                <w:tcPr>
                  <w:tcW w:type="dxa" w:w="335"/>
                  <w:vMerge/>
                  <w:tcBorders>
                    <w:top w:val="none" w:color="000000" w:sz="4"/>
                    <w:left w:val="none" w:color="000000" w:sz="4"/>
                    <w:bottom w:val="single" w:color="000000" w:sz="4"/>
                    <w:right w:val="single" w:color="000000" w:sz="4"/>
                  </w:tcBorders>
                </w:tcPr>
                <w:p/>
              </w:tc>
              <w:tc>
                <w:tcPr>
                  <w:tcW w:type="dxa" w:w="16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典型配置吞吐量≥1000MB，用户规模≥200终端</w:t>
                  </w:r>
                </w:p>
              </w:tc>
              <w:tc>
                <w:tcPr>
                  <w:tcW w:type="dxa" w:w="258"/>
                  <w:vMerge/>
                  <w:tcBorders>
                    <w:top w:val="none" w:color="000000" w:sz="4"/>
                    <w:left w:val="none" w:color="000000" w:sz="4"/>
                    <w:bottom w:val="single" w:color="000000" w:sz="4"/>
                    <w:right w:val="single" w:color="000000" w:sz="4"/>
                  </w:tcBorders>
                </w:tcPr>
                <w:p/>
              </w:tc>
            </w:tr>
            <w:tr>
              <w:tc>
                <w:tcPr>
                  <w:tcW w:type="dxa" w:w="284"/>
                  <w:vMerge/>
                  <w:tcBorders>
                    <w:top w:val="none" w:color="000000" w:sz="4"/>
                    <w:left w:val="single" w:color="000000" w:sz="4"/>
                    <w:bottom w:val="none" w:color="000000" w:sz="4"/>
                    <w:right w:val="single" w:color="000000" w:sz="4"/>
                  </w:tcBorders>
                </w:tcPr>
                <w:p/>
              </w:tc>
              <w:tc>
                <w:tcPr>
                  <w:tcW w:type="dxa" w:w="335"/>
                  <w:vMerge/>
                  <w:tcBorders>
                    <w:top w:val="none" w:color="000000" w:sz="4"/>
                    <w:left w:val="none" w:color="000000" w:sz="4"/>
                    <w:bottom w:val="single" w:color="000000" w:sz="4"/>
                    <w:right w:val="single" w:color="000000" w:sz="4"/>
                  </w:tcBorders>
                </w:tcPr>
                <w:p/>
              </w:tc>
              <w:tc>
                <w:tcPr>
                  <w:tcW w:type="dxa" w:w="16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3.</w:t>
                  </w:r>
                  <w:r>
                    <w:rPr>
                      <w:rFonts w:ascii="仿宋_GB2312" w:hAnsi="仿宋_GB2312" w:cs="仿宋_GB2312" w:eastAsia="仿宋_GB2312"/>
                      <w:sz w:val="20"/>
                      <w:color w:val="000000"/>
                    </w:rPr>
                    <w:t>为保证在多条外网线路情况下带宽的合理分配使用，设备必须支持多链路负载均衡</w:t>
                  </w:r>
                </w:p>
              </w:tc>
              <w:tc>
                <w:tcPr>
                  <w:tcW w:type="dxa" w:w="258"/>
                  <w:vMerge/>
                  <w:tcBorders>
                    <w:top w:val="none" w:color="000000" w:sz="4"/>
                    <w:left w:val="none" w:color="000000" w:sz="4"/>
                    <w:bottom w:val="single" w:color="000000" w:sz="4"/>
                    <w:right w:val="single" w:color="000000" w:sz="4"/>
                  </w:tcBorders>
                </w:tcPr>
                <w:p/>
              </w:tc>
            </w:tr>
            <w:tr>
              <w:tc>
                <w:tcPr>
                  <w:tcW w:type="dxa" w:w="284"/>
                  <w:vMerge/>
                  <w:tcBorders>
                    <w:top w:val="none" w:color="000000" w:sz="4"/>
                    <w:left w:val="single" w:color="000000" w:sz="4"/>
                    <w:bottom w:val="none" w:color="000000" w:sz="4"/>
                    <w:right w:val="single" w:color="000000" w:sz="4"/>
                  </w:tcBorders>
                </w:tcPr>
                <w:p/>
              </w:tc>
              <w:tc>
                <w:tcPr>
                  <w:tcW w:type="dxa" w:w="335"/>
                  <w:vMerge/>
                  <w:tcBorders>
                    <w:top w:val="none" w:color="000000" w:sz="4"/>
                    <w:left w:val="none" w:color="000000" w:sz="4"/>
                    <w:bottom w:val="single" w:color="000000" w:sz="4"/>
                    <w:right w:val="single" w:color="000000" w:sz="4"/>
                  </w:tcBorders>
                </w:tcPr>
                <w:p/>
              </w:tc>
              <w:tc>
                <w:tcPr>
                  <w:tcW w:type="dxa" w:w="16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为满足数据包按照用户指定的策略进行转发，必须支持策略路由，如：一个策略可以指定从某个网络发出的数据包只能转发到某个特定的接口</w:t>
                  </w:r>
                </w:p>
              </w:tc>
              <w:tc>
                <w:tcPr>
                  <w:tcW w:type="dxa" w:w="258"/>
                  <w:vMerge/>
                  <w:tcBorders>
                    <w:top w:val="none" w:color="000000" w:sz="4"/>
                    <w:left w:val="none" w:color="000000" w:sz="4"/>
                    <w:bottom w:val="single" w:color="000000" w:sz="4"/>
                    <w:right w:val="single" w:color="000000" w:sz="4"/>
                  </w:tcBorders>
                </w:tcPr>
                <w:p/>
              </w:tc>
            </w:tr>
            <w:tr>
              <w:tc>
                <w:tcPr>
                  <w:tcW w:type="dxa" w:w="284"/>
                  <w:vMerge/>
                  <w:tcBorders>
                    <w:top w:val="none" w:color="000000" w:sz="4"/>
                    <w:left w:val="single" w:color="000000" w:sz="4"/>
                    <w:bottom w:val="none" w:color="000000" w:sz="4"/>
                    <w:right w:val="single" w:color="000000" w:sz="4"/>
                  </w:tcBorders>
                </w:tcPr>
                <w:p/>
              </w:tc>
              <w:tc>
                <w:tcPr>
                  <w:tcW w:type="dxa" w:w="335"/>
                  <w:vMerge/>
                  <w:tcBorders>
                    <w:top w:val="none" w:color="000000" w:sz="4"/>
                    <w:left w:val="none" w:color="000000" w:sz="4"/>
                    <w:bottom w:val="single" w:color="000000" w:sz="4"/>
                    <w:right w:val="single" w:color="000000" w:sz="4"/>
                  </w:tcBorders>
                </w:tcPr>
                <w:p/>
              </w:tc>
              <w:tc>
                <w:tcPr>
                  <w:tcW w:type="dxa" w:w="16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5.</w:t>
                  </w:r>
                  <w:r>
                    <w:rPr>
                      <w:rFonts w:ascii="仿宋_GB2312" w:hAnsi="仿宋_GB2312" w:cs="仿宋_GB2312" w:eastAsia="仿宋_GB2312"/>
                      <w:sz w:val="20"/>
                      <w:color w:val="000000"/>
                    </w:rPr>
                    <w:t>为满足增量网络下实现，行为/流控/认证/VPN 等等需求</w:t>
                  </w:r>
                </w:p>
              </w:tc>
              <w:tc>
                <w:tcPr>
                  <w:tcW w:type="dxa" w:w="258"/>
                  <w:vMerge/>
                  <w:tcBorders>
                    <w:top w:val="none" w:color="000000" w:sz="4"/>
                    <w:left w:val="none" w:color="000000" w:sz="4"/>
                    <w:bottom w:val="single" w:color="000000" w:sz="4"/>
                    <w:right w:val="single" w:color="000000" w:sz="4"/>
                  </w:tcBorders>
                </w:tcPr>
                <w:p/>
              </w:tc>
            </w:tr>
            <w:tr>
              <w:tc>
                <w:tcPr>
                  <w:tcW w:type="dxa" w:w="284"/>
                  <w:vMerge/>
                  <w:tcBorders>
                    <w:top w:val="none" w:color="000000" w:sz="4"/>
                    <w:left w:val="single" w:color="000000" w:sz="4"/>
                    <w:bottom w:val="none" w:color="000000" w:sz="4"/>
                    <w:right w:val="single" w:color="000000" w:sz="4"/>
                  </w:tcBorders>
                </w:tcPr>
                <w:p/>
              </w:tc>
              <w:tc>
                <w:tcPr>
                  <w:tcW w:type="dxa" w:w="335"/>
                  <w:vMerge/>
                  <w:tcBorders>
                    <w:top w:val="none" w:color="000000" w:sz="4"/>
                    <w:left w:val="none" w:color="000000" w:sz="4"/>
                    <w:bottom w:val="single" w:color="000000" w:sz="4"/>
                    <w:right w:val="single" w:color="000000" w:sz="4"/>
                  </w:tcBorders>
                </w:tcPr>
                <w:p/>
              </w:tc>
              <w:tc>
                <w:tcPr>
                  <w:tcW w:type="dxa" w:w="16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内置无线控制器功能，直接管理AP，最大支持管理16个AP。</w:t>
                  </w:r>
                </w:p>
              </w:tc>
              <w:tc>
                <w:tcPr>
                  <w:tcW w:type="dxa" w:w="258"/>
                  <w:vMerge/>
                  <w:tcBorders>
                    <w:top w:val="none" w:color="000000" w:sz="4"/>
                    <w:left w:val="none" w:color="000000" w:sz="4"/>
                    <w:bottom w:val="single" w:color="000000" w:sz="4"/>
                    <w:right w:val="single" w:color="000000" w:sz="4"/>
                  </w:tcBorders>
                </w:tcPr>
                <w:p/>
              </w:tc>
            </w:tr>
            <w:tr>
              <w:tc>
                <w:tcPr>
                  <w:tcW w:type="dxa" w:w="284"/>
                  <w:vMerge/>
                  <w:tcBorders>
                    <w:top w:val="none" w:color="000000" w:sz="4"/>
                    <w:left w:val="single" w:color="000000" w:sz="4"/>
                    <w:bottom w:val="none" w:color="000000" w:sz="4"/>
                    <w:right w:val="single" w:color="000000" w:sz="4"/>
                  </w:tcBorders>
                </w:tcPr>
                <w:p/>
              </w:tc>
              <w:tc>
                <w:tcPr>
                  <w:tcW w:type="dxa" w:w="335"/>
                  <w:vMerge w:val="restart"/>
                  <w:tcBorders>
                    <w:top w:val="none" w:color="000000" w:sz="4"/>
                    <w:left w:val="none" w:color="000000" w:sz="4"/>
                    <w:bottom w:val="non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交换机</w:t>
                  </w:r>
                </w:p>
              </w:tc>
              <w:tc>
                <w:tcPr>
                  <w:tcW w:type="dxa" w:w="16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rPr>
                    <w:t>实配固化千兆电接口数≥24个，提供证明材料，包括但不限于：产品技术说明或检测报告或产品彩页或官网查询链接及截图，并须加盖生产厂家公章。</w:t>
                  </w:r>
                </w:p>
              </w:tc>
              <w:tc>
                <w:tcPr>
                  <w:tcW w:type="dxa" w:w="258"/>
                  <w:vMerge w:val="restart"/>
                  <w:tcBorders>
                    <w:top w:val="none" w:color="000000" w:sz="4"/>
                    <w:left w:val="none" w:color="000000" w:sz="4"/>
                    <w:bottom w:val="non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≥8</w:t>
                  </w:r>
                </w:p>
              </w:tc>
            </w:tr>
            <w:tr>
              <w:tc>
                <w:tcPr>
                  <w:tcW w:type="dxa" w:w="284"/>
                  <w:vMerge/>
                  <w:tcBorders>
                    <w:top w:val="none" w:color="000000" w:sz="4"/>
                    <w:left w:val="single" w:color="000000" w:sz="4"/>
                    <w:bottom w:val="none" w:color="000000" w:sz="4"/>
                    <w:right w:val="single" w:color="000000" w:sz="4"/>
                  </w:tcBorders>
                </w:tcPr>
                <w:p/>
              </w:tc>
              <w:tc>
                <w:tcPr>
                  <w:tcW w:type="dxa" w:w="335"/>
                  <w:vMerge/>
                  <w:tcBorders>
                    <w:top w:val="none" w:color="000000" w:sz="4"/>
                    <w:left w:val="none" w:color="000000" w:sz="4"/>
                    <w:bottom w:val="none" w:color="000000" w:sz="4"/>
                    <w:right w:val="single" w:color="000000" w:sz="4"/>
                  </w:tcBorders>
                </w:tcPr>
                <w:p/>
              </w:tc>
              <w:tc>
                <w:tcPr>
                  <w:tcW w:type="dxa" w:w="16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2.</w:t>
                  </w:r>
                  <w:r>
                    <w:rPr>
                      <w:rFonts w:ascii="仿宋_GB2312" w:hAnsi="仿宋_GB2312" w:cs="仿宋_GB2312" w:eastAsia="仿宋_GB2312"/>
                      <w:sz w:val="20"/>
                    </w:rPr>
                    <w:t>交换容量≥48Gbps，包转发率≥36Mpps，提供证明材料，包括但不限于：产品技术说明或检测报告或产品彩页或官网查询链接及截图，并须加盖生产厂家公章。</w:t>
                  </w:r>
                </w:p>
              </w:tc>
              <w:tc>
                <w:tcPr>
                  <w:tcW w:type="dxa" w:w="258"/>
                  <w:vMerge/>
                  <w:tcBorders>
                    <w:top w:val="none" w:color="000000" w:sz="4"/>
                    <w:left w:val="none" w:color="000000" w:sz="4"/>
                    <w:bottom w:val="none" w:color="000000" w:sz="4"/>
                    <w:right w:val="single" w:color="000000" w:sz="4"/>
                  </w:tcBorders>
                </w:tcPr>
                <w:p/>
              </w:tc>
            </w:tr>
            <w:tr>
              <w:tc>
                <w:tcPr>
                  <w:tcW w:type="dxa" w:w="284"/>
                  <w:vMerge/>
                  <w:tcBorders>
                    <w:top w:val="none" w:color="000000" w:sz="4"/>
                    <w:left w:val="single" w:color="000000" w:sz="4"/>
                    <w:bottom w:val="none" w:color="000000" w:sz="4"/>
                    <w:right w:val="single" w:color="000000" w:sz="4"/>
                  </w:tcBorders>
                </w:tcPr>
                <w:p/>
              </w:tc>
              <w:tc>
                <w:tcPr>
                  <w:tcW w:type="dxa" w:w="335"/>
                  <w:vMerge/>
                  <w:tcBorders>
                    <w:top w:val="none" w:color="000000" w:sz="4"/>
                    <w:left w:val="none" w:color="000000" w:sz="4"/>
                    <w:bottom w:val="none" w:color="000000" w:sz="4"/>
                    <w:right w:val="single" w:color="000000" w:sz="4"/>
                  </w:tcBorders>
                </w:tcPr>
                <w:p/>
              </w:tc>
              <w:tc>
                <w:tcPr>
                  <w:tcW w:type="dxa" w:w="16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工作温度0℃~50℃，提供证明材料，包括但不限于：产品技术说明或检测报告或产品彩页或官网查询链接及截图，并须加盖生产厂家公章。</w:t>
                  </w:r>
                </w:p>
              </w:tc>
              <w:tc>
                <w:tcPr>
                  <w:tcW w:type="dxa" w:w="258"/>
                  <w:vMerge/>
                  <w:tcBorders>
                    <w:top w:val="none" w:color="000000" w:sz="4"/>
                    <w:left w:val="none" w:color="000000" w:sz="4"/>
                    <w:bottom w:val="none" w:color="000000" w:sz="4"/>
                    <w:right w:val="single" w:color="000000" w:sz="4"/>
                  </w:tcBorders>
                </w:tcPr>
                <w:p/>
              </w:tc>
            </w:tr>
            <w:tr>
              <w:tc>
                <w:tcPr>
                  <w:tcW w:type="dxa" w:w="284"/>
                  <w:vMerge/>
                  <w:tcBorders>
                    <w:top w:val="none" w:color="000000" w:sz="4"/>
                    <w:left w:val="single" w:color="000000" w:sz="4"/>
                    <w:bottom w:val="none" w:color="000000" w:sz="4"/>
                    <w:right w:val="single" w:color="000000" w:sz="4"/>
                  </w:tcBorders>
                </w:tcPr>
                <w:p/>
              </w:tc>
              <w:tc>
                <w:tcPr>
                  <w:tcW w:type="dxa" w:w="335"/>
                  <w:vMerge/>
                  <w:tcBorders>
                    <w:top w:val="none" w:color="000000" w:sz="4"/>
                    <w:left w:val="none" w:color="000000" w:sz="4"/>
                    <w:bottom w:val="none" w:color="000000" w:sz="4"/>
                    <w:right w:val="single" w:color="000000" w:sz="4"/>
                  </w:tcBorders>
                </w:tcPr>
                <w:p/>
              </w:tc>
              <w:tc>
                <w:tcPr>
                  <w:tcW w:type="dxa" w:w="16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为了保证交换机使用寿命，要求所投产品的防雷等级≥6kV，提供证明材料，包括但不限于：产品技术说明或检测报告或产品彩页或官网查询链接及截图，并须加盖生产厂家公章。</w:t>
                  </w:r>
                </w:p>
              </w:tc>
              <w:tc>
                <w:tcPr>
                  <w:tcW w:type="dxa" w:w="258"/>
                  <w:vMerge/>
                  <w:tcBorders>
                    <w:top w:val="none" w:color="000000" w:sz="4"/>
                    <w:left w:val="none" w:color="000000" w:sz="4"/>
                    <w:bottom w:val="none" w:color="000000" w:sz="4"/>
                    <w:right w:val="single" w:color="000000" w:sz="4"/>
                  </w:tcBorders>
                </w:tcPr>
                <w:p/>
              </w:tc>
            </w:tr>
            <w:tr>
              <w:tc>
                <w:tcPr>
                  <w:tcW w:type="dxa" w:w="284"/>
                  <w:vMerge/>
                  <w:tcBorders>
                    <w:top w:val="none" w:color="000000" w:sz="4"/>
                    <w:left w:val="single" w:color="000000" w:sz="4"/>
                    <w:bottom w:val="none" w:color="000000" w:sz="4"/>
                    <w:right w:val="single" w:color="000000" w:sz="4"/>
                  </w:tcBorders>
                </w:tcPr>
                <w:p/>
              </w:tc>
              <w:tc>
                <w:tcPr>
                  <w:tcW w:type="dxa" w:w="335"/>
                  <w:vMerge/>
                  <w:tcBorders>
                    <w:top w:val="none" w:color="000000" w:sz="4"/>
                    <w:left w:val="none" w:color="000000" w:sz="4"/>
                    <w:bottom w:val="none" w:color="000000" w:sz="4"/>
                    <w:right w:val="single" w:color="000000" w:sz="4"/>
                  </w:tcBorders>
                </w:tcPr>
                <w:p/>
              </w:tc>
              <w:tc>
                <w:tcPr>
                  <w:tcW w:type="dxa" w:w="16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5.</w:t>
                  </w:r>
                  <w:r>
                    <w:rPr>
                      <w:rFonts w:ascii="仿宋_GB2312" w:hAnsi="仿宋_GB2312" w:cs="仿宋_GB2312" w:eastAsia="仿宋_GB2312"/>
                      <w:sz w:val="20"/>
                    </w:rPr>
                    <w:t>要求所投产品可检测链路的通断，并支持端口下的环路检测功能，防止端口下因私接Hub等设备形成的环路而导致网络故障，保留测试权力。</w:t>
                  </w:r>
                </w:p>
              </w:tc>
              <w:tc>
                <w:tcPr>
                  <w:tcW w:type="dxa" w:w="258"/>
                  <w:vMerge/>
                  <w:tcBorders>
                    <w:top w:val="none" w:color="000000" w:sz="4"/>
                    <w:left w:val="none" w:color="000000" w:sz="4"/>
                    <w:bottom w:val="none" w:color="000000" w:sz="4"/>
                    <w:right w:val="single" w:color="000000" w:sz="4"/>
                  </w:tcBorders>
                </w:tcPr>
                <w:p/>
              </w:tc>
            </w:tr>
            <w:tr>
              <w:tc>
                <w:tcPr>
                  <w:tcW w:type="dxa" w:w="284"/>
                  <w:vMerge/>
                  <w:tcBorders>
                    <w:top w:val="none" w:color="000000" w:sz="4"/>
                    <w:left w:val="single" w:color="000000" w:sz="4"/>
                    <w:bottom w:val="none" w:color="000000" w:sz="4"/>
                    <w:right w:val="single" w:color="000000" w:sz="4"/>
                  </w:tcBorders>
                </w:tcPr>
                <w:p/>
              </w:tc>
              <w:tc>
                <w:tcPr>
                  <w:tcW w:type="dxa" w:w="335"/>
                  <w:vMerge/>
                  <w:tcBorders>
                    <w:top w:val="none" w:color="000000" w:sz="4"/>
                    <w:left w:val="none" w:color="000000" w:sz="4"/>
                    <w:bottom w:val="none" w:color="000000" w:sz="4"/>
                    <w:right w:val="single" w:color="000000" w:sz="4"/>
                  </w:tcBorders>
                </w:tcPr>
                <w:p/>
              </w:tc>
              <w:tc>
                <w:tcPr>
                  <w:tcW w:type="dxa" w:w="16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6.</w:t>
                  </w:r>
                  <w:r>
                    <w:rPr>
                      <w:rFonts w:ascii="仿宋_GB2312" w:hAnsi="仿宋_GB2312" w:cs="仿宋_GB2312" w:eastAsia="仿宋_GB2312"/>
                      <w:sz w:val="20"/>
                      <w:color w:val="000000"/>
                    </w:rPr>
                    <w:t>要求设备支持流控，端口限速，风暴抑制，端口隔离，端口镜像，并可通过WEB界面实现向导性配置。</w:t>
                  </w:r>
                </w:p>
              </w:tc>
              <w:tc>
                <w:tcPr>
                  <w:tcW w:type="dxa" w:w="258"/>
                  <w:vMerge/>
                  <w:tcBorders>
                    <w:top w:val="none" w:color="000000" w:sz="4"/>
                    <w:left w:val="none" w:color="000000" w:sz="4"/>
                    <w:bottom w:val="none" w:color="000000" w:sz="4"/>
                    <w:right w:val="single" w:color="000000" w:sz="4"/>
                  </w:tcBorders>
                </w:tcPr>
                <w:p/>
              </w:tc>
            </w:tr>
            <w:tr>
              <w:tc>
                <w:tcPr>
                  <w:tcW w:type="dxa" w:w="284"/>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3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收发器</w:t>
                  </w:r>
                </w:p>
              </w:tc>
              <w:tc>
                <w:tcPr>
                  <w:tcW w:type="dxa" w:w="16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75" w:after="75"/>
                    <w:ind w:left="105" w:right="105"/>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千兆电口:》 1个</w:t>
                  </w:r>
                </w:p>
                <w:p>
                  <w:pPr>
                    <w:pStyle w:val="null3"/>
                    <w:spacing w:before="75" w:after="75"/>
                    <w:ind w:left="105" w:right="105"/>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千兆SC光口:》 1个</w:t>
                  </w:r>
                </w:p>
                <w:p>
                  <w:pPr>
                    <w:pStyle w:val="null3"/>
                    <w:spacing w:before="75" w:after="75"/>
                    <w:ind w:left="105" w:right="105"/>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总光口数:》 1个</w:t>
                  </w:r>
                </w:p>
                <w:p>
                  <w:pPr>
                    <w:pStyle w:val="null3"/>
                    <w:spacing w:before="75" w:after="75"/>
                    <w:ind w:left="105" w:right="105"/>
                    <w:jc w:val="both"/>
                  </w:pPr>
                  <w:r>
                    <w:rPr>
                      <w:rFonts w:ascii="仿宋_GB2312" w:hAnsi="仿宋_GB2312" w:cs="仿宋_GB2312" w:eastAsia="仿宋_GB2312"/>
                      <w:sz w:val="20"/>
                      <w:color w:val="000000"/>
                    </w:rPr>
                    <w:t>4.</w:t>
                  </w:r>
                  <w:r>
                    <w:rPr>
                      <w:rFonts w:ascii="仿宋_GB2312" w:hAnsi="仿宋_GB2312" w:cs="仿宋_GB2312" w:eastAsia="仿宋_GB2312"/>
                      <w:sz w:val="20"/>
                      <w:color w:val="000000"/>
                    </w:rPr>
                    <w:t>总电口数: 》1个</w:t>
                  </w:r>
                </w:p>
                <w:p>
                  <w:pPr>
                    <w:pStyle w:val="null3"/>
                    <w:spacing w:before="75" w:after="75"/>
                    <w:ind w:left="105" w:right="105"/>
                    <w:jc w:val="both"/>
                  </w:pPr>
                  <w:r>
                    <w:rPr>
                      <w:rFonts w:ascii="仿宋_GB2312" w:hAnsi="仿宋_GB2312" w:cs="仿宋_GB2312" w:eastAsia="仿宋_GB2312"/>
                      <w:sz w:val="20"/>
                      <w:color w:val="000000"/>
                    </w:rPr>
                    <w:t>5.</w:t>
                  </w:r>
                  <w:r>
                    <w:rPr>
                      <w:rFonts w:ascii="仿宋_GB2312" w:hAnsi="仿宋_GB2312" w:cs="仿宋_GB2312" w:eastAsia="仿宋_GB2312"/>
                      <w:sz w:val="20"/>
                      <w:color w:val="000000"/>
                    </w:rPr>
                    <w:t>推荐交换容量: 4Gbps</w:t>
                  </w:r>
                </w:p>
                <w:p>
                  <w:pPr>
                    <w:pStyle w:val="null3"/>
                    <w:spacing w:before="75" w:after="75"/>
                    <w:ind w:left="105" w:right="105"/>
                    <w:jc w:val="both"/>
                  </w:pPr>
                  <w:r>
                    <w:rPr>
                      <w:rFonts w:ascii="仿宋_GB2312" w:hAnsi="仿宋_GB2312" w:cs="仿宋_GB2312" w:eastAsia="仿宋_GB2312"/>
                      <w:sz w:val="20"/>
                      <w:color w:val="000000"/>
                    </w:rPr>
                    <w:t>6.</w:t>
                  </w:r>
                  <w:r>
                    <w:rPr>
                      <w:rFonts w:ascii="仿宋_GB2312" w:hAnsi="仿宋_GB2312" w:cs="仿宋_GB2312" w:eastAsia="仿宋_GB2312"/>
                      <w:sz w:val="20"/>
                      <w:color w:val="000000"/>
                    </w:rPr>
                    <w:t>整机包转发率: 3Mpps</w:t>
                  </w:r>
                </w:p>
                <w:p>
                  <w:pPr>
                    <w:pStyle w:val="null3"/>
                    <w:spacing w:before="75" w:after="75"/>
                    <w:ind w:left="105" w:right="105"/>
                    <w:jc w:val="both"/>
                  </w:pPr>
                  <w:r>
                    <w:rPr>
                      <w:rFonts w:ascii="仿宋_GB2312" w:hAnsi="仿宋_GB2312" w:cs="仿宋_GB2312" w:eastAsia="仿宋_GB2312"/>
                      <w:sz w:val="20"/>
                      <w:color w:val="000000"/>
                    </w:rPr>
                    <w:t>7.</w:t>
                  </w:r>
                  <w:r>
                    <w:rPr>
                      <w:rFonts w:ascii="仿宋_GB2312" w:hAnsi="仿宋_GB2312" w:cs="仿宋_GB2312" w:eastAsia="仿宋_GB2312"/>
                      <w:sz w:val="20"/>
                      <w:color w:val="000000"/>
                    </w:rPr>
                    <w:t>线缆热插拔: 所有端口支持线缆热拔插</w:t>
                  </w:r>
                </w:p>
                <w:p>
                  <w:pPr>
                    <w:pStyle w:val="null3"/>
                    <w:spacing w:before="75" w:after="75"/>
                    <w:ind w:left="105" w:right="105"/>
                    <w:jc w:val="both"/>
                  </w:pPr>
                  <w:r>
                    <w:rPr>
                      <w:rFonts w:ascii="仿宋_GB2312" w:hAnsi="仿宋_GB2312" w:cs="仿宋_GB2312" w:eastAsia="仿宋_GB2312"/>
                      <w:sz w:val="20"/>
                      <w:color w:val="000000"/>
                    </w:rPr>
                    <w:t>8.</w:t>
                  </w:r>
                  <w:r>
                    <w:rPr>
                      <w:rFonts w:ascii="仿宋_GB2312" w:hAnsi="仿宋_GB2312" w:cs="仿宋_GB2312" w:eastAsia="仿宋_GB2312"/>
                      <w:sz w:val="20"/>
                      <w:color w:val="000000"/>
                    </w:rPr>
                    <w:t>光口带宽: 》1000Mbps</w:t>
                  </w:r>
                </w:p>
                <w:p>
                  <w:pPr>
                    <w:pStyle w:val="null3"/>
                    <w:spacing w:before="75" w:after="75"/>
                    <w:ind w:left="105" w:right="105"/>
                    <w:jc w:val="both"/>
                  </w:pPr>
                  <w:r>
                    <w:rPr>
                      <w:rFonts w:ascii="仿宋_GB2312" w:hAnsi="仿宋_GB2312" w:cs="仿宋_GB2312" w:eastAsia="仿宋_GB2312"/>
                      <w:sz w:val="20"/>
                      <w:color w:val="000000"/>
                    </w:rPr>
                    <w:t>9.</w:t>
                  </w:r>
                  <w:r>
                    <w:rPr>
                      <w:rFonts w:ascii="仿宋_GB2312" w:hAnsi="仿宋_GB2312" w:cs="仿宋_GB2312" w:eastAsia="仿宋_GB2312"/>
                      <w:sz w:val="20"/>
                      <w:color w:val="000000"/>
                    </w:rPr>
                    <w:t>电口带宽: 》1000</w:t>
                  </w:r>
                </w:p>
                <w:p>
                  <w:pPr>
                    <w:pStyle w:val="null3"/>
                    <w:spacing w:before="75" w:after="75"/>
                    <w:ind w:left="105" w:right="105"/>
                    <w:jc w:val="both"/>
                  </w:pPr>
                  <w:r>
                    <w:rPr>
                      <w:rFonts w:ascii="仿宋_GB2312" w:hAnsi="仿宋_GB2312" w:cs="仿宋_GB2312" w:eastAsia="仿宋_GB2312"/>
                      <w:sz w:val="20"/>
                      <w:color w:val="000000"/>
                    </w:rPr>
                    <w:t>10.</w:t>
                  </w:r>
                  <w:r>
                    <w:rPr>
                      <w:rFonts w:ascii="仿宋_GB2312" w:hAnsi="仿宋_GB2312" w:cs="仿宋_GB2312" w:eastAsia="仿宋_GB2312"/>
                      <w:sz w:val="20"/>
                      <w:color w:val="000000"/>
                    </w:rPr>
                    <w:t>端口防雷: ±6kV</w:t>
                  </w:r>
                </w:p>
                <w:p>
                  <w:pPr>
                    <w:pStyle w:val="null3"/>
                    <w:spacing w:before="75" w:after="75"/>
                    <w:ind w:left="105" w:right="105"/>
                    <w:jc w:val="both"/>
                  </w:pPr>
                  <w:r>
                    <w:rPr>
                      <w:rFonts w:ascii="仿宋_GB2312" w:hAnsi="仿宋_GB2312" w:cs="仿宋_GB2312" w:eastAsia="仿宋_GB2312"/>
                      <w:sz w:val="20"/>
                      <w:color w:val="000000"/>
                    </w:rPr>
                    <w:t>11.</w:t>
                  </w:r>
                  <w:r>
                    <w:rPr>
                      <w:rFonts w:ascii="仿宋_GB2312" w:hAnsi="仿宋_GB2312" w:cs="仿宋_GB2312" w:eastAsia="仿宋_GB2312"/>
                      <w:sz w:val="20"/>
                      <w:color w:val="000000"/>
                    </w:rPr>
                    <w:t>工作温度: 0℃~45℃</w:t>
                  </w:r>
                </w:p>
              </w:tc>
              <w:tc>
                <w:tcPr>
                  <w:tcW w:type="dxa" w:w="25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≥20</w:t>
                  </w:r>
                </w:p>
              </w:tc>
            </w:tr>
          </w:tbl>
          <w:p>
            <w:pPr>
              <w:pStyle w:val="null3"/>
              <w:numPr>
                <w:ilvl w:val="0"/>
                <w:numId w:val="1"/>
              </w:numPr>
            </w:pPr>
            <w:r>
              <w:rPr>
                <w:rFonts w:ascii="仿宋_GB2312" w:hAnsi="仿宋_GB2312" w:cs="仿宋_GB2312" w:eastAsia="仿宋_GB2312"/>
                <w:sz w:val="20"/>
              </w:rPr>
              <w:t>维护项目内容及要求:</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信息点位维护</w:t>
            </w:r>
          </w:p>
          <w:p>
            <w:pPr>
              <w:pStyle w:val="null3"/>
              <w:ind w:firstLine="400"/>
              <w:jc w:val="both"/>
            </w:pPr>
            <w:r>
              <w:rPr>
                <w:rFonts w:ascii="仿宋_GB2312" w:hAnsi="仿宋_GB2312" w:cs="仿宋_GB2312" w:eastAsia="仿宋_GB2312"/>
                <w:sz w:val="20"/>
              </w:rPr>
              <w:t>（1）网络点位维护：</w:t>
            </w:r>
          </w:p>
          <w:p>
            <w:pPr>
              <w:pStyle w:val="null3"/>
              <w:ind w:firstLine="400"/>
              <w:jc w:val="both"/>
            </w:pPr>
            <w:r>
              <w:rPr>
                <w:rFonts w:ascii="仿宋_GB2312" w:hAnsi="仿宋_GB2312" w:cs="仿宋_GB2312" w:eastAsia="仿宋_GB2312"/>
                <w:sz w:val="20"/>
              </w:rPr>
              <w:t>保障千兆链路正常，端到端链路衰减、串扰、回波损耗符合TIA/BIA-568标准。</w:t>
            </w:r>
          </w:p>
          <w:p>
            <w:pPr>
              <w:pStyle w:val="null3"/>
              <w:ind w:firstLine="400"/>
              <w:jc w:val="both"/>
            </w:pPr>
            <w:r>
              <w:rPr>
                <w:rFonts w:ascii="仿宋_GB2312" w:hAnsi="仿宋_GB2312" w:cs="仿宋_GB2312" w:eastAsia="仿宋_GB2312"/>
                <w:sz w:val="20"/>
              </w:rPr>
              <w:t>信息面板、模块、跳线、配线架端接规范，无松动、氧化、虚接、短路。</w:t>
            </w:r>
          </w:p>
          <w:p>
            <w:pPr>
              <w:pStyle w:val="null3"/>
              <w:ind w:firstLine="400"/>
              <w:jc w:val="both"/>
            </w:pPr>
            <w:r>
              <w:rPr>
                <w:rFonts w:ascii="仿宋_GB2312" w:hAnsi="仿宋_GB2312" w:cs="仿宋_GB2312" w:eastAsia="仿宋_GB2312"/>
                <w:sz w:val="20"/>
              </w:rPr>
              <w:t>点位开通率100%，故障修复后丢包率≤0.1%，延迟满足业务使用要求。</w:t>
            </w:r>
          </w:p>
          <w:p>
            <w:pPr>
              <w:pStyle w:val="null3"/>
              <w:ind w:firstLine="400"/>
              <w:jc w:val="both"/>
            </w:pPr>
            <w:r>
              <w:rPr>
                <w:rFonts w:ascii="仿宋_GB2312" w:hAnsi="仿宋_GB2312" w:cs="仿宋_GB2312" w:eastAsia="仿宋_GB2312"/>
                <w:sz w:val="20"/>
              </w:rPr>
              <w:t>根据实际业务需求，进行科室新增、迁移、扩容、点位测试、标签更新、链路核查</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语音电话点位(语音点)</w:t>
            </w:r>
          </w:p>
          <w:p>
            <w:pPr>
              <w:pStyle w:val="null3"/>
              <w:ind w:firstLine="400"/>
              <w:jc w:val="both"/>
            </w:pPr>
            <w:r>
              <w:rPr>
                <w:rFonts w:ascii="仿宋_GB2312" w:hAnsi="仿宋_GB2312" w:cs="仿宋_GB2312" w:eastAsia="仿宋_GB2312"/>
                <w:sz w:val="20"/>
              </w:rPr>
              <w:t>电话线路导遇正常，无杂音、断话、串线。</w:t>
            </w:r>
          </w:p>
          <w:p>
            <w:pPr>
              <w:pStyle w:val="null3"/>
              <w:ind w:firstLine="400"/>
              <w:jc w:val="both"/>
            </w:pPr>
            <w:r>
              <w:rPr>
                <w:rFonts w:ascii="仿宋_GB2312" w:hAnsi="仿宋_GB2312" w:cs="仿宋_GB2312" w:eastAsia="仿宋_GB2312"/>
                <w:sz w:val="20"/>
              </w:rPr>
              <w:t>配线架、语音模块、面板、跳线端接规范，标识统一。</w:t>
            </w:r>
          </w:p>
          <w:p>
            <w:pPr>
              <w:pStyle w:val="null3"/>
              <w:ind w:firstLine="400"/>
              <w:jc w:val="both"/>
            </w:pPr>
            <w:r>
              <w:rPr>
                <w:rFonts w:ascii="仿宋_GB2312" w:hAnsi="仿宋_GB2312" w:cs="仿宋_GB2312" w:eastAsia="仿宋_GB2312"/>
                <w:sz w:val="20"/>
              </w:rPr>
              <w:t>配合程控交换机/IP电话系统完成点位注册、号码调整、故障排查。</w:t>
            </w:r>
          </w:p>
          <w:p>
            <w:pPr>
              <w:pStyle w:val="null3"/>
              <w:ind w:firstLine="400"/>
              <w:jc w:val="both"/>
            </w:pPr>
            <w:r>
              <w:rPr>
                <w:rFonts w:ascii="仿宋_GB2312" w:hAnsi="仿宋_GB2312" w:cs="仿宋_GB2312" w:eastAsia="仿宋_GB2312"/>
                <w:sz w:val="20"/>
              </w:rPr>
              <w:t>根据实际业务需求，进行科室新增、迁移、扩容、点位测试、标签更新、链路核查。(不包含电话设备费用)</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院内光缆干线维护</w:t>
            </w:r>
          </w:p>
          <w:p>
            <w:pPr>
              <w:pStyle w:val="null3"/>
              <w:ind w:firstLine="400"/>
              <w:jc w:val="both"/>
            </w:pPr>
            <w:r>
              <w:rPr>
                <w:rFonts w:ascii="仿宋_GB2312" w:hAnsi="仿宋_GB2312" w:cs="仿宋_GB2312" w:eastAsia="仿宋_GB2312"/>
                <w:sz w:val="20"/>
              </w:rPr>
              <w:t>水平线缆、主干光纤、大对数电缆、桥架、线管、地插等完好，无破损、挤压进水、鼠咬等影响业务情况。</w:t>
            </w:r>
          </w:p>
          <w:p>
            <w:pPr>
              <w:pStyle w:val="null3"/>
              <w:ind w:firstLine="400"/>
              <w:jc w:val="both"/>
            </w:pPr>
            <w:r>
              <w:rPr>
                <w:rFonts w:ascii="仿宋_GB2312" w:hAnsi="仿宋_GB2312" w:cs="仿宋_GB2312" w:eastAsia="仿宋_GB2312"/>
                <w:sz w:val="20"/>
              </w:rPr>
              <w:t>弱电线缆与强电分离敷设，间距符合规范，无电磁干扰。</w:t>
            </w:r>
          </w:p>
          <w:p>
            <w:pPr>
              <w:pStyle w:val="null3"/>
              <w:ind w:firstLine="400"/>
              <w:jc w:val="both"/>
            </w:pPr>
            <w:r>
              <w:rPr>
                <w:rFonts w:ascii="仿宋_GB2312" w:hAnsi="仿宋_GB2312" w:cs="仿宋_GB2312" w:eastAsia="仿宋_GB2312"/>
                <w:sz w:val="20"/>
              </w:rPr>
              <w:t>全年提供5次干线抢修服务。</w:t>
            </w:r>
          </w:p>
          <w:p>
            <w:pPr>
              <w:pStyle w:val="null3"/>
              <w:ind w:firstLine="400"/>
              <w:jc w:val="both"/>
            </w:pPr>
            <w:r>
              <w:rPr>
                <w:rFonts w:ascii="仿宋_GB2312" w:hAnsi="仿宋_GB2312" w:cs="仿宋_GB2312" w:eastAsia="仿宋_GB2312"/>
                <w:sz w:val="20"/>
              </w:rPr>
              <w:t>3.</w:t>
            </w:r>
            <w:r>
              <w:rPr>
                <w:rFonts w:ascii="仿宋_GB2312" w:hAnsi="仿宋_GB2312" w:cs="仿宋_GB2312" w:eastAsia="仿宋_GB2312"/>
                <w:sz w:val="20"/>
              </w:rPr>
              <w:t>全院1100路监控摄像头维护</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前端擾像机的维护(1100路)</w:t>
            </w:r>
          </w:p>
          <w:p>
            <w:pPr>
              <w:pStyle w:val="null3"/>
              <w:ind w:firstLine="400"/>
              <w:jc w:val="both"/>
            </w:pPr>
            <w:r>
              <w:rPr>
                <w:rFonts w:ascii="仿宋_GB2312" w:hAnsi="仿宋_GB2312" w:cs="仿宋_GB2312" w:eastAsia="仿宋_GB2312"/>
                <w:sz w:val="20"/>
              </w:rPr>
              <w:t>设备维修:对全院1100路援像头进行检测，对有故障的设备进行整体维修，且包含维修材料及施工费，如摄像头、电源适配器、辅材等，不包含存储、POE交换机、硬盘刻录机、高端摄像头等市场单价超过1000元的设备。</w:t>
            </w:r>
          </w:p>
          <w:p>
            <w:pPr>
              <w:pStyle w:val="null3"/>
              <w:ind w:firstLine="400"/>
              <w:jc w:val="both"/>
            </w:pPr>
            <w:r>
              <w:rPr>
                <w:rFonts w:ascii="仿宋_GB2312" w:hAnsi="仿宋_GB2312" w:cs="仿宋_GB2312" w:eastAsia="仿宋_GB2312"/>
                <w:sz w:val="20"/>
              </w:rPr>
              <w:t>日常巡检:检查摄像头是否有图像模糊、偏色、条纹、黑屏等问题。</w:t>
            </w:r>
          </w:p>
          <w:p>
            <w:pPr>
              <w:pStyle w:val="null3"/>
              <w:ind w:firstLine="400"/>
              <w:jc w:val="both"/>
            </w:pPr>
            <w:r>
              <w:rPr>
                <w:rFonts w:ascii="仿宋_GB2312" w:hAnsi="仿宋_GB2312" w:cs="仿宋_GB2312" w:eastAsia="仿宋_GB2312"/>
                <w:sz w:val="20"/>
              </w:rPr>
              <w:t>物理清洁:定期清理镜头及护罩积尘</w:t>
            </w:r>
          </w:p>
          <w:p>
            <w:pPr>
              <w:pStyle w:val="null3"/>
              <w:ind w:firstLine="400"/>
              <w:jc w:val="both"/>
            </w:pPr>
            <w:r>
              <w:rPr>
                <w:rFonts w:ascii="仿宋_GB2312" w:hAnsi="仿宋_GB2312" w:cs="仿宋_GB2312" w:eastAsia="仿宋_GB2312"/>
                <w:sz w:val="20"/>
              </w:rPr>
              <w:t>角度调整:对因外力、大风导致角度偏移的摄像头进行校准。</w:t>
            </w:r>
          </w:p>
          <w:p>
            <w:pPr>
              <w:pStyle w:val="null3"/>
              <w:ind w:firstLine="400"/>
              <w:jc w:val="both"/>
            </w:pPr>
            <w:r>
              <w:rPr>
                <w:rFonts w:ascii="仿宋_GB2312" w:hAnsi="仿宋_GB2312" w:cs="仿宋_GB2312" w:eastAsia="仿宋_GB2312"/>
                <w:sz w:val="20"/>
              </w:rPr>
              <w:t>状态检测:检查POE供电或电源适配器工作状态，检查防水帽是否老化漏水。</w:t>
            </w:r>
          </w:p>
          <w:p>
            <w:pPr>
              <w:pStyle w:val="null3"/>
              <w:ind w:firstLine="400"/>
              <w:jc w:val="both"/>
            </w:pPr>
            <w:r>
              <w:rPr>
                <w:rFonts w:ascii="仿宋_GB2312" w:hAnsi="仿宋_GB2312" w:cs="仿宋_GB2312" w:eastAsia="仿宋_GB2312"/>
                <w:sz w:val="20"/>
              </w:rPr>
              <w:t>监控调整:根据医院业务需求，进行相应摄像头位置调整，并不收取材料及施工费。(不超过30点位)</w:t>
            </w:r>
          </w:p>
          <w:p>
            <w:pPr>
              <w:pStyle w:val="null3"/>
              <w:ind w:firstLine="400"/>
              <w:jc w:val="both"/>
            </w:pPr>
            <w:r>
              <w:rPr>
                <w:rFonts w:ascii="仿宋_GB2312" w:hAnsi="仿宋_GB2312" w:cs="仿宋_GB2312" w:eastAsia="仿宋_GB2312"/>
                <w:sz w:val="20"/>
              </w:rPr>
              <w:t>监控新增:根据医院业务需求，新建监控点位，并不收取材料及施工费。(不超过20点位)</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传输系统维护</w:t>
            </w:r>
          </w:p>
          <w:p>
            <w:pPr>
              <w:pStyle w:val="null3"/>
              <w:ind w:firstLine="400"/>
              <w:jc w:val="both"/>
            </w:pPr>
            <w:r>
              <w:rPr>
                <w:rFonts w:ascii="仿宋_GB2312" w:hAnsi="仿宋_GB2312" w:cs="仿宋_GB2312" w:eastAsia="仿宋_GB2312"/>
                <w:sz w:val="20"/>
              </w:rPr>
              <w:t>线路检查:检查网线、光纤、电源线是否有破损、老化或被人为破坏。</w:t>
            </w:r>
          </w:p>
          <w:p>
            <w:pPr>
              <w:pStyle w:val="null3"/>
              <w:ind w:firstLine="400"/>
              <w:jc w:val="both"/>
            </w:pPr>
            <w:r>
              <w:rPr>
                <w:rFonts w:ascii="仿宋_GB2312" w:hAnsi="仿宋_GB2312" w:cs="仿宋_GB2312" w:eastAsia="仿宋_GB2312"/>
                <w:sz w:val="20"/>
              </w:rPr>
              <w:t>网络设备:维护交换机(接入层、汇聚层、核心层)的清洁与运行状态，检测光模块收发光功率是否正常</w:t>
            </w:r>
          </w:p>
          <w:p>
            <w:pPr>
              <w:pStyle w:val="null3"/>
              <w:ind w:firstLine="400"/>
              <w:jc w:val="both"/>
            </w:pPr>
            <w:r>
              <w:rPr>
                <w:rFonts w:ascii="仿宋_GB2312" w:hAnsi="仿宋_GB2312" w:cs="仿宋_GB2312" w:eastAsia="仿宋_GB2312"/>
                <w:sz w:val="20"/>
              </w:rPr>
              <w:t>无线传输:检查无线网桥信号强度，调整对准角度。</w:t>
            </w:r>
          </w:p>
          <w:p>
            <w:pPr>
              <w:pStyle w:val="null3"/>
              <w:ind w:firstLine="400"/>
              <w:jc w:val="both"/>
            </w:pPr>
            <w:r>
              <w:rPr>
                <w:rFonts w:ascii="仿宋_GB2312" w:hAnsi="仿宋_GB2312" w:cs="仿宋_GB2312" w:eastAsia="仿宋_GB2312"/>
                <w:sz w:val="20"/>
              </w:rPr>
              <w:t>(3)</w:t>
            </w:r>
            <w:r>
              <w:rPr>
                <w:rFonts w:ascii="仿宋_GB2312" w:hAnsi="仿宋_GB2312" w:cs="仿宋_GB2312" w:eastAsia="仿宋_GB2312"/>
                <w:sz w:val="20"/>
              </w:rPr>
              <w:t>存储与机房设备维护</w:t>
            </w:r>
          </w:p>
          <w:p>
            <w:pPr>
              <w:pStyle w:val="null3"/>
              <w:ind w:firstLine="400"/>
              <w:jc w:val="both"/>
            </w:pPr>
            <w:r>
              <w:rPr>
                <w:rFonts w:ascii="仿宋_GB2312" w:hAnsi="仿宋_GB2312" w:cs="仿宋_GB2312" w:eastAsia="仿宋_GB2312"/>
                <w:sz w:val="20"/>
              </w:rPr>
              <w:t>WVR/DVR/CVR</w:t>
            </w:r>
            <w:r>
              <w:rPr>
                <w:rFonts w:ascii="仿宋_GB2312" w:hAnsi="仿宋_GB2312" w:cs="仿宋_GB2312" w:eastAsia="仿宋_GB2312"/>
                <w:sz w:val="20"/>
              </w:rPr>
              <w:t>检查:检查硬盘录像机运行状态，查看硬盘是否存在坏道报警，确保录像回放流畅、无丢帧。</w:t>
            </w:r>
          </w:p>
          <w:p>
            <w:pPr>
              <w:pStyle w:val="null3"/>
              <w:ind w:firstLine="400"/>
              <w:jc w:val="both"/>
            </w:pPr>
            <w:r>
              <w:rPr>
                <w:rFonts w:ascii="仿宋_GB2312" w:hAnsi="仿宋_GB2312" w:cs="仿宋_GB2312" w:eastAsia="仿宋_GB2312"/>
                <w:sz w:val="20"/>
              </w:rPr>
              <w:t>存储时长检测:检查录像存储时长。</w:t>
            </w:r>
          </w:p>
          <w:p>
            <w:pPr>
              <w:pStyle w:val="null3"/>
              <w:ind w:firstLine="400"/>
              <w:jc w:val="both"/>
            </w:pPr>
            <w:r>
              <w:rPr>
                <w:rFonts w:ascii="仿宋_GB2312" w:hAnsi="仿宋_GB2312" w:cs="仿宋_GB2312" w:eastAsia="仿宋_GB2312"/>
                <w:sz w:val="20"/>
              </w:rPr>
              <w:t>服务器/平台软件:维护管理服务器，清理系统垃圾，重启非关键服务以释放资源</w:t>
            </w:r>
          </w:p>
          <w:p>
            <w:pPr>
              <w:pStyle w:val="null3"/>
              <w:ind w:firstLine="400"/>
              <w:jc w:val="both"/>
            </w:pPr>
            <w:r>
              <w:rPr>
                <w:rFonts w:ascii="仿宋_GB2312" w:hAnsi="仿宋_GB2312" w:cs="仿宋_GB2312" w:eastAsia="仿宋_GB2312"/>
                <w:sz w:val="20"/>
              </w:rPr>
              <w:t>(4)</w:t>
            </w:r>
            <w:r>
              <w:rPr>
                <w:rFonts w:ascii="仿宋_GB2312" w:hAnsi="仿宋_GB2312" w:cs="仿宋_GB2312" w:eastAsia="仿宋_GB2312"/>
                <w:sz w:val="20"/>
              </w:rPr>
              <w:t>监控中心维护</w:t>
            </w:r>
          </w:p>
          <w:p>
            <w:pPr>
              <w:pStyle w:val="null3"/>
              <w:ind w:firstLine="400"/>
              <w:jc w:val="both"/>
            </w:pPr>
            <w:r>
              <w:rPr>
                <w:rFonts w:ascii="仿宋_GB2312" w:hAnsi="仿宋_GB2312" w:cs="仿宋_GB2312" w:eastAsia="仿宋_GB2312"/>
                <w:sz w:val="20"/>
              </w:rPr>
              <w:t>检查解码器、拼接屏显示是否正常。</w:t>
            </w:r>
          </w:p>
          <w:p>
            <w:pPr>
              <w:pStyle w:val="null3"/>
              <w:ind w:firstLine="400"/>
              <w:jc w:val="both"/>
            </w:pPr>
            <w:r>
              <w:rPr>
                <w:rFonts w:ascii="仿宋_GB2312" w:hAnsi="仿宋_GB2312" w:cs="仿宋_GB2312" w:eastAsia="仿宋_GB2312"/>
                <w:sz w:val="20"/>
              </w:rPr>
              <w:t>检查 控制键盘、客户端电脑的运行状况。</w:t>
            </w:r>
          </w:p>
          <w:p>
            <w:pPr>
              <w:pStyle w:val="null3"/>
              <w:ind w:firstLine="400"/>
              <w:jc w:val="both"/>
            </w:pPr>
            <w:r>
              <w:rPr>
                <w:rFonts w:ascii="仿宋_GB2312" w:hAnsi="仿宋_GB2312" w:cs="仿宋_GB2312" w:eastAsia="仿宋_GB2312"/>
                <w:sz w:val="20"/>
              </w:rPr>
              <w:t>维护要求</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整体监控设备系统改造、升级的建议;院方操作人员的培训(院方认为有需要时)：每季度至少一次对系统设备进行保养和检查，确保医院的弱电设施设备正常运行。</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在维护期工作日内，供应商须提供7*24小时的运维响应，对突发性的故障:供应商负责提供紧急抢修服务，响应时间应在10分钟以内，1小时内须到达故障现场进行处置。因服务不到位影响科室业务的投诉经查属实，一次扣1000元。(因服务不到位影响科室业务的投诉经查属实，一次扣成交供应商1000元，直到全部扣完尾款。)</w:t>
            </w:r>
          </w:p>
          <w:p>
            <w:pPr>
              <w:pStyle w:val="null3"/>
              <w:ind w:firstLine="400"/>
              <w:jc w:val="both"/>
            </w:pPr>
            <w:r>
              <w:rPr>
                <w:rFonts w:ascii="仿宋_GB2312" w:hAnsi="仿宋_GB2312" w:cs="仿宋_GB2312" w:eastAsia="仿宋_GB2312"/>
                <w:sz w:val="20"/>
              </w:rPr>
              <w:t>3.</w:t>
            </w:r>
            <w:r>
              <w:rPr>
                <w:rFonts w:ascii="仿宋_GB2312" w:hAnsi="仿宋_GB2312" w:cs="仿宋_GB2312" w:eastAsia="仿宋_GB2312"/>
                <w:sz w:val="20"/>
              </w:rPr>
              <w:t>在院方重大活动前，接院方通知后，供应商应及时派技术人员对系统进行检查，并派技术人员在现场值班，确保系统正常运行。</w:t>
            </w:r>
          </w:p>
          <w:p>
            <w:pPr>
              <w:pStyle w:val="null3"/>
              <w:ind w:firstLine="400"/>
              <w:jc w:val="both"/>
            </w:pPr>
            <w:r>
              <w:rPr>
                <w:rFonts w:ascii="仿宋_GB2312" w:hAnsi="仿宋_GB2312" w:cs="仿宋_GB2312" w:eastAsia="仿宋_GB2312"/>
                <w:sz w:val="20"/>
              </w:rPr>
              <w:t>4.</w:t>
            </w:r>
            <w:r>
              <w:rPr>
                <w:rFonts w:ascii="仿宋_GB2312" w:hAnsi="仿宋_GB2312" w:cs="仿宋_GB2312" w:eastAsia="仿宋_GB2312"/>
                <w:sz w:val="20"/>
              </w:rPr>
              <w:t>供应商提供配件时，不得以次充好、假冒伪劣产品利，严格按照不低于原有设备的品牌、型号供货。</w:t>
            </w:r>
          </w:p>
          <w:p>
            <w:pPr>
              <w:pStyle w:val="null3"/>
              <w:ind w:firstLine="400"/>
              <w:jc w:val="both"/>
            </w:pPr>
            <w:r>
              <w:rPr>
                <w:rFonts w:ascii="仿宋_GB2312" w:hAnsi="仿宋_GB2312" w:cs="仿宋_GB2312" w:eastAsia="仿宋_GB2312"/>
                <w:sz w:val="20"/>
              </w:rPr>
              <w:t>5.</w:t>
            </w:r>
            <w:r>
              <w:rPr>
                <w:rFonts w:ascii="仿宋_GB2312" w:hAnsi="仿宋_GB2312" w:cs="仿宋_GB2312" w:eastAsia="仿宋_GB2312"/>
                <w:sz w:val="20"/>
              </w:rPr>
              <w:t>供应商对医院弱电各系统设立维修档案，对系统运行状况进行及时跟踪，将故障隐患在萌芽状态下得到处理解决。</w:t>
            </w:r>
          </w:p>
          <w:p>
            <w:pPr>
              <w:pStyle w:val="null3"/>
              <w:ind w:firstLine="400"/>
              <w:jc w:val="both"/>
            </w:pPr>
            <w:r>
              <w:rPr>
                <w:rFonts w:ascii="仿宋_GB2312" w:hAnsi="仿宋_GB2312" w:cs="仿宋_GB2312" w:eastAsia="仿宋_GB2312"/>
                <w:sz w:val="20"/>
              </w:rPr>
              <w:t>6.</w:t>
            </w:r>
            <w:r>
              <w:rPr>
                <w:rFonts w:ascii="仿宋_GB2312" w:hAnsi="仿宋_GB2312" w:cs="仿宋_GB2312" w:eastAsia="仿宋_GB2312"/>
                <w:sz w:val="20"/>
              </w:rPr>
              <w:t>成交供应商须提供2个服务电话号码，提高联系维护效率。</w:t>
            </w:r>
          </w:p>
          <w:p>
            <w:pPr>
              <w:pStyle w:val="null3"/>
              <w:ind w:firstLine="400"/>
              <w:jc w:val="both"/>
            </w:pPr>
            <w:r>
              <w:rPr>
                <w:rFonts w:ascii="仿宋_GB2312" w:hAnsi="仿宋_GB2312" w:cs="仿宋_GB2312" w:eastAsia="仿宋_GB2312"/>
                <w:sz w:val="20"/>
              </w:rPr>
              <w:t>4.</w:t>
            </w:r>
            <w:r>
              <w:rPr>
                <w:rFonts w:ascii="仿宋_GB2312" w:hAnsi="仿宋_GB2312" w:cs="仿宋_GB2312" w:eastAsia="仿宋_GB2312"/>
                <w:sz w:val="20"/>
              </w:rPr>
              <w:t>全院门禁系统维护</w:t>
            </w:r>
          </w:p>
          <w:p>
            <w:pPr>
              <w:pStyle w:val="null3"/>
              <w:ind w:firstLine="400"/>
              <w:jc w:val="both"/>
            </w:pPr>
            <w:r>
              <w:rPr>
                <w:rFonts w:ascii="仿宋_GB2312" w:hAnsi="仿宋_GB2312" w:cs="仿宋_GB2312" w:eastAsia="仿宋_GB2312"/>
                <w:sz w:val="20"/>
              </w:rPr>
              <w:t>系统7X24小时稳定运行，刷卡/刷脸/密码开门灵敏、无延迟、不误开。</w:t>
            </w:r>
          </w:p>
          <w:p>
            <w:pPr>
              <w:pStyle w:val="null3"/>
              <w:ind w:firstLine="400"/>
              <w:jc w:val="both"/>
            </w:pPr>
            <w:r>
              <w:rPr>
                <w:rFonts w:ascii="仿宋_GB2312" w:hAnsi="仿宋_GB2312" w:cs="仿宋_GB2312" w:eastAsia="仿宋_GB2312"/>
                <w:sz w:val="20"/>
              </w:rPr>
              <w:t>严格满足医院安全管理、院感防控、病区管理、消防应急要求。</w:t>
            </w:r>
          </w:p>
          <w:p>
            <w:pPr>
              <w:pStyle w:val="null3"/>
              <w:ind w:firstLine="400"/>
              <w:jc w:val="both"/>
            </w:pPr>
            <w:r>
              <w:rPr>
                <w:rFonts w:ascii="仿宋_GB2312" w:hAnsi="仿宋_GB2312" w:cs="仿宋_GB2312" w:eastAsia="仿宋_GB2312"/>
                <w:sz w:val="20"/>
              </w:rPr>
              <w:t>维修更换配件为全新原厂或同档次正品，不使用拆机、翻新件(不包含主设备故障等超过1000元的设备费用，此类设备议价支付)。</w:t>
            </w:r>
          </w:p>
          <w:p>
            <w:pPr>
              <w:pStyle w:val="null3"/>
              <w:ind w:firstLine="400"/>
              <w:jc w:val="both"/>
            </w:pPr>
            <w:r>
              <w:rPr>
                <w:rFonts w:ascii="仿宋_GB2312" w:hAnsi="仿宋_GB2312" w:cs="仿宋_GB2312" w:eastAsia="仿宋_GB2312"/>
                <w:sz w:val="20"/>
              </w:rPr>
              <w:t>施工不影响诊疗秩序，进入病区、手术室等区域遵守院感规定。</w:t>
            </w:r>
          </w:p>
          <w:p>
            <w:pPr>
              <w:pStyle w:val="null3"/>
            </w:pPr>
            <w:r>
              <w:rPr>
                <w:rFonts w:ascii="仿宋_GB2312" w:hAnsi="仿宋_GB2312" w:cs="仿宋_GB2312" w:eastAsia="仿宋_GB2312"/>
                <w:sz w:val="20"/>
              </w:rPr>
              <w:t>消防联动门禁必须断电开锁、应急可靠，符合消防规范。</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按照项目实施需求配置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按照项目实施需求配置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西安市第九医院指定地点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内容完成后先由乙方进行自检，自检合格后邀请甲方进行验收。经甲方确认后，组织乙方（必要时请有关专家）进行最终验收，验收时乙方应派项目相关人员参加，双方共同对验收结果进行确认，并承担相关责任。验收合格后，双方签署项目验收单，本项目验收单为结算依据之一。</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进度款，项目验收合格且服务期达到半年后，乙方提供验收单、全额增值税发票及本合同，达到付款条件起40个工作日内，支付合同总金额的50.0%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进度款，项目终验合格且服务期达到一年后，乙方提供验收单及本合同，达到付款条件起40个工作日内，支付合同总金额的50.0%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按照磋商文件、响应文件及合同约定执行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3.4.1质量要求：符合国家行业标准，完成使用科室需求。 3.4.2安装环境与场地要求：甲方指定环境与场地。 3.4.3售后服务及培训要求：按合同要求培训至交付。 3.4.4总报价是包含完成本项目所需的成本、劳务、服务人员费用（包含但不限于加班、培训、保险等）、管理、利润、税金等各种费用，并包括各项费用和价格的涨价风险等，以及合同约定范围内除不可抗力以外的其他一切为本项目所需的全部费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7月（含7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7月（含7月）以来至少一个月已缴纳的社会保障资金的证明（社会保障资金缴存单据或社保机构开具的社会保险参保缴费情况证明等）；依法不需要缴纳社会保障资金的供应商应提供相关文件证明； ④提供具有履行本合同所必需的设备和专业技术能力的声明； ⑤参加本次政府采购活动前3年内在经营活动中没有重大违纪，以及未被列入失信被执行人、重大税收违法失信主体名单、政府采购严重违法失信行为记录名单的书面声明。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2资格证明文件.docx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 财务状况报告：法人提供会计师事务所出具有效的2024年度或2025年度审计报告（审计报告须具有注册会计师行业统一监管平台https://acc.mof.gov.cn赋予的验证码）（成立时间至提交响应文件截止时间不足一年的可提供成立后任意时段的资产负债表），或提交自2026年1月1日以来银行出具的资信证明（以上两种形式的资料提供任何一种即可）；其他组织和自然人提供银行出具的资信证明或财务报表。</w:t>
            </w:r>
          </w:p>
        </w:tc>
        <w:tc>
          <w:tcPr>
            <w:tcW w:type="dxa" w:w="1661"/>
          </w:tcPr>
          <w:p>
            <w:pPr>
              <w:pStyle w:val="null3"/>
            </w:pPr>
            <w:r>
              <w:rPr>
                <w:rFonts w:ascii="仿宋_GB2312" w:hAnsi="仿宋_GB2312" w:cs="仿宋_GB2312" w:eastAsia="仿宋_GB2312"/>
              </w:rPr>
              <w:t>2资格证明文件.docx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供应商需在项目电子化交易系统中按要求填写《响应函》完成承诺并进行电子签章。提供直接控股和直接管理关系清单。若与其他供应商存在单位负责人为同一人或者存在直接控股、管理关系的，则响应无效。</w:t>
            </w:r>
          </w:p>
        </w:tc>
        <w:tc>
          <w:tcPr>
            <w:tcW w:type="dxa" w:w="1661"/>
          </w:tcPr>
          <w:p>
            <w:pPr>
              <w:pStyle w:val="null3"/>
            </w:pPr>
            <w:r>
              <w:rPr>
                <w:rFonts w:ascii="仿宋_GB2312" w:hAnsi="仿宋_GB2312" w:cs="仿宋_GB2312" w:eastAsia="仿宋_GB2312"/>
              </w:rPr>
              <w:t>2资格证明文件.docx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采购，供应商应为中型企业或小型、微型企业或监狱企业或残疾人福利性单位。供应商为中型、小型、微型企业的，提供《中小企业声明函》；供应商为监狱企业的，应提供监狱企业的证明文件；供应商为残疾人福利性单位的，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法定代表人参加磋商的，须提供法定代表人身份证；法定代表人授权本单位他人参加磋商的，须提供法定代表人授权委托书及被授权代表开标截止前三个月内任意一个月在本单位的社会保险缴纳证明。</w:t>
            </w:r>
          </w:p>
        </w:tc>
        <w:tc>
          <w:tcPr>
            <w:tcW w:type="dxa" w:w="1661"/>
          </w:tcPr>
          <w:p>
            <w:pPr>
              <w:pStyle w:val="null3"/>
            </w:pPr>
            <w:r>
              <w:rPr>
                <w:rFonts w:ascii="仿宋_GB2312" w:hAnsi="仿宋_GB2312" w:cs="仿宋_GB2312" w:eastAsia="仿宋_GB2312"/>
              </w:rPr>
              <w:t>2资格证明文件.docx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非联合体不分包投标声明</w:t>
            </w:r>
          </w:p>
        </w:tc>
        <w:tc>
          <w:tcPr>
            <w:tcW w:type="dxa" w:w="3322"/>
          </w:tcPr>
          <w:p>
            <w:pPr>
              <w:pStyle w:val="null3"/>
            </w:pPr>
            <w:r>
              <w:rPr>
                <w:rFonts w:ascii="仿宋_GB2312" w:hAnsi="仿宋_GB2312" w:cs="仿宋_GB2312" w:eastAsia="仿宋_GB2312"/>
              </w:rPr>
              <w:t>本项目不接受联合体投标，不允许分包。供应商应提供《非联合体不分包投标声明》。</w:t>
            </w:r>
          </w:p>
        </w:tc>
        <w:tc>
          <w:tcPr>
            <w:tcW w:type="dxa" w:w="1661"/>
          </w:tcPr>
          <w:p>
            <w:pPr>
              <w:pStyle w:val="null3"/>
            </w:pPr>
            <w:r>
              <w:rPr>
                <w:rFonts w:ascii="仿宋_GB2312" w:hAnsi="仿宋_GB2312" w:cs="仿宋_GB2312" w:eastAsia="仿宋_GB2312"/>
              </w:rPr>
              <w:t>2资格证明文件.docx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3分项价格表.docx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签署、盖章</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报价未超过磋商文件中规定的预算金额的</w:t>
            </w:r>
          </w:p>
        </w:tc>
        <w:tc>
          <w:tcPr>
            <w:tcW w:type="dxa" w:w="1661"/>
          </w:tcPr>
          <w:p>
            <w:pPr>
              <w:pStyle w:val="null3"/>
            </w:pPr>
            <w:r>
              <w:rPr>
                <w:rFonts w:ascii="仿宋_GB2312" w:hAnsi="仿宋_GB2312" w:cs="仿宋_GB2312" w:eastAsia="仿宋_GB2312"/>
              </w:rPr>
              <w:t>标的清单 3分项价格表.docx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“无重大利益关系声明函”</w:t>
            </w:r>
          </w:p>
        </w:tc>
        <w:tc>
          <w:tcPr>
            <w:tcW w:type="dxa" w:w="3322"/>
          </w:tcPr>
          <w:p>
            <w:pPr>
              <w:pStyle w:val="null3"/>
            </w:pPr>
            <w:r>
              <w:rPr>
                <w:rFonts w:ascii="仿宋_GB2312" w:hAnsi="仿宋_GB2312" w:cs="仿宋_GB2312" w:eastAsia="仿宋_GB2312"/>
              </w:rPr>
              <w:t>按照文件要求提供“无重大利益关系声明函”</w:t>
            </w:r>
          </w:p>
        </w:tc>
        <w:tc>
          <w:tcPr>
            <w:tcW w:type="dxa" w:w="1661"/>
          </w:tcPr>
          <w:p>
            <w:pPr>
              <w:pStyle w:val="null3"/>
            </w:pPr>
            <w:r>
              <w:rPr>
                <w:rFonts w:ascii="仿宋_GB2312" w:hAnsi="仿宋_GB2312" w:cs="仿宋_GB2312" w:eastAsia="仿宋_GB2312"/>
              </w:rPr>
              <w:t>6无重大利益关系声明函.docx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实质性条款</w:t>
            </w:r>
          </w:p>
        </w:tc>
        <w:tc>
          <w:tcPr>
            <w:tcW w:type="dxa" w:w="1661"/>
          </w:tcPr>
          <w:p>
            <w:pPr>
              <w:pStyle w:val="null3"/>
            </w:pPr>
            <w:r>
              <w:rPr>
                <w:rFonts w:ascii="仿宋_GB2312" w:hAnsi="仿宋_GB2312" w:cs="仿宋_GB2312" w:eastAsia="仿宋_GB2312"/>
              </w:rPr>
              <w:t>1商务部分偏离表.docx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投标有效期满足磋商文件要求的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无法律、法规和磋商文件规定的其他无效情形</w:t>
            </w:r>
          </w:p>
        </w:tc>
        <w:tc>
          <w:tcPr>
            <w:tcW w:type="dxa" w:w="1661"/>
          </w:tcPr>
          <w:p>
            <w:pPr>
              <w:pStyle w:val="null3"/>
            </w:pPr>
            <w:r>
              <w:rPr>
                <w:rFonts w:ascii="仿宋_GB2312" w:hAnsi="仿宋_GB2312" w:cs="仿宋_GB2312" w:eastAsia="仿宋_GB2312"/>
              </w:rPr>
              <w:t>4承诺书-西安市.docx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服务要求</w:t>
            </w:r>
          </w:p>
        </w:tc>
        <w:tc>
          <w:tcPr>
            <w:tcW w:type="dxa" w:w="2492"/>
          </w:tcPr>
          <w:p>
            <w:pPr>
              <w:pStyle w:val="null3"/>
            </w:pPr>
            <w:r>
              <w:rPr>
                <w:rFonts w:ascii="仿宋_GB2312" w:hAnsi="仿宋_GB2312" w:cs="仿宋_GB2312" w:eastAsia="仿宋_GB2312"/>
              </w:rPr>
              <w:t>针对本项目第三章技术参数与性能指标，完全满足服务要求内容的计15分。每负偏离1项扣0.5分。以服务偏离表为准.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7服务要求.docx</w:t>
            </w:r>
          </w:p>
          <w:p>
            <w:pPr>
              <w:pStyle w:val="null3"/>
            </w:pPr>
            <w:r>
              <w:rPr>
                <w:rFonts w:ascii="仿宋_GB2312" w:hAnsi="仿宋_GB2312" w:cs="仿宋_GB2312" w:eastAsia="仿宋_GB2312"/>
              </w:rPr>
              <w:t>5服务响应偏离表.docx</w:t>
            </w:r>
          </w:p>
        </w:tc>
      </w:tr>
      <w:tr>
        <w:tc>
          <w:tcPr>
            <w:tcW w:type="dxa" w:w="831"/>
            <w:vMerge/>
          </w:tcP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供应商根据本项目采购需求提供整体服务方案，内容包括但不限于:1电视系统布线2电话系统服务;3互联网专线接入服务4弱电系统维护、设备维保服务5运营维护方案等内容。 上述5项内容，每提供1项内容计3分，每项内容存在1处瑕疵扣0.5分;满分15分。(本文所称“瑕疵”是指内容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中，针对瑕疵的定义同此处。)</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8整体服务方案.docx</w:t>
            </w:r>
          </w:p>
        </w:tc>
      </w:tr>
      <w:tr>
        <w:tc>
          <w:tcPr>
            <w:tcW w:type="dxa" w:w="831"/>
            <w:vMerge/>
          </w:tcPr>
          <w:p/>
        </w:tc>
        <w:tc>
          <w:tcPr>
            <w:tcW w:type="dxa" w:w="1661"/>
          </w:tcPr>
          <w:p>
            <w:pPr>
              <w:pStyle w:val="null3"/>
            </w:pPr>
            <w:r>
              <w:rPr>
                <w:rFonts w:ascii="仿宋_GB2312" w:hAnsi="仿宋_GB2312" w:cs="仿宋_GB2312" w:eastAsia="仿宋_GB2312"/>
              </w:rPr>
              <w:t>设备清单</w:t>
            </w:r>
          </w:p>
        </w:tc>
        <w:tc>
          <w:tcPr>
            <w:tcW w:type="dxa" w:w="2492"/>
          </w:tcPr>
          <w:p>
            <w:pPr>
              <w:pStyle w:val="null3"/>
            </w:pPr>
            <w:r>
              <w:rPr>
                <w:rFonts w:ascii="仿宋_GB2312" w:hAnsi="仿宋_GB2312" w:cs="仿宋_GB2312" w:eastAsia="仿宋_GB2312"/>
              </w:rPr>
              <w:t>针对本项目提供用于本项目各种测试工具以及其他相关器具的详细清单。包括但不限于:1电视系统核心设备2电话系统核心设备3网络系统组网设备4运营维护所需设备。清单至少包含工具名称、规格型号、制造厂商、数量设备用途等。 上述4项内容，每提供1项内容计1.5分，每项内容存在1处瑕疵扣0.5分;满分6分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9设备清单.docx</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供应商针对本项目提供项目质量保障方案，内容包括但不限于1全流程质量管控方案;2建立日常自查机制;3安全保障措施等。 上述3项内容，每提供1项内容计2分，每项内容存在1处瑕疵扣0.5分;满分6分。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10质量保障方案.docx</w:t>
            </w:r>
          </w:p>
        </w:tc>
      </w:tr>
      <w:tr>
        <w:tc>
          <w:tcPr>
            <w:tcW w:type="dxa" w:w="831"/>
            <w:vMerge/>
          </w:tcPr>
          <w:p/>
        </w:tc>
        <w:tc>
          <w:tcPr>
            <w:tcW w:type="dxa" w:w="1661"/>
          </w:tcPr>
          <w:p>
            <w:pPr>
              <w:pStyle w:val="null3"/>
            </w:pPr>
            <w:r>
              <w:rPr>
                <w:rFonts w:ascii="仿宋_GB2312" w:hAnsi="仿宋_GB2312" w:cs="仿宋_GB2312" w:eastAsia="仿宋_GB2312"/>
              </w:rPr>
              <w:t>应急处置预案</w:t>
            </w:r>
          </w:p>
        </w:tc>
        <w:tc>
          <w:tcPr>
            <w:tcW w:type="dxa" w:w="2492"/>
          </w:tcPr>
          <w:p>
            <w:pPr>
              <w:pStyle w:val="null3"/>
            </w:pPr>
            <w:r>
              <w:rPr>
                <w:rFonts w:ascii="仿宋_GB2312" w:hAnsi="仿宋_GB2312" w:cs="仿宋_GB2312" w:eastAsia="仿宋_GB2312"/>
              </w:rPr>
              <w:t>供应商针对本项目提供应急处置预案，内容包括但不限于1极端天气影响;2安全事故问题等。 上述2项内容，每提供1项内容计2分，每项内容存在1处瑕疵扣0.5分;满分4分。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11应急处置预案.docx</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供应商针对本项目需求提供进度安排及计划，包括不限于:1进度规划的安排2工作流程安排3各个关键时间节点安排等。上述3项内容，每提供1项内容计1分，每项内容存在1处瑕疵扣0.5分;满分3分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12进度计划.docx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提供项目负责人过往同类项目的业绩证明材料，提供合同扫描件，必须清断体现签约主体和日期、项目名称及内容等核心要素，否则不计为有效业绩。 提供1份计1分，最多计3分。 备注:合同内容须体现项目负责人名字。</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13项目负责人.docx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供应商根据本项目采购需求，提供项目实施团队配置(清单需包含人员姓名、年龄、岗位、相关岗位工作经验年限) 1、人员数量:实施团队人员≥5人计5分，3人≤实施团队人员&lt;5人计3分，实施团队人员＜3人计1分，未提供不计分。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14项目团队.docx</w:t>
            </w:r>
          </w:p>
        </w:tc>
      </w:tr>
      <w:tr>
        <w:tc>
          <w:tcPr>
            <w:tcW w:type="dxa" w:w="831"/>
            <w:vMerge/>
          </w:tcPr>
          <w:p/>
        </w:tc>
        <w:tc>
          <w:tcPr>
            <w:tcW w:type="dxa" w:w="1661"/>
          </w:tcPr>
          <w:p>
            <w:pPr>
              <w:pStyle w:val="null3"/>
            </w:pPr>
            <w:r>
              <w:rPr>
                <w:rFonts w:ascii="仿宋_GB2312" w:hAnsi="仿宋_GB2312" w:cs="仿宋_GB2312" w:eastAsia="仿宋_GB2312"/>
              </w:rPr>
              <w:t>售后服务与维护要求</w:t>
            </w:r>
          </w:p>
        </w:tc>
        <w:tc>
          <w:tcPr>
            <w:tcW w:type="dxa" w:w="2492"/>
          </w:tcPr>
          <w:p>
            <w:pPr>
              <w:pStyle w:val="null3"/>
            </w:pPr>
            <w:r>
              <w:rPr>
                <w:rFonts w:ascii="仿宋_GB2312" w:hAnsi="仿宋_GB2312" w:cs="仿宋_GB2312" w:eastAsia="仿宋_GB2312"/>
              </w:rPr>
              <w:t>供应商根据本项目采购需求，提供售后服务与响应机制，内容包括但不限于（1）投诉处理机制;（2）售后回访机制。 上述2项内容，每提供1项内容计2分，每项内容存在1处瑕疵扣0.5分;满分4分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15售后服务与维护要求.docx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供应商针对本项目需求及特点，提供培训方案，包括但不限于:1培训人员及内容2培训方式及培训时长等。 上述2项内容，每提供1项内容计1分，每项内容存在1处瑕疵扣0.5分;满分2</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16培训方案.docx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同类项目合同扫描件(以合同签订日期为准)，扫描件必须清晰体现签约主体和日期、项目名称及内容等核心要素，否则不计为有效业绩。每提供1个有效业绩得2分，最高得10分。备注:响应文件中附合同扫描件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17业绩.docx</w:t>
            </w:r>
          </w:p>
        </w:tc>
      </w:tr>
      <w:tr>
        <w:tc>
          <w:tcPr>
            <w:tcW w:type="dxa" w:w="831"/>
            <w:vMerge/>
          </w:tcPr>
          <w:p/>
        </w:tc>
        <w:tc>
          <w:tcPr>
            <w:tcW w:type="dxa" w:w="1661"/>
          </w:tcPr>
          <w:p>
            <w:pPr>
              <w:pStyle w:val="null3"/>
            </w:pPr>
            <w:r>
              <w:rPr>
                <w:rFonts w:ascii="仿宋_GB2312" w:hAnsi="仿宋_GB2312" w:cs="仿宋_GB2312" w:eastAsia="仿宋_GB2312"/>
              </w:rPr>
              <w:t>承诺</w:t>
            </w:r>
          </w:p>
        </w:tc>
        <w:tc>
          <w:tcPr>
            <w:tcW w:type="dxa" w:w="2492"/>
          </w:tcPr>
          <w:p>
            <w:pPr>
              <w:pStyle w:val="null3"/>
            </w:pPr>
            <w:r>
              <w:rPr>
                <w:rFonts w:ascii="仿宋_GB2312" w:hAnsi="仿宋_GB2312" w:cs="仿宋_GB2312" w:eastAsia="仿宋_GB2312"/>
              </w:rPr>
              <w:t>承诺1:供应商承诺在项目履约过程中对前端摄像机的维护，根据采购需求中的内容，应负责维修和施工的，不得再向采购人追加任何费用。提供承诺计2分，未提供不计分。 承诺2:供应商承诺提供配件时，不得以次充好、假冒伪劣产品利，严格按照不低于原有设备的品牌、型号供货。提供承诺计2分，未提供不计分。 承诺3:供应商承诺维修更换配件为全新原厂或同档次正品，不使用拆机、翻新件(不包含主设备故障等超过1000元的设备费用，此类设备议价支付)。提供承诺计1.5分，未提供不计分。 承诺4:供应商承诺在项目履约过程中施工时不影响诊疗秩序，进入病区、手术室等区域遵守院感规定。提供承诺计1.5分，未提供不计分。 此项共计7分。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18承诺.docx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3分项价格表.docx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 即满足磋商文件要求且价格最低的报价为磋商基准价，其价格分为满分。其他响应单位的价格分统一按照下列公式计算： 磋商报价得分=（评标基准价/磋商报价）×价格权值×100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详见附件：1商务部分偏离表.docx</w:t>
      </w:r>
    </w:p>
    <w:p>
      <w:pPr>
        <w:pStyle w:val="null3"/>
        <w:ind w:firstLine="960"/>
      </w:pPr>
      <w:r>
        <w:rPr>
          <w:rFonts w:ascii="仿宋_GB2312" w:hAnsi="仿宋_GB2312" w:cs="仿宋_GB2312" w:eastAsia="仿宋_GB2312"/>
        </w:rPr>
        <w:t>详见附件：2资格证明文件.docx</w:t>
      </w:r>
    </w:p>
    <w:p>
      <w:pPr>
        <w:pStyle w:val="null3"/>
        <w:ind w:firstLine="960"/>
      </w:pPr>
      <w:r>
        <w:rPr>
          <w:rFonts w:ascii="仿宋_GB2312" w:hAnsi="仿宋_GB2312" w:cs="仿宋_GB2312" w:eastAsia="仿宋_GB2312"/>
        </w:rPr>
        <w:t>详见附件：3分项价格表.docx</w:t>
      </w:r>
    </w:p>
    <w:p>
      <w:pPr>
        <w:pStyle w:val="null3"/>
        <w:ind w:firstLine="960"/>
      </w:pPr>
      <w:r>
        <w:rPr>
          <w:rFonts w:ascii="仿宋_GB2312" w:hAnsi="仿宋_GB2312" w:cs="仿宋_GB2312" w:eastAsia="仿宋_GB2312"/>
        </w:rPr>
        <w:t>详见附件：4承诺书-西安市.docx</w:t>
      </w:r>
    </w:p>
    <w:p>
      <w:pPr>
        <w:pStyle w:val="null3"/>
        <w:ind w:firstLine="960"/>
      </w:pPr>
      <w:r>
        <w:rPr>
          <w:rFonts w:ascii="仿宋_GB2312" w:hAnsi="仿宋_GB2312" w:cs="仿宋_GB2312" w:eastAsia="仿宋_GB2312"/>
        </w:rPr>
        <w:t>详见附件：5服务响应偏离表.docx</w:t>
      </w:r>
    </w:p>
    <w:p>
      <w:pPr>
        <w:pStyle w:val="null3"/>
        <w:ind w:firstLine="960"/>
      </w:pPr>
      <w:r>
        <w:rPr>
          <w:rFonts w:ascii="仿宋_GB2312" w:hAnsi="仿宋_GB2312" w:cs="仿宋_GB2312" w:eastAsia="仿宋_GB2312"/>
        </w:rPr>
        <w:t>详见附件：6无重大利益关系声明函.docx</w:t>
      </w:r>
    </w:p>
    <w:p>
      <w:pPr>
        <w:pStyle w:val="null3"/>
        <w:ind w:firstLine="960"/>
      </w:pPr>
      <w:r>
        <w:rPr>
          <w:rFonts w:ascii="仿宋_GB2312" w:hAnsi="仿宋_GB2312" w:cs="仿宋_GB2312" w:eastAsia="仿宋_GB2312"/>
        </w:rPr>
        <w:t>详见附件：7服务要求.docx</w:t>
      </w:r>
    </w:p>
    <w:p>
      <w:pPr>
        <w:pStyle w:val="null3"/>
        <w:ind w:firstLine="960"/>
      </w:pPr>
      <w:r>
        <w:rPr>
          <w:rFonts w:ascii="仿宋_GB2312" w:hAnsi="仿宋_GB2312" w:cs="仿宋_GB2312" w:eastAsia="仿宋_GB2312"/>
        </w:rPr>
        <w:t>详见附件：8整体服务方案.docx</w:t>
      </w:r>
    </w:p>
    <w:p>
      <w:pPr>
        <w:pStyle w:val="null3"/>
        <w:ind w:firstLine="960"/>
      </w:pPr>
      <w:r>
        <w:rPr>
          <w:rFonts w:ascii="仿宋_GB2312" w:hAnsi="仿宋_GB2312" w:cs="仿宋_GB2312" w:eastAsia="仿宋_GB2312"/>
        </w:rPr>
        <w:t>详见附件：9设备清单.docx</w:t>
      </w:r>
    </w:p>
    <w:p>
      <w:pPr>
        <w:pStyle w:val="null3"/>
        <w:ind w:firstLine="960"/>
      </w:pPr>
      <w:r>
        <w:rPr>
          <w:rFonts w:ascii="仿宋_GB2312" w:hAnsi="仿宋_GB2312" w:cs="仿宋_GB2312" w:eastAsia="仿宋_GB2312"/>
        </w:rPr>
        <w:t>详见附件：10质量保障方案.docx</w:t>
      </w:r>
    </w:p>
    <w:p>
      <w:pPr>
        <w:pStyle w:val="null3"/>
        <w:ind w:firstLine="960"/>
      </w:pPr>
      <w:r>
        <w:rPr>
          <w:rFonts w:ascii="仿宋_GB2312" w:hAnsi="仿宋_GB2312" w:cs="仿宋_GB2312" w:eastAsia="仿宋_GB2312"/>
        </w:rPr>
        <w:t>详见附件：11应急处置预案.docx</w:t>
      </w:r>
    </w:p>
    <w:p>
      <w:pPr>
        <w:pStyle w:val="null3"/>
        <w:ind w:firstLine="960"/>
      </w:pPr>
      <w:r>
        <w:rPr>
          <w:rFonts w:ascii="仿宋_GB2312" w:hAnsi="仿宋_GB2312" w:cs="仿宋_GB2312" w:eastAsia="仿宋_GB2312"/>
        </w:rPr>
        <w:t>详见附件：12进度计划.docx</w:t>
      </w:r>
    </w:p>
    <w:p>
      <w:pPr>
        <w:pStyle w:val="null3"/>
        <w:ind w:firstLine="960"/>
      </w:pPr>
      <w:r>
        <w:rPr>
          <w:rFonts w:ascii="仿宋_GB2312" w:hAnsi="仿宋_GB2312" w:cs="仿宋_GB2312" w:eastAsia="仿宋_GB2312"/>
        </w:rPr>
        <w:t>详见附件：13项目负责人.docx</w:t>
      </w:r>
    </w:p>
    <w:p>
      <w:pPr>
        <w:pStyle w:val="null3"/>
        <w:ind w:firstLine="960"/>
      </w:pPr>
      <w:r>
        <w:rPr>
          <w:rFonts w:ascii="仿宋_GB2312" w:hAnsi="仿宋_GB2312" w:cs="仿宋_GB2312" w:eastAsia="仿宋_GB2312"/>
        </w:rPr>
        <w:t>详见附件：14项目团队.docx</w:t>
      </w:r>
    </w:p>
    <w:p>
      <w:pPr>
        <w:pStyle w:val="null3"/>
        <w:ind w:firstLine="960"/>
      </w:pPr>
      <w:r>
        <w:rPr>
          <w:rFonts w:ascii="仿宋_GB2312" w:hAnsi="仿宋_GB2312" w:cs="仿宋_GB2312" w:eastAsia="仿宋_GB2312"/>
        </w:rPr>
        <w:t>详见附件：15售后服务与维护要求.docx</w:t>
      </w:r>
    </w:p>
    <w:p>
      <w:pPr>
        <w:pStyle w:val="null3"/>
        <w:ind w:firstLine="960"/>
      </w:pPr>
      <w:r>
        <w:rPr>
          <w:rFonts w:ascii="仿宋_GB2312" w:hAnsi="仿宋_GB2312" w:cs="仿宋_GB2312" w:eastAsia="仿宋_GB2312"/>
        </w:rPr>
        <w:t>详见附件：16培训方案.docx</w:t>
      </w:r>
    </w:p>
    <w:p>
      <w:pPr>
        <w:pStyle w:val="null3"/>
        <w:ind w:firstLine="960"/>
      </w:pPr>
      <w:r>
        <w:rPr>
          <w:rFonts w:ascii="仿宋_GB2312" w:hAnsi="仿宋_GB2312" w:cs="仿宋_GB2312" w:eastAsia="仿宋_GB2312"/>
        </w:rPr>
        <w:t>详见附件：17业绩.docx</w:t>
      </w:r>
    </w:p>
    <w:p>
      <w:pPr>
        <w:pStyle w:val="null3"/>
        <w:ind w:firstLine="960"/>
      </w:pPr>
      <w:r>
        <w:rPr>
          <w:rFonts w:ascii="仿宋_GB2312" w:hAnsi="仿宋_GB2312" w:cs="仿宋_GB2312" w:eastAsia="仿宋_GB2312"/>
        </w:rPr>
        <w:t>详见附件：18承诺.docx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