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06A28">
      <w:pPr>
        <w:spacing w:line="640" w:lineRule="exact"/>
        <w:jc w:val="center"/>
        <w:outlineLvl w:val="0"/>
        <w:rPr>
          <w:rFonts w:hint="eastAsia" w:ascii="仿宋" w:hAnsi="仿宋" w:eastAsia="仿宋" w:cs="仿宋"/>
          <w:color w:val="auto"/>
          <w:sz w:val="24"/>
        </w:rPr>
      </w:pPr>
      <w:r>
        <w:rPr>
          <w:rFonts w:hint="eastAsia" w:ascii="仿宋" w:hAnsi="仿宋" w:eastAsia="仿宋" w:cs="仿宋"/>
          <w:b/>
          <w:color w:val="auto"/>
          <w:kern w:val="0"/>
          <w:sz w:val="36"/>
          <w:szCs w:val="36"/>
          <w:lang w:eastAsia="zh-Hans"/>
        </w:rPr>
        <w:t>拟签订采购合同文本</w:t>
      </w:r>
    </w:p>
    <w:p w14:paraId="26615F9B">
      <w:pPr>
        <w:spacing w:line="339" w:lineRule="auto"/>
        <w:jc w:val="center"/>
        <w:rPr>
          <w:rFonts w:hint="eastAsia"/>
          <w:b/>
          <w:color w:val="auto"/>
          <w:sz w:val="32"/>
          <w:szCs w:val="32"/>
        </w:rPr>
      </w:pPr>
      <w:r>
        <w:rPr>
          <w:rFonts w:hint="eastAsia"/>
          <w:b/>
          <w:color w:val="auto"/>
          <w:sz w:val="32"/>
          <w:szCs w:val="32"/>
        </w:rPr>
        <w:t>供 货 合 同</w:t>
      </w:r>
    </w:p>
    <w:p w14:paraId="6360F1E7">
      <w:pPr>
        <w:snapToGrid w:val="0"/>
        <w:spacing w:line="360" w:lineRule="auto"/>
        <w:ind w:firstLine="480" w:firstLineChars="200"/>
        <w:rPr>
          <w:rFonts w:hint="eastAsia" w:ascii="宋体" w:hAnsi="宋体" w:cs="宋体"/>
          <w:snapToGrid w:val="0"/>
          <w:color w:val="auto"/>
          <w:kern w:val="0"/>
          <w:sz w:val="24"/>
        </w:rPr>
      </w:pPr>
      <w:r>
        <w:rPr>
          <w:rFonts w:hint="eastAsia" w:ascii="宋体" w:hAnsi="宋体" w:eastAsia="宋体" w:cs="宋体"/>
          <w:snapToGrid w:val="0"/>
          <w:color w:val="auto"/>
          <w:kern w:val="0"/>
          <w:sz w:val="24"/>
        </w:rPr>
        <w:t>“</w:t>
      </w:r>
      <w:r>
        <w:rPr>
          <w:rFonts w:hint="eastAsia" w:ascii="宋体" w:hAnsi="宋体" w:cs="宋体"/>
          <w:snapToGrid w:val="0"/>
          <w:color w:val="auto"/>
          <w:kern w:val="0"/>
          <w:sz w:val="24"/>
          <w:lang w:val="en-US" w:eastAsia="zh-CN"/>
        </w:rPr>
        <w:t>航空高端制造科研平台-切削与熔覆监测系统采购项目</w:t>
      </w:r>
      <w:r>
        <w:rPr>
          <w:rFonts w:hint="eastAsia" w:ascii="宋体" w:hAnsi="宋体" w:eastAsia="宋体" w:cs="宋体"/>
          <w:snapToGrid w:val="0"/>
          <w:color w:val="auto"/>
          <w:kern w:val="0"/>
          <w:sz w:val="24"/>
        </w:rPr>
        <w:t>”（项目编号：</w:t>
      </w:r>
      <w:r>
        <w:rPr>
          <w:rFonts w:hint="eastAsia" w:ascii="宋体" w:hAnsi="宋体" w:eastAsia="宋体" w:cs="宋体"/>
          <w:snapToGrid w:val="0"/>
          <w:color w:val="auto"/>
          <w:kern w:val="0"/>
          <w:sz w:val="24"/>
          <w:lang w:val="en-US" w:eastAsia="zh-CN"/>
        </w:rPr>
        <w:t>******</w:t>
      </w:r>
      <w:r>
        <w:rPr>
          <w:rFonts w:hint="eastAsia" w:ascii="宋体" w:hAnsi="宋体" w:eastAsia="宋体" w:cs="宋体"/>
          <w:snapToGrid w:val="0"/>
          <w:color w:val="auto"/>
          <w:kern w:val="0"/>
          <w:sz w:val="24"/>
        </w:rPr>
        <w:t>）,由</w:t>
      </w:r>
      <w:r>
        <w:rPr>
          <w:rFonts w:hint="eastAsia" w:ascii="宋体" w:hAnsi="宋体" w:eastAsia="宋体" w:cs="宋体"/>
          <w:snapToGrid w:val="0"/>
          <w:color w:val="auto"/>
          <w:kern w:val="0"/>
          <w:sz w:val="24"/>
          <w:lang w:val="en-US" w:eastAsia="zh-CN"/>
        </w:rPr>
        <w:t>陕西卓佲项目管理有限公司</w:t>
      </w:r>
      <w:r>
        <w:rPr>
          <w:rFonts w:hint="eastAsia" w:ascii="宋体" w:hAnsi="宋体" w:cs="宋体"/>
          <w:snapToGrid w:val="0"/>
          <w:color w:val="auto"/>
          <w:kern w:val="0"/>
          <w:sz w:val="24"/>
        </w:rPr>
        <w:t>组织招标采购,</w:t>
      </w:r>
      <w:r>
        <w:rPr>
          <w:rFonts w:hint="eastAsia" w:ascii="宋体" w:hAnsi="宋体" w:cs="宋体"/>
          <w:snapToGrid w:val="0"/>
          <w:color w:val="auto"/>
          <w:kern w:val="0"/>
          <w:sz w:val="24"/>
          <w:u w:val="single"/>
        </w:rPr>
        <w:t xml:space="preserve">   （采购人）</w:t>
      </w:r>
      <w:r>
        <w:rPr>
          <w:rFonts w:hint="eastAsia" w:ascii="宋体" w:hAnsi="宋体" w:cs="宋体"/>
          <w:b/>
          <w:color w:val="auto"/>
          <w:sz w:val="24"/>
          <w:u w:val="single"/>
        </w:rPr>
        <w:t xml:space="preserve"> </w:t>
      </w:r>
      <w:r>
        <w:rPr>
          <w:rFonts w:hint="eastAsia" w:ascii="宋体" w:hAnsi="宋体" w:cs="宋体"/>
          <w:color w:val="auto"/>
          <w:sz w:val="24"/>
        </w:rPr>
        <w:t>(以下简称“买方”)</w:t>
      </w:r>
      <w:r>
        <w:rPr>
          <w:rFonts w:hint="eastAsia" w:ascii="宋体" w:hAnsi="宋体" w:cs="宋体"/>
          <w:snapToGrid w:val="0"/>
          <w:color w:val="auto"/>
          <w:kern w:val="0"/>
          <w:sz w:val="24"/>
        </w:rPr>
        <w:t>确定</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u w:val="single"/>
        </w:rPr>
        <w:t xml:space="preserve">中标人名称  </w:t>
      </w:r>
      <w:r>
        <w:rPr>
          <w:rFonts w:hint="eastAsia" w:ascii="宋体" w:hAnsi="宋体" w:cs="宋体"/>
          <w:snapToGrid w:val="0"/>
          <w:color w:val="auto"/>
          <w:kern w:val="0"/>
          <w:sz w:val="24"/>
        </w:rPr>
        <w:t>（以下简称“卖方”）</w:t>
      </w:r>
      <w:r>
        <w:rPr>
          <w:rFonts w:hint="eastAsia" w:ascii="宋体" w:hAnsi="宋体" w:cs="宋体"/>
          <w:color w:val="auto"/>
          <w:kern w:val="0"/>
          <w:sz w:val="24"/>
        </w:rPr>
        <w:t>为中标供应商。</w:t>
      </w:r>
    </w:p>
    <w:p w14:paraId="560866C4">
      <w:pPr>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依据《中华人民共和国民法典》和《中华人民共和国政府采购法》，经双方协商，于</w:t>
      </w:r>
      <w:r>
        <w:rPr>
          <w:rFonts w:hint="eastAsia" w:ascii="宋体" w:hAnsi="宋体" w:cs="宋体"/>
          <w:color w:val="auto"/>
          <w:kern w:val="0"/>
          <w:sz w:val="24"/>
          <w:u w:val="single"/>
        </w:rPr>
        <w:t xml:space="preserve">    </w:t>
      </w:r>
      <w:r>
        <w:rPr>
          <w:rFonts w:hint="eastAsia" w:ascii="宋体" w:hAnsi="宋体" w:cs="宋体"/>
          <w:color w:val="auto"/>
          <w:kern w:val="0"/>
          <w:sz w:val="24"/>
        </w:rPr>
        <w:t>年</w:t>
      </w:r>
      <w:r>
        <w:rPr>
          <w:rFonts w:hint="eastAsia" w:ascii="宋体" w:hAnsi="宋体" w:cs="宋体"/>
          <w:color w:val="auto"/>
          <w:kern w:val="0"/>
          <w:sz w:val="24"/>
          <w:u w:val="single"/>
        </w:rPr>
        <w:t xml:space="preserve">   </w:t>
      </w:r>
      <w:r>
        <w:rPr>
          <w:rFonts w:hint="eastAsia" w:ascii="宋体" w:hAnsi="宋体" w:cs="宋体"/>
          <w:color w:val="auto"/>
          <w:kern w:val="0"/>
          <w:sz w:val="24"/>
        </w:rPr>
        <w:t>月</w:t>
      </w:r>
      <w:r>
        <w:rPr>
          <w:rFonts w:hint="eastAsia" w:ascii="宋体" w:hAnsi="宋体" w:cs="宋体"/>
          <w:color w:val="auto"/>
          <w:kern w:val="0"/>
          <w:sz w:val="24"/>
          <w:u w:val="single"/>
        </w:rPr>
        <w:t xml:space="preserve">   </w:t>
      </w:r>
      <w:r>
        <w:rPr>
          <w:rFonts w:hint="eastAsia" w:ascii="宋体" w:hAnsi="宋体" w:cs="宋体"/>
          <w:color w:val="auto"/>
          <w:kern w:val="0"/>
          <w:sz w:val="24"/>
        </w:rPr>
        <w:t>日按下述条款和条件签署本合同。</w:t>
      </w:r>
    </w:p>
    <w:p w14:paraId="64E1FCD6">
      <w:pPr>
        <w:pStyle w:val="15"/>
        <w:spacing w:line="360" w:lineRule="auto"/>
        <w:ind w:firstLine="480"/>
        <w:rPr>
          <w:rFonts w:hint="eastAsia" w:ascii="宋体" w:hAnsi="宋体" w:cs="宋体"/>
          <w:color w:val="auto"/>
        </w:rPr>
      </w:pPr>
      <w:r>
        <w:rPr>
          <w:rFonts w:hint="eastAsia" w:ascii="宋体" w:hAnsi="宋体" w:cs="宋体"/>
          <w:b w:val="0"/>
          <w:color w:val="auto"/>
        </w:rPr>
        <w:t>买方通过公开招标方式采购</w:t>
      </w:r>
      <w:r>
        <w:rPr>
          <w:rFonts w:hint="eastAsia" w:ascii="宋体" w:hAnsi="宋体" w:cs="宋体"/>
          <w:b w:val="0"/>
          <w:color w:val="auto"/>
          <w:u w:val="single"/>
        </w:rPr>
        <w:t xml:space="preserve">    </w:t>
      </w:r>
      <w:r>
        <w:rPr>
          <w:rFonts w:hint="eastAsia" w:ascii="宋体" w:hAnsi="宋体" w:cs="宋体"/>
          <w:b w:val="0"/>
          <w:bCs/>
          <w:color w:val="auto"/>
          <w:u w:val="single"/>
        </w:rPr>
        <w:t>标的名称</w:t>
      </w:r>
      <w:r>
        <w:rPr>
          <w:rFonts w:hint="eastAsia" w:ascii="宋体" w:hAnsi="宋体" w:cs="宋体"/>
          <w:b w:val="0"/>
          <w:color w:val="auto"/>
          <w:u w:val="single"/>
        </w:rPr>
        <w:t xml:space="preserve">  </w:t>
      </w:r>
      <w:r>
        <w:rPr>
          <w:rFonts w:hint="eastAsia" w:ascii="宋体" w:hAnsi="宋体" w:cs="宋体"/>
          <w:color w:val="auto"/>
        </w:rPr>
        <w:t>，</w:t>
      </w:r>
      <w:r>
        <w:rPr>
          <w:rFonts w:hint="eastAsia" w:ascii="宋体" w:hAnsi="宋体" w:cs="宋体"/>
          <w:b w:val="0"/>
          <w:color w:val="auto"/>
        </w:rPr>
        <w:t>并接受了卖方以总金额</w:t>
      </w:r>
      <w:r>
        <w:rPr>
          <w:rFonts w:hint="eastAsia" w:ascii="宋体" w:hAnsi="宋体" w:cs="宋体"/>
          <w:color w:val="auto"/>
          <w:u w:val="single"/>
        </w:rPr>
        <w:t xml:space="preserve">    </w:t>
      </w:r>
      <w:r>
        <w:rPr>
          <w:rFonts w:hint="eastAsia" w:ascii="宋体" w:hAnsi="宋体" w:cs="宋体"/>
          <w:b w:val="0"/>
          <w:color w:val="auto"/>
          <w:u w:val="single"/>
        </w:rPr>
        <w:t xml:space="preserve">大写（￥   ）  </w:t>
      </w:r>
      <w:r>
        <w:rPr>
          <w:rFonts w:hint="eastAsia" w:ascii="宋体" w:hAnsi="宋体" w:cs="宋体"/>
          <w:b w:val="0"/>
          <w:color w:val="auto"/>
        </w:rPr>
        <w:t>(以下简称“合同价”)提供上述货物、装修及服务。</w:t>
      </w:r>
    </w:p>
    <w:p w14:paraId="08943288">
      <w:pPr>
        <w:pStyle w:val="15"/>
        <w:spacing w:line="360" w:lineRule="auto"/>
        <w:ind w:firstLine="480"/>
        <w:rPr>
          <w:rFonts w:hint="eastAsia" w:ascii="宋体" w:hAnsi="宋体" w:cs="宋体"/>
          <w:b w:val="0"/>
          <w:color w:val="auto"/>
        </w:rPr>
      </w:pPr>
      <w:r>
        <w:rPr>
          <w:rFonts w:hint="eastAsia" w:ascii="宋体" w:hAnsi="宋体" w:cs="宋体"/>
          <w:b w:val="0"/>
          <w:color w:val="auto"/>
        </w:rPr>
        <w:t>本合同在此声明如下：</w:t>
      </w:r>
    </w:p>
    <w:p w14:paraId="2055CA1B">
      <w:pPr>
        <w:pStyle w:val="15"/>
        <w:spacing w:line="360" w:lineRule="auto"/>
        <w:ind w:firstLine="480"/>
        <w:rPr>
          <w:rFonts w:hint="eastAsia" w:ascii="宋体" w:hAnsi="宋体" w:cs="宋体"/>
          <w:b w:val="0"/>
          <w:color w:val="auto"/>
        </w:rPr>
      </w:pPr>
      <w:r>
        <w:rPr>
          <w:rFonts w:hint="eastAsia" w:ascii="宋体" w:hAnsi="宋体" w:cs="宋体"/>
          <w:b w:val="0"/>
          <w:color w:val="auto"/>
        </w:rPr>
        <w:t>1.本合同中的词语和术语的含义与合同条款中定义的相同。</w:t>
      </w:r>
    </w:p>
    <w:p w14:paraId="1C7071D3">
      <w:pPr>
        <w:pStyle w:val="15"/>
        <w:spacing w:line="360" w:lineRule="auto"/>
        <w:ind w:firstLine="480"/>
        <w:rPr>
          <w:rFonts w:hint="eastAsia" w:ascii="宋体" w:hAnsi="宋体" w:cs="宋体"/>
          <w:b w:val="0"/>
          <w:color w:val="auto"/>
        </w:rPr>
      </w:pPr>
      <w:r>
        <w:rPr>
          <w:rFonts w:hint="eastAsia" w:ascii="宋体" w:hAnsi="宋体" w:cs="宋体"/>
          <w:b w:val="0"/>
          <w:color w:val="auto"/>
        </w:rPr>
        <w:t>2.下述文件是本合同的一部分，并与本合同一起阅读和解释：</w:t>
      </w:r>
    </w:p>
    <w:p w14:paraId="36C20FEE">
      <w:pPr>
        <w:pStyle w:val="15"/>
        <w:spacing w:line="360" w:lineRule="auto"/>
        <w:ind w:firstLine="840" w:firstLineChars="350"/>
        <w:rPr>
          <w:rFonts w:hint="eastAsia" w:ascii="宋体" w:hAnsi="宋体" w:cs="宋体"/>
          <w:b w:val="0"/>
          <w:color w:val="auto"/>
        </w:rPr>
      </w:pPr>
      <w:r>
        <w:rPr>
          <w:rFonts w:hint="eastAsia" w:ascii="宋体" w:hAnsi="宋体" w:cs="宋体"/>
          <w:b w:val="0"/>
          <w:color w:val="auto"/>
        </w:rPr>
        <w:t>⑴ 合同通用条款；</w:t>
      </w:r>
    </w:p>
    <w:p w14:paraId="093FF82C">
      <w:pPr>
        <w:pStyle w:val="15"/>
        <w:spacing w:line="360" w:lineRule="auto"/>
        <w:ind w:firstLine="840" w:firstLineChars="350"/>
        <w:rPr>
          <w:rFonts w:hint="eastAsia" w:ascii="宋体" w:hAnsi="宋体" w:cs="宋体"/>
          <w:b w:val="0"/>
          <w:color w:val="auto"/>
        </w:rPr>
      </w:pPr>
      <w:r>
        <w:rPr>
          <w:rFonts w:hint="eastAsia" w:ascii="宋体" w:hAnsi="宋体" w:cs="宋体"/>
          <w:b w:val="0"/>
          <w:color w:val="auto"/>
        </w:rPr>
        <w:t>⑵ 合同条款附件；</w:t>
      </w:r>
    </w:p>
    <w:p w14:paraId="3A0F0FB3">
      <w:pPr>
        <w:pStyle w:val="15"/>
        <w:spacing w:line="360" w:lineRule="auto"/>
        <w:ind w:firstLine="840" w:firstLineChars="350"/>
        <w:rPr>
          <w:rFonts w:hint="eastAsia" w:ascii="宋体" w:hAnsi="宋体" w:cs="宋体"/>
          <w:b w:val="0"/>
          <w:color w:val="auto"/>
        </w:rPr>
      </w:pPr>
      <w:r>
        <w:rPr>
          <w:rFonts w:hint="eastAsia" w:ascii="宋体" w:hAnsi="宋体" w:cs="宋体"/>
          <w:b w:val="0"/>
          <w:color w:val="auto"/>
        </w:rPr>
        <w:t>⑶ 中标通知书；</w:t>
      </w:r>
    </w:p>
    <w:p w14:paraId="7AB023A7">
      <w:pPr>
        <w:pStyle w:val="15"/>
        <w:spacing w:line="360" w:lineRule="auto"/>
        <w:ind w:firstLine="840" w:firstLineChars="350"/>
        <w:rPr>
          <w:rFonts w:hint="eastAsia" w:ascii="宋体" w:hAnsi="宋体" w:cs="宋体"/>
          <w:b w:val="0"/>
          <w:color w:val="auto"/>
        </w:rPr>
      </w:pPr>
      <w:r>
        <w:rPr>
          <w:rFonts w:hint="eastAsia" w:ascii="宋体" w:hAnsi="宋体" w:cs="宋体"/>
          <w:b w:val="0"/>
          <w:color w:val="auto"/>
        </w:rPr>
        <w:t>⑷ 招标文件；</w:t>
      </w:r>
    </w:p>
    <w:p w14:paraId="2781AF60">
      <w:pPr>
        <w:pStyle w:val="15"/>
        <w:spacing w:line="360" w:lineRule="auto"/>
        <w:ind w:firstLine="840" w:firstLineChars="350"/>
        <w:rPr>
          <w:rFonts w:hint="eastAsia" w:ascii="宋体" w:hAnsi="宋体" w:cs="宋体"/>
          <w:b w:val="0"/>
          <w:color w:val="auto"/>
        </w:rPr>
      </w:pPr>
      <w:r>
        <w:rPr>
          <w:rFonts w:hint="eastAsia" w:ascii="宋体" w:hAnsi="宋体" w:cs="宋体"/>
          <w:b w:val="0"/>
          <w:color w:val="auto"/>
        </w:rPr>
        <w:t>⑸ 投标文件。</w:t>
      </w:r>
    </w:p>
    <w:p w14:paraId="79994D3D">
      <w:pPr>
        <w:pStyle w:val="15"/>
        <w:spacing w:line="360" w:lineRule="auto"/>
        <w:ind w:firstLine="480"/>
        <w:rPr>
          <w:rFonts w:hint="eastAsia" w:ascii="宋体" w:hAnsi="宋体" w:cs="宋体"/>
          <w:b w:val="0"/>
          <w:color w:val="auto"/>
        </w:rPr>
      </w:pPr>
      <w:r>
        <w:rPr>
          <w:rFonts w:hint="eastAsia" w:ascii="宋体" w:hAnsi="宋体" w:cs="宋体"/>
          <w:b w:val="0"/>
          <w:color w:val="auto"/>
        </w:rPr>
        <w:t>3.考虑到买方将按照本合同向卖方支付货款，卖方在此保证全部按照合同的规定向买方提供货物和服务，并修补缺陷。</w:t>
      </w:r>
    </w:p>
    <w:p w14:paraId="2DD0D62B">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4.考虑到卖方将按照本合同向买方提供货物和服务并修补缺陷，买方在此保证按照合同规定的时间和方式向卖方支付合同价或其他按合同规定应支付的资金。</w:t>
      </w:r>
    </w:p>
    <w:p w14:paraId="6BA18A01">
      <w:pPr>
        <w:snapToGrid w:val="0"/>
        <w:spacing w:line="360" w:lineRule="auto"/>
        <w:ind w:firstLine="480" w:firstLineChars="200"/>
        <w:rPr>
          <w:rFonts w:hint="eastAsia" w:ascii="宋体" w:hAnsi="宋体" w:cs="宋体"/>
          <w:snapToGrid w:val="0"/>
          <w:color w:val="auto"/>
          <w:kern w:val="0"/>
          <w:sz w:val="24"/>
        </w:rPr>
      </w:pPr>
      <w:r>
        <w:rPr>
          <w:rFonts w:hint="eastAsia" w:ascii="宋体" w:hAnsi="宋体" w:cs="宋体"/>
          <w:color w:val="auto"/>
          <w:kern w:val="0"/>
          <w:sz w:val="24"/>
        </w:rPr>
        <w:t>5.</w:t>
      </w:r>
      <w:r>
        <w:rPr>
          <w:rFonts w:hint="eastAsia" w:ascii="宋体" w:hAnsi="宋体" w:cs="宋体"/>
          <w:snapToGrid w:val="0"/>
          <w:color w:val="auto"/>
          <w:kern w:val="0"/>
          <w:sz w:val="24"/>
        </w:rPr>
        <w:t>本合同一式</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份，其中，买方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份，卖方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份，鉴证方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w:t>
      </w:r>
      <w:r>
        <w:rPr>
          <w:rFonts w:hint="eastAsia" w:ascii="宋体" w:hAnsi="宋体" w:cs="宋体"/>
          <w:color w:val="auto"/>
          <w:kern w:val="0"/>
          <w:sz w:val="24"/>
        </w:rPr>
        <w:t>监督管理部门</w:t>
      </w:r>
      <w:r>
        <w:rPr>
          <w:rFonts w:hint="eastAsia" w:ascii="宋体" w:hAnsi="宋体" w:cs="宋体"/>
          <w:color w:val="auto"/>
          <w:sz w:val="24"/>
          <w:u w:val="single"/>
        </w:rPr>
        <w:t xml:space="preserve"> </w:t>
      </w:r>
      <w:r>
        <w:rPr>
          <w:rFonts w:hint="eastAsia" w:ascii="宋体" w:hAnsi="宋体" w:cs="宋体"/>
          <w:b/>
          <w:color w:val="auto"/>
          <w:kern w:val="0"/>
          <w:sz w:val="24"/>
          <w:u w:val="single"/>
        </w:rPr>
        <w:t xml:space="preserve"> </w:t>
      </w:r>
      <w:r>
        <w:rPr>
          <w:rFonts w:hint="eastAsia" w:ascii="宋体" w:hAnsi="宋体" w:cs="宋体"/>
          <w:color w:val="auto"/>
          <w:kern w:val="0"/>
          <w:sz w:val="24"/>
          <w:u w:val="single"/>
        </w:rPr>
        <w:t xml:space="preserve"> </w:t>
      </w:r>
      <w:r>
        <w:rPr>
          <w:rFonts w:hint="eastAsia" w:ascii="宋体" w:hAnsi="宋体" w:cs="宋体"/>
          <w:color w:val="auto"/>
          <w:kern w:val="0"/>
          <w:sz w:val="24"/>
        </w:rPr>
        <w:t>份</w:t>
      </w:r>
      <w:r>
        <w:rPr>
          <w:rFonts w:hint="eastAsia" w:ascii="宋体" w:hAnsi="宋体" w:cs="宋体"/>
          <w:snapToGrid w:val="0"/>
          <w:color w:val="auto"/>
          <w:kern w:val="0"/>
          <w:sz w:val="24"/>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4196"/>
        <w:gridCol w:w="4196"/>
      </w:tblGrid>
      <w:tr w14:paraId="6DD3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4196" w:type="dxa"/>
            <w:noWrap w:val="0"/>
            <w:tcMar>
              <w:top w:w="113" w:type="dxa"/>
              <w:left w:w="340" w:type="dxa"/>
              <w:bottom w:w="113" w:type="dxa"/>
              <w:right w:w="340" w:type="dxa"/>
            </w:tcMar>
            <w:vAlign w:val="top"/>
          </w:tcPr>
          <w:p w14:paraId="66AE5E73">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买方名称：</w:t>
            </w:r>
          </w:p>
          <w:p w14:paraId="09D4EB6C">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买方地址：</w:t>
            </w:r>
          </w:p>
          <w:p w14:paraId="0AA284F2">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电    话：</w:t>
            </w:r>
          </w:p>
          <w:p w14:paraId="3C3A622B">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传    真：</w:t>
            </w:r>
          </w:p>
          <w:p w14:paraId="7F1E65DC">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邮    编：</w:t>
            </w:r>
          </w:p>
          <w:p w14:paraId="7358E6AD">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p>
          <w:p w14:paraId="79772A0E">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p>
          <w:p w14:paraId="1E2BEF9A">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买方代表签字：</w:t>
            </w:r>
          </w:p>
          <w:p w14:paraId="644A57A4">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p>
          <w:p w14:paraId="1F5326B7">
            <w:pPr>
              <w:keepNext w:val="0"/>
              <w:keepLines w:val="0"/>
              <w:suppressLineNumbers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spacing w:val="7"/>
                <w:kern w:val="0"/>
                <w:sz w:val="24"/>
              </w:rPr>
              <w:t>买 方 盖 章</w:t>
            </w:r>
            <w:r>
              <w:rPr>
                <w:rFonts w:hint="eastAsia" w:ascii="Calibri" w:hAnsi="Calibri" w:cs="Times New Roman"/>
                <w:color w:val="auto"/>
                <w:kern w:val="0"/>
                <w:sz w:val="24"/>
              </w:rPr>
              <w:t>：</w:t>
            </w:r>
          </w:p>
        </w:tc>
        <w:tc>
          <w:tcPr>
            <w:tcW w:w="4196" w:type="dxa"/>
            <w:noWrap w:val="0"/>
            <w:vAlign w:val="top"/>
          </w:tcPr>
          <w:p w14:paraId="3BE7F039">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卖方名称：</w:t>
            </w:r>
          </w:p>
          <w:p w14:paraId="56532B44">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卖方地址：</w:t>
            </w:r>
          </w:p>
          <w:p w14:paraId="4FBFA9DD">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电    话：</w:t>
            </w:r>
          </w:p>
          <w:p w14:paraId="56DF39A6">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传    真：</w:t>
            </w:r>
          </w:p>
          <w:p w14:paraId="4E1C6BDB">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邮    编：</w:t>
            </w:r>
          </w:p>
          <w:p w14:paraId="1B8919EB">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开户银行：</w:t>
            </w:r>
          </w:p>
          <w:p w14:paraId="7285D74A">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帐    号：</w:t>
            </w:r>
          </w:p>
          <w:p w14:paraId="5CA42D02">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卖方代表签字：</w:t>
            </w:r>
          </w:p>
          <w:p w14:paraId="0D399651">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p>
          <w:p w14:paraId="237855C0">
            <w:pPr>
              <w:keepNext w:val="0"/>
              <w:keepLines w:val="0"/>
              <w:suppressLineNumbers w:val="0"/>
              <w:spacing w:before="0" w:beforeAutospacing="0" w:after="0" w:afterAutospacing="0" w:line="339" w:lineRule="auto"/>
              <w:ind w:left="0" w:right="0" w:firstLine="254" w:firstLineChars="100"/>
              <w:rPr>
                <w:rFonts w:hint="eastAsia" w:ascii="Calibri" w:hAnsi="Calibri" w:cs="Times New Roman"/>
                <w:b/>
                <w:color w:val="auto"/>
                <w:sz w:val="24"/>
              </w:rPr>
            </w:pPr>
            <w:r>
              <w:rPr>
                <w:rFonts w:hint="eastAsia" w:ascii="Calibri" w:hAnsi="Calibri" w:cs="Times New Roman"/>
                <w:color w:val="auto"/>
                <w:spacing w:val="7"/>
                <w:kern w:val="0"/>
                <w:sz w:val="24"/>
              </w:rPr>
              <w:t>卖 方 盖 章</w:t>
            </w:r>
            <w:r>
              <w:rPr>
                <w:rFonts w:hint="eastAsia" w:ascii="Calibri" w:hAnsi="Calibri" w:cs="Times New Roman"/>
                <w:color w:val="auto"/>
                <w:kern w:val="0"/>
                <w:sz w:val="24"/>
              </w:rPr>
              <w:t>：</w:t>
            </w:r>
          </w:p>
        </w:tc>
      </w:tr>
    </w:tbl>
    <w:p w14:paraId="1025A8E0">
      <w:pPr>
        <w:autoSpaceDE w:val="0"/>
        <w:autoSpaceDN w:val="0"/>
        <w:adjustRightInd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br w:type="page"/>
      </w:r>
      <w:r>
        <w:rPr>
          <w:rFonts w:hint="eastAsia" w:ascii="宋体" w:hAnsi="宋体" w:cs="宋体"/>
          <w:b/>
          <w:color w:val="auto"/>
          <w:kern w:val="0"/>
          <w:sz w:val="24"/>
        </w:rPr>
        <w:t>1.定义</w:t>
      </w:r>
    </w:p>
    <w:p w14:paraId="2CB6F112">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本合同下列术语应解释为：</w:t>
      </w:r>
    </w:p>
    <w:p w14:paraId="44F32479">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1)“合同”系指买卖双方签署的、合同格式中载明的买卖双方所达成的协议，包括所有的附件、附录和上述文件所提到的构成合同的所有文件。</w:t>
      </w:r>
    </w:p>
    <w:p w14:paraId="6A5720C1">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2)“合同价”系指根据合同规定卖方在正确地完全履行合同义务后买方应支付给卖方的价格。</w:t>
      </w:r>
    </w:p>
    <w:p w14:paraId="5CAF3B5A">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3)“货物”系指卖方根据合同规定须向买方提供的一切材料、设备、机械、仪表、备件、工具和／或其它材料。</w:t>
      </w:r>
    </w:p>
    <w:p w14:paraId="4CC2BCEA">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 “工程”系指卖方根据合同规定须向买方提供的，涉及装修、施工、调试等各阶段的具体任务和工作的总和。</w:t>
      </w:r>
    </w:p>
    <w:p w14:paraId="6556148D">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5)“服务”系指根据合同规定卖方承担培训服务及与供货有关的辅助服务，比如包装、运输、保险以及其它的伴随服务，比如安装、调试、提供技术援助、培训和合同中规定卖方应承担的其它义务。</w:t>
      </w:r>
    </w:p>
    <w:p w14:paraId="1FCA873B">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6)“买方”系指合同中所述购买货物和服务的单位。</w:t>
      </w:r>
    </w:p>
    <w:p w14:paraId="5AB8128B">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7)“卖方”系指合同中所述提供货物和服务的公司或其它实体。</w:t>
      </w:r>
    </w:p>
    <w:p w14:paraId="40DE2A50">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8)“项目现场”系指本合同项下货物安装、运行、装修、施工的场地，其名称在合同中指明。</w:t>
      </w:r>
    </w:p>
    <w:p w14:paraId="62A40ED8">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9)“天”指日历天数。</w:t>
      </w:r>
    </w:p>
    <w:p w14:paraId="37D14C73">
      <w:pPr>
        <w:spacing w:line="440" w:lineRule="exact"/>
        <w:ind w:firstLine="482" w:firstLineChars="200"/>
        <w:rPr>
          <w:rFonts w:hint="eastAsia" w:ascii="宋体" w:hAnsi="宋体" w:cs="宋体"/>
          <w:b/>
          <w:color w:val="auto"/>
          <w:sz w:val="24"/>
        </w:rPr>
      </w:pPr>
      <w:r>
        <w:rPr>
          <w:rFonts w:hint="eastAsia" w:ascii="宋体" w:hAnsi="宋体" w:cs="宋体"/>
          <w:b/>
          <w:color w:val="auto"/>
          <w:sz w:val="24"/>
        </w:rPr>
        <w:t>2.适用性</w:t>
      </w:r>
    </w:p>
    <w:p w14:paraId="2922660C">
      <w:pPr>
        <w:spacing w:line="440" w:lineRule="exact"/>
        <w:ind w:firstLine="480" w:firstLineChars="200"/>
        <w:rPr>
          <w:rFonts w:hint="eastAsia" w:ascii="宋体" w:hAnsi="宋体" w:cs="宋体"/>
          <w:color w:val="auto"/>
          <w:sz w:val="24"/>
        </w:rPr>
      </w:pPr>
      <w:r>
        <w:rPr>
          <w:rFonts w:hint="eastAsia" w:ascii="宋体" w:hAnsi="宋体" w:cs="宋体"/>
          <w:color w:val="auto"/>
          <w:sz w:val="24"/>
        </w:rPr>
        <w:t>2.1 本合同条款适用于没有被本合同其他部分的条款所取代的范围。</w:t>
      </w:r>
    </w:p>
    <w:p w14:paraId="68432E10">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3.技术规格</w:t>
      </w:r>
    </w:p>
    <w:p w14:paraId="75DA93B1">
      <w:pPr>
        <w:spacing w:line="440" w:lineRule="exact"/>
        <w:ind w:firstLine="470" w:firstLineChars="196"/>
        <w:rPr>
          <w:rFonts w:hint="eastAsia" w:ascii="宋体" w:hAnsi="宋体" w:cs="宋体"/>
          <w:b/>
          <w:color w:val="auto"/>
          <w:kern w:val="0"/>
          <w:sz w:val="24"/>
        </w:rPr>
      </w:pPr>
      <w:r>
        <w:rPr>
          <w:rFonts w:hint="eastAsia" w:ascii="宋体" w:hAnsi="宋体" w:cs="宋体"/>
          <w:color w:val="auto"/>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3E88CE65">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3.2 除非技术规格中另有规定，计量单位均采用中华人民共和国法定计量单位。</w:t>
      </w:r>
    </w:p>
    <w:p w14:paraId="6B482A2B">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4.专利权</w:t>
      </w:r>
    </w:p>
    <w:p w14:paraId="73257649">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4.1 卖方应保证，买方使用该货物或货物的任何一部分时，免受第三方提出的侵犯其专利权、商标权、著作权或其它知识产权的起诉。</w:t>
      </w:r>
    </w:p>
    <w:p w14:paraId="68DC4819">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5.</w:t>
      </w:r>
      <w:r>
        <w:rPr>
          <w:rFonts w:hint="eastAsia" w:ascii="宋体" w:hAnsi="宋体" w:cs="宋体"/>
          <w:color w:val="auto"/>
          <w:sz w:val="24"/>
        </w:rPr>
        <w:t xml:space="preserve"> </w:t>
      </w:r>
      <w:r>
        <w:rPr>
          <w:rFonts w:hint="eastAsia" w:ascii="宋体" w:hAnsi="宋体" w:cs="宋体"/>
          <w:b/>
          <w:color w:val="auto"/>
          <w:kern w:val="0"/>
          <w:sz w:val="24"/>
        </w:rPr>
        <w:t>质保期</w:t>
      </w:r>
    </w:p>
    <w:p w14:paraId="4727E9C7">
      <w:pPr>
        <w:adjustRightInd w:val="0"/>
        <w:snapToGrid w:val="0"/>
        <w:spacing w:line="440" w:lineRule="exact"/>
        <w:ind w:firstLine="480" w:firstLineChars="200"/>
        <w:rPr>
          <w:rFonts w:hint="eastAsia" w:ascii="宋体" w:hAnsi="宋体" w:cs="宋体"/>
          <w:color w:val="auto"/>
          <w:sz w:val="24"/>
        </w:rPr>
      </w:pPr>
      <w:r>
        <w:rPr>
          <w:rFonts w:hint="eastAsia" w:ascii="宋体" w:hAnsi="宋体" w:cs="宋体"/>
          <w:color w:val="auto"/>
          <w:kern w:val="0"/>
          <w:sz w:val="24"/>
        </w:rPr>
        <w:t>5.1</w:t>
      </w:r>
      <w:r>
        <w:rPr>
          <w:rFonts w:hint="eastAsia" w:ascii="宋体" w:hAnsi="宋体" w:cs="宋体"/>
          <w:color w:val="auto"/>
          <w:sz w:val="24"/>
        </w:rPr>
        <w:t>货物的质保期自验收合格之日起不少于</w:t>
      </w:r>
      <w:r>
        <w:rPr>
          <w:rFonts w:hint="eastAsia" w:ascii="宋体" w:hAnsi="宋体" w:cs="宋体"/>
          <w:color w:val="auto"/>
          <w:sz w:val="24"/>
          <w:u w:val="single"/>
        </w:rPr>
        <w:t xml:space="preserve">   </w:t>
      </w:r>
      <w:r>
        <w:rPr>
          <w:rFonts w:hint="eastAsia" w:ascii="宋体" w:hAnsi="宋体" w:cs="宋体"/>
          <w:color w:val="auto"/>
          <w:sz w:val="24"/>
        </w:rPr>
        <w:t>个月。</w:t>
      </w:r>
    </w:p>
    <w:p w14:paraId="76586C97">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6.</w:t>
      </w:r>
      <w:r>
        <w:rPr>
          <w:rFonts w:hint="eastAsia" w:ascii="宋体" w:hAnsi="宋体" w:cs="宋体"/>
          <w:color w:val="auto"/>
          <w:sz w:val="24"/>
        </w:rPr>
        <w:t xml:space="preserve"> </w:t>
      </w:r>
      <w:r>
        <w:rPr>
          <w:rFonts w:hint="eastAsia" w:ascii="宋体" w:hAnsi="宋体" w:cs="宋体"/>
          <w:b/>
          <w:color w:val="auto"/>
          <w:kern w:val="0"/>
          <w:sz w:val="24"/>
        </w:rPr>
        <w:t>运输及安装调试</w:t>
      </w:r>
    </w:p>
    <w:p w14:paraId="65E2A1AE">
      <w:pPr>
        <w:adjustRightInd w:val="0"/>
        <w:snapToGrid w:val="0"/>
        <w:spacing w:line="440" w:lineRule="exact"/>
        <w:ind w:firstLine="480" w:firstLineChars="200"/>
        <w:rPr>
          <w:rFonts w:hint="eastAsia" w:ascii="宋体" w:hAnsi="宋体" w:cs="宋体"/>
          <w:color w:val="auto"/>
          <w:sz w:val="24"/>
        </w:rPr>
      </w:pPr>
      <w:r>
        <w:rPr>
          <w:rFonts w:hint="eastAsia" w:ascii="宋体" w:hAnsi="宋体" w:cs="宋体"/>
          <w:color w:val="auto"/>
          <w:kern w:val="0"/>
          <w:sz w:val="24"/>
        </w:rPr>
        <w:t>6.1</w:t>
      </w:r>
      <w:r>
        <w:rPr>
          <w:rFonts w:hint="eastAsia" w:ascii="宋体" w:hAnsi="宋体" w:cs="宋体"/>
          <w:color w:val="auto"/>
          <w:sz w:val="24"/>
        </w:rPr>
        <w:t>所有货物必须运输至项目地点，卖方负责所有设备的运输、保险、安装、调试。</w:t>
      </w:r>
    </w:p>
    <w:p w14:paraId="5A66A45D">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7.</w:t>
      </w:r>
      <w:r>
        <w:rPr>
          <w:rFonts w:hint="eastAsia" w:ascii="宋体" w:hAnsi="宋体" w:cs="宋体"/>
          <w:color w:val="auto"/>
          <w:sz w:val="24"/>
        </w:rPr>
        <w:t xml:space="preserve"> </w:t>
      </w:r>
      <w:r>
        <w:rPr>
          <w:rFonts w:hint="eastAsia" w:ascii="宋体" w:hAnsi="宋体" w:cs="宋体"/>
          <w:b/>
          <w:color w:val="auto"/>
          <w:kern w:val="0"/>
          <w:sz w:val="24"/>
        </w:rPr>
        <w:t>货物的验收</w:t>
      </w:r>
    </w:p>
    <w:p w14:paraId="39625E56">
      <w:pPr>
        <w:spacing w:line="440" w:lineRule="exact"/>
        <w:ind w:firstLine="470" w:firstLineChars="196"/>
        <w:rPr>
          <w:rFonts w:hint="eastAsia" w:ascii="宋体" w:hAnsi="宋体" w:cs="宋体"/>
          <w:color w:val="auto"/>
          <w:kern w:val="0"/>
          <w:sz w:val="24"/>
        </w:rPr>
      </w:pPr>
      <w:r>
        <w:rPr>
          <w:rFonts w:hint="eastAsia" w:ascii="宋体" w:hAnsi="宋体" w:cs="宋体"/>
          <w:color w:val="auto"/>
          <w:kern w:val="0"/>
          <w:sz w:val="24"/>
        </w:rPr>
        <w:t xml:space="preserve">7.1 验收按招标文件“第三章 </w:t>
      </w:r>
      <w:r>
        <w:rPr>
          <w:rFonts w:hint="eastAsia" w:ascii="宋体" w:hAnsi="宋体" w:cs="宋体"/>
          <w:color w:val="auto"/>
          <w:kern w:val="0"/>
          <w:sz w:val="24"/>
          <w:lang w:eastAsia="zh-Hans"/>
        </w:rPr>
        <w:t>招标项目技术、服务、商务及其他要求</w:t>
      </w:r>
      <w:r>
        <w:rPr>
          <w:rFonts w:hint="eastAsia" w:ascii="宋体" w:hAnsi="宋体" w:cs="宋体"/>
          <w:color w:val="auto"/>
          <w:kern w:val="0"/>
          <w:sz w:val="24"/>
        </w:rPr>
        <w:t>”执行。</w:t>
      </w:r>
    </w:p>
    <w:p w14:paraId="6C45FBC1">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7.2 合同条款第7.1条的规定不能免除卖方在本合同项下的保证义务或其他义务。</w:t>
      </w:r>
    </w:p>
    <w:p w14:paraId="175ECAFB">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8.伴随服务</w:t>
      </w:r>
    </w:p>
    <w:p w14:paraId="5B205972">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5245F112">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8.2 卖方可能被要求提供下列服务中的任一或所有服务，包括“合同条款”与“技术规格与要求”中规定的附加服务（如果有的话）：</w:t>
      </w:r>
    </w:p>
    <w:p w14:paraId="76979B14">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1）实施或监督所供货物的现场组装和/或试运行；</w:t>
      </w:r>
    </w:p>
    <w:p w14:paraId="09B09D5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2）提供货物组装和/或维修所需的工具；</w:t>
      </w:r>
    </w:p>
    <w:p w14:paraId="3014DC81">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3）为所供货物的每一适当的单台设备提供详细的操作和维护手册；</w:t>
      </w:r>
    </w:p>
    <w:p w14:paraId="0F5C08D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4）在双方商定的一定期限内对所供货物实施运行或监督或维护或修理，但前提条件是该服务并不能免除卖方在合同保证期内所承担的义务；</w:t>
      </w:r>
    </w:p>
    <w:p w14:paraId="132DDF2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8.3 如果卖方或制造商提供的伴随服务的费用未含在货物的合同价中，双方应事先就其达成协议，但其费用单价不应超过卖方向其他人提供类似服务所收取的现行单价。</w:t>
      </w:r>
    </w:p>
    <w:p w14:paraId="0E41AE1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8.4 卖方应提供“合同条款”与“技术规格与要求”中规定的所有服务。为履行要求的伴随服务的报价或双方商定的费用应包括在合同价中。</w:t>
      </w:r>
    </w:p>
    <w:p w14:paraId="080D62BC">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8.5 对于售后服务工作不到位，故意推诿、拖延，造成不良影响或不按规定粘贴联系单的投标人，将报请</w:t>
      </w:r>
      <w:r>
        <w:rPr>
          <w:rFonts w:hint="eastAsia" w:ascii="宋体" w:hAnsi="宋体" w:cs="宋体"/>
          <w:color w:val="auto"/>
          <w:sz w:val="24"/>
        </w:rPr>
        <w:t>相关部门</w:t>
      </w:r>
      <w:r>
        <w:rPr>
          <w:rFonts w:hint="eastAsia" w:ascii="宋体" w:hAnsi="宋体" w:cs="宋体"/>
          <w:color w:val="auto"/>
          <w:kern w:val="0"/>
          <w:sz w:val="24"/>
        </w:rPr>
        <w:t>按有关规定进行处理。</w:t>
      </w:r>
    </w:p>
    <w:p w14:paraId="74EF41CB">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9.备品备件</w:t>
      </w:r>
    </w:p>
    <w:p w14:paraId="1D6726C4">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9.1 卖方可能被要求提供下列与备品备件有关的材料、通知和资料：</w:t>
      </w:r>
    </w:p>
    <w:p w14:paraId="0219F914">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1）买方从卖方选购备品备件，但前提条件是该选择并不能免除卖方在合同保证期内所承担的义务；</w:t>
      </w:r>
    </w:p>
    <w:p w14:paraId="3AFF6CE0">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2）在备品备件停止生产的情况下，卖方应事先将要停止生产的计划通知买方使买方有足够的时间采购所需的备品备件；</w:t>
      </w:r>
    </w:p>
    <w:p w14:paraId="7969F13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3）在备品备件停止生产后，如果买方要求，卖方应免费向买方提供备品备件的蓝图、图纸和规格。</w:t>
      </w:r>
    </w:p>
    <w:p w14:paraId="5231202C">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9.2 卖方应按“合同条款”与“技术规格与要求”中的规定提供所需的备品备件。</w:t>
      </w:r>
    </w:p>
    <w:p w14:paraId="159FFAC0">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10.质量保证</w:t>
      </w:r>
    </w:p>
    <w:p w14:paraId="30A288E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7BCA20B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10.2 根据质量检测部门检测结果或者在质量保证期内，如果货物的数量、质量或规格与合同不符，或证实货物是有缺陷的，包括潜在的缺陷，买方应尽快以书面形式向卖方提出所发现的缺陷。</w:t>
      </w:r>
    </w:p>
    <w:p w14:paraId="64D5583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10.3 卖方收到通知后应在七（7）天时间内以合理的速度免费维修或更换有缺陷的货物或部件。</w:t>
      </w:r>
    </w:p>
    <w:p w14:paraId="13EC078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14:paraId="60D78D81">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11.索赔</w:t>
      </w:r>
    </w:p>
    <w:p w14:paraId="6AD72F8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14:paraId="3465FECC">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46D81642">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2）根据货物的偏差情况、损坏程度、以及买方所遭受损失的金额，经买卖双方商定降低货物的价格。</w:t>
      </w:r>
    </w:p>
    <w:p w14:paraId="067A8CDE">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11797B62">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162C5075">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12.付款</w:t>
      </w:r>
    </w:p>
    <w:p w14:paraId="3D5EF21E">
      <w:pPr>
        <w:spacing w:line="440" w:lineRule="exact"/>
        <w:ind w:firstLine="480" w:firstLineChars="200"/>
        <w:rPr>
          <w:rFonts w:hint="eastAsia" w:ascii="宋体" w:hAnsi="宋体" w:cs="宋体"/>
          <w:color w:val="auto"/>
          <w:kern w:val="0"/>
          <w:sz w:val="24"/>
        </w:rPr>
      </w:pPr>
      <w:r>
        <w:rPr>
          <w:rFonts w:hint="eastAsia" w:ascii="宋体" w:hAnsi="宋体" w:cs="宋体"/>
          <w:color w:val="auto"/>
          <w:sz w:val="24"/>
        </w:rPr>
        <w:t>12.1</w:t>
      </w:r>
      <w:r>
        <w:rPr>
          <w:rFonts w:hint="eastAsia" w:ascii="宋体" w:hAnsi="宋体" w:cs="宋体"/>
          <w:color w:val="auto"/>
          <w:kern w:val="0"/>
          <w:sz w:val="24"/>
        </w:rPr>
        <w:t>按招标文件“第三章 商务条款”执行。</w:t>
      </w:r>
    </w:p>
    <w:p w14:paraId="3D05D189">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13.价格</w:t>
      </w:r>
    </w:p>
    <w:p w14:paraId="1315346A">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13.1 卖方在本合同项下提交货物和履行服务的价格按中标通知书的所列值在合同中给出。</w:t>
      </w:r>
    </w:p>
    <w:p w14:paraId="353B820B">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14.变更指令</w:t>
      </w:r>
    </w:p>
    <w:p w14:paraId="60CB4A42">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14.1 买方可以在任何时候书面向卖方发出指令，在本合同的一般范围内变更下述一项或几项：</w:t>
      </w:r>
    </w:p>
    <w:p w14:paraId="6D1F2892">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1）本合同项下提供的货物是专为买方制造时，变更图纸、设计或规格；</w:t>
      </w:r>
    </w:p>
    <w:p w14:paraId="61E5C0F0">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2）运输或包装的方法；</w:t>
      </w:r>
    </w:p>
    <w:p w14:paraId="0A3CF4B0">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3）交货地点；</w:t>
      </w:r>
    </w:p>
    <w:p w14:paraId="15F9177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4）卖方提供的服务。</w:t>
      </w:r>
    </w:p>
    <w:p w14:paraId="68FCDC6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4D132C83">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15.合同修改</w:t>
      </w:r>
    </w:p>
    <w:p w14:paraId="07EC7D9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15.1 除了合同条款第14条的情况，不应对合同条款进行任何变更或修改，除非双方同意并签订书面的合同修改书。</w:t>
      </w:r>
    </w:p>
    <w:p w14:paraId="443F0E74">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16.转让</w:t>
      </w:r>
    </w:p>
    <w:p w14:paraId="7576ED9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16.1 未经买方事先书面同意，卖方不得部分转让或全部转让其应履行的合同义务。</w:t>
      </w:r>
    </w:p>
    <w:p w14:paraId="032FEEA6">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17.分包</w:t>
      </w:r>
    </w:p>
    <w:p w14:paraId="3AD5CBB4">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17.1 对投标文件中没有明确分包的合同，卖方应书面通知买方其在本合同中将分包的全部分包合同，并需经买方同意，但此分包通知并不能解除卖方履行本合同的责任和义务。</w:t>
      </w:r>
    </w:p>
    <w:p w14:paraId="4637CDC3">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18.卖方履约延误</w:t>
      </w:r>
    </w:p>
    <w:p w14:paraId="6DBC5671">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 卖方应按照合同中规定的交货时间和服务要求按时交货和提供服务。</w:t>
      </w:r>
    </w:p>
    <w:p w14:paraId="0D71890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41C7CB10">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18.3 除合同条款第21条规定的情况外,除非拖延是根据合同条款第18.2条的规定取得同意而不收取误期赔偿费之外，卖方延误交货，将按合同条款第19条的规定被收取误期赔偿费。</w:t>
      </w:r>
    </w:p>
    <w:p w14:paraId="14F0E127">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19.误期赔偿费</w:t>
      </w:r>
    </w:p>
    <w:p w14:paraId="0667191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5A152870">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20.违约终止合同</w:t>
      </w:r>
    </w:p>
    <w:p w14:paraId="7A3EC49B">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20.1 在买方对卖方违约而采取的任何补救措施不受影响的情况下，买方可向卖方发出书面违约通知书，提出终止部分或全部合同：</w:t>
      </w:r>
    </w:p>
    <w:p w14:paraId="3761826A">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1）如果卖方未能在合同规定的期限内或买方根据合同条款第18.2条的规定同意延长的期限内提供部分或全部货物；</w:t>
      </w:r>
    </w:p>
    <w:p w14:paraId="2346517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2）如果卖方未能履行合同规定的其它任何义务。</w:t>
      </w:r>
    </w:p>
    <w:p w14:paraId="4886347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3）如果买方认为卖方在本合同的竞争和实施过程中有腐败和欺诈行为。为此目的，定义下述条件：</w:t>
      </w:r>
    </w:p>
    <w:p w14:paraId="22D41DBA">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“腐败行为”是指提供、给予、接受或索取任何有价值的物品来影响买方在采购过程或合同实施过程中的行为。</w:t>
      </w:r>
    </w:p>
    <w:p w14:paraId="79AD019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“欺诈行为”是指为了影响采购过程或合同实施过程而谎报或隐瞒事实，损害买方利益的行为。</w:t>
      </w:r>
    </w:p>
    <w:p w14:paraId="1E0A51D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30E921BB">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21.不可抗力</w:t>
      </w:r>
    </w:p>
    <w:p w14:paraId="0378E45E">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07E71DA0">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23F87AAE">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21.3 因合同一方迟延履行合同后发生不可抗力的，不能免除迟延履行方的相应责任。</w:t>
      </w:r>
    </w:p>
    <w:p w14:paraId="5C8AB4E5">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22.因破产而终止合同</w:t>
      </w:r>
    </w:p>
    <w:p w14:paraId="2244623C">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14:paraId="130BF1FC">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23.因买方的便利而终止合同</w:t>
      </w:r>
    </w:p>
    <w:p w14:paraId="68D4ECD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23.1 买方可在任何时候出于自身的便利向卖方发出书面通知全部或部分终止合同，终止通知应明确该终止合同是出于买方的便利，并明确合同终止的程度，以及终止的生效日期。</w:t>
      </w:r>
    </w:p>
    <w:p w14:paraId="06D1359A">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23.2 对卖方收到终止通知后三十（30）天内已完成并准备装运的货物，买方应按原合同价格和条款予以接收，对于剩下的货物，买方可：</w:t>
      </w:r>
    </w:p>
    <w:p w14:paraId="6DEAF122">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1）仅对部分货物按照原来的合同价格和条款予以接受；或</w:t>
      </w:r>
    </w:p>
    <w:p w14:paraId="33345654">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2）取消对所剩货物的采购，并按双方商定的金额向卖方支付部分完成的货物和服务以及卖方以前已采购的材料和部件的费用。</w:t>
      </w:r>
    </w:p>
    <w:p w14:paraId="116ED2A1">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24.因其他原因而终止合同</w:t>
      </w:r>
    </w:p>
    <w:p w14:paraId="777F67A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卖方应充分考虑到因国家政策变化、实施环境变化、重大技术变化等因素导致项目无法实施而终止项目的情况，因上述原因导致项目终止的，风险由卖方自行承担。</w:t>
      </w:r>
    </w:p>
    <w:p w14:paraId="56FBFA92">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25.争议的解决</w:t>
      </w:r>
    </w:p>
    <w:p w14:paraId="3F27BD3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25.1 因执行本合同所发生的与本合同有关的一切争议,双方应通过友好协商解决。如果协商开始后还不能解决，任何一方均可按中华人民共和国有关法律的规定提交仲裁。</w:t>
      </w:r>
    </w:p>
    <w:p w14:paraId="54021E2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25.2 仲裁裁决应为最终裁决，对双方均具有约束力。</w:t>
      </w:r>
    </w:p>
    <w:p w14:paraId="59C775B2">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25.3 仲裁费除仲裁机关另有裁决外均应由败诉方负担。</w:t>
      </w:r>
    </w:p>
    <w:p w14:paraId="601F73D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25.4 在仲裁期间，除正在进行仲裁的部分外，本合同其它部分应继续执行。</w:t>
      </w:r>
    </w:p>
    <w:p w14:paraId="2083919E">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26.适用法律</w:t>
      </w:r>
    </w:p>
    <w:p w14:paraId="64F0999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26.1 本合同应按照中华人民共和国的现行法律进行解释。</w:t>
      </w:r>
    </w:p>
    <w:p w14:paraId="2571FC78">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27.通知</w:t>
      </w:r>
    </w:p>
    <w:p w14:paraId="398DE4B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27.1 本合同一方给对方的通知应用书面形式送到合同条款中规定的对方的地址。传真要经书面确认。</w:t>
      </w:r>
    </w:p>
    <w:p w14:paraId="2AEECF21">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27.2 通知以送到日期或通知书的生效日期为生效日期，两者中以晚的一个日期为准。</w:t>
      </w:r>
    </w:p>
    <w:p w14:paraId="2168C960">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28.税款</w:t>
      </w:r>
    </w:p>
    <w:p w14:paraId="07F226B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28.1 按照中华人民共和国税法和有关部门的规定，买方需交纳的与本合同有关的一切税费均应由买方负担。</w:t>
      </w:r>
    </w:p>
    <w:p w14:paraId="744A1FD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28.2 按照中华人民共和国税法和有关部门的规定，卖方需交纳的与本合同有关的一切税费均应由卖方负担。</w:t>
      </w:r>
    </w:p>
    <w:p w14:paraId="605E2E35">
      <w:pPr>
        <w:autoSpaceDN w:val="0"/>
        <w:adjustRightInd w:val="0"/>
        <w:snapToGrid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29.合同生效</w:t>
      </w:r>
    </w:p>
    <w:p w14:paraId="254486CC">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29.1 本合同应在买卖双方共同签字并盖章后生效。</w:t>
      </w:r>
    </w:p>
    <w:p w14:paraId="73D6CE85">
      <w:pPr>
        <w:pStyle w:val="8"/>
        <w:spacing w:after="0" w:line="440" w:lineRule="exact"/>
        <w:ind w:left="0" w:leftChars="0" w:firstLine="0" w:firstLineChars="0"/>
        <w:rPr>
          <w:rFonts w:hint="eastAsia" w:ascii="宋体" w:hAnsi="宋体" w:cs="宋体"/>
          <w:color w:val="auto"/>
          <w:kern w:val="0"/>
          <w:sz w:val="24"/>
        </w:rPr>
      </w:pPr>
    </w:p>
    <w:p w14:paraId="7B6FD0C9">
      <w:pPr>
        <w:spacing w:line="440" w:lineRule="exact"/>
        <w:rPr>
          <w:rFonts w:hint="eastAsia" w:ascii="宋体" w:hAnsi="宋体" w:cs="宋体"/>
          <w:color w:val="auto"/>
          <w:sz w:val="24"/>
        </w:rPr>
      </w:pPr>
      <w:r>
        <w:rPr>
          <w:rFonts w:hint="eastAsia" w:ascii="宋体" w:hAnsi="宋体" w:cs="宋体"/>
          <w:color w:val="auto"/>
          <w:kern w:val="0"/>
          <w:sz w:val="24"/>
        </w:rPr>
        <w:t>本合同为参考格式，最终合同将结合《招标文件》要求《投标文件》承诺及采购人要求综合制定。</w:t>
      </w:r>
    </w:p>
    <w:p w14:paraId="7EB48931">
      <w:pPr>
        <w:rPr>
          <w:rFonts w:hint="eastAsia" w:ascii="仿宋" w:hAnsi="仿宋" w:eastAsia="仿宋" w:cs="仿宋"/>
        </w:rPr>
      </w:pPr>
    </w:p>
    <w:p w14:paraId="2C85BCF0">
      <w:pPr>
        <w:ind w:firstLine="480" w:firstLineChars="150"/>
        <w:jc w:val="center"/>
        <w:rPr>
          <w:color w:val="000000"/>
          <w:sz w:val="32"/>
          <w:szCs w:val="32"/>
        </w:rPr>
      </w:pPr>
    </w:p>
    <w:p w14:paraId="44D30CC4">
      <w:pPr>
        <w:ind w:firstLine="480" w:firstLineChars="150"/>
        <w:jc w:val="center"/>
        <w:rPr>
          <w:color w:val="000000"/>
          <w:sz w:val="32"/>
          <w:szCs w:val="32"/>
        </w:rPr>
      </w:pPr>
    </w:p>
    <w:p w14:paraId="5F2664CD">
      <w:pPr>
        <w:ind w:firstLine="480" w:firstLineChars="150"/>
        <w:jc w:val="center"/>
        <w:rPr>
          <w:color w:val="000000"/>
          <w:sz w:val="32"/>
          <w:szCs w:val="32"/>
        </w:rPr>
      </w:pPr>
    </w:p>
    <w:p w14:paraId="40CF7596">
      <w:pPr>
        <w:ind w:firstLine="480" w:firstLineChars="150"/>
        <w:jc w:val="center"/>
        <w:rPr>
          <w:color w:val="000000"/>
          <w:sz w:val="32"/>
          <w:szCs w:val="32"/>
        </w:rPr>
      </w:pPr>
    </w:p>
    <w:p w14:paraId="11F322DD">
      <w:pPr>
        <w:rPr>
          <w:color w:val="000000"/>
          <w:sz w:val="32"/>
          <w:szCs w:val="32"/>
        </w:rPr>
      </w:pPr>
      <w:r>
        <w:rPr>
          <w:color w:val="000000"/>
          <w:sz w:val="32"/>
          <w:szCs w:val="32"/>
        </w:rPr>
        <w:br w:type="page"/>
      </w:r>
    </w:p>
    <w:p w14:paraId="4FF14690">
      <w:pPr>
        <w:ind w:firstLine="452" w:firstLineChars="150"/>
        <w:jc w:val="center"/>
        <w:rPr>
          <w:rFonts w:hint="eastAsia" w:ascii="仿宋" w:hAnsi="仿宋" w:eastAsia="仿宋" w:cs="仿宋"/>
          <w:color w:val="000000"/>
          <w:sz w:val="24"/>
          <w:szCs w:val="24"/>
        </w:rPr>
      </w:pPr>
      <w:r>
        <w:rPr>
          <w:rFonts w:hint="eastAsia" w:ascii="仿宋" w:hAnsi="仿宋" w:eastAsia="仿宋" w:cs="仿宋"/>
          <w:b/>
          <w:bCs/>
          <w:color w:val="000000"/>
          <w:sz w:val="30"/>
          <w:szCs w:val="30"/>
        </w:rPr>
        <w:t>××技术协议</w:t>
      </w:r>
    </w:p>
    <w:p w14:paraId="692562CF">
      <w:pPr>
        <w:ind w:firstLine="361" w:firstLineChars="150"/>
        <w:rPr>
          <w:rFonts w:hint="eastAsia" w:ascii="仿宋" w:hAnsi="仿宋" w:eastAsia="仿宋" w:cs="仿宋"/>
          <w:b/>
          <w:color w:val="FF0000"/>
          <w:sz w:val="24"/>
          <w:szCs w:val="24"/>
        </w:rPr>
      </w:pPr>
      <w:r>
        <w:rPr>
          <w:rFonts w:hint="eastAsia" w:ascii="仿宋" w:hAnsi="仿宋" w:eastAsia="仿宋" w:cs="仿宋"/>
          <w:b/>
          <w:color w:val="FF0000"/>
          <w:sz w:val="24"/>
          <w:szCs w:val="24"/>
        </w:rPr>
        <w:t>注：若技术参数等内容较少并能在合同中准确完整的描述，则不需单独签订技术协议。</w:t>
      </w:r>
    </w:p>
    <w:p w14:paraId="2AEED9DE">
      <w:pPr>
        <w:tabs>
          <w:tab w:val="left" w:pos="2880"/>
        </w:tabs>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甲方：</w:t>
      </w:r>
      <w:r>
        <w:rPr>
          <w:rFonts w:hint="eastAsia" w:ascii="仿宋" w:hAnsi="仿宋" w:eastAsia="仿宋" w:cs="仿宋"/>
          <w:color w:val="000000"/>
          <w:sz w:val="24"/>
          <w:szCs w:val="24"/>
          <w:lang w:eastAsia="zh-CN"/>
        </w:rPr>
        <w:t>西安航空职业技术学院</w:t>
      </w:r>
      <w:r>
        <w:rPr>
          <w:rFonts w:hint="eastAsia" w:ascii="仿宋" w:hAnsi="仿宋" w:eastAsia="仿宋" w:cs="仿宋"/>
          <w:color w:val="000000"/>
          <w:sz w:val="24"/>
          <w:szCs w:val="24"/>
        </w:rPr>
        <w:tab/>
      </w:r>
    </w:p>
    <w:p w14:paraId="2D6C6143">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乙方：××公司</w:t>
      </w:r>
    </w:p>
    <w:p w14:paraId="3557980E">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西安航空职业技术学院</w:t>
      </w:r>
      <w:r>
        <w:rPr>
          <w:rFonts w:hint="eastAsia" w:ascii="仿宋" w:hAnsi="仿宋" w:eastAsia="仿宋" w:cs="仿宋"/>
          <w:color w:val="000000"/>
          <w:sz w:val="24"/>
          <w:szCs w:val="24"/>
        </w:rPr>
        <w:t>（以下简称甲方）和××公司（以下简称乙方）通过谈判，就甲方××院××购置，达成以下技术协议：</w:t>
      </w:r>
    </w:p>
    <w:p w14:paraId="7E10D6A1">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一、设备名称、规格型号、生产厂家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42FB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69ED5164">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270" w:type="dxa"/>
            <w:vAlign w:val="center"/>
          </w:tcPr>
          <w:p w14:paraId="15BE9169">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设备名称</w:t>
            </w:r>
          </w:p>
        </w:tc>
        <w:tc>
          <w:tcPr>
            <w:tcW w:w="2541" w:type="dxa"/>
            <w:vAlign w:val="center"/>
          </w:tcPr>
          <w:p w14:paraId="333437C8">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规格型号</w:t>
            </w:r>
          </w:p>
        </w:tc>
        <w:tc>
          <w:tcPr>
            <w:tcW w:w="2149" w:type="dxa"/>
            <w:vAlign w:val="center"/>
          </w:tcPr>
          <w:p w14:paraId="33A322E3">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生产厂家</w:t>
            </w:r>
          </w:p>
        </w:tc>
      </w:tr>
      <w:tr w14:paraId="4EF3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55B754EC">
            <w:pPr>
              <w:ind w:firstLine="360" w:firstLineChars="150"/>
              <w:rPr>
                <w:rFonts w:hint="eastAsia" w:ascii="仿宋" w:hAnsi="仿宋" w:eastAsia="仿宋" w:cs="仿宋"/>
                <w:color w:val="000000"/>
                <w:sz w:val="24"/>
                <w:szCs w:val="24"/>
              </w:rPr>
            </w:pPr>
          </w:p>
        </w:tc>
        <w:tc>
          <w:tcPr>
            <w:tcW w:w="2270" w:type="dxa"/>
            <w:vAlign w:val="center"/>
          </w:tcPr>
          <w:p w14:paraId="56E647C4">
            <w:pPr>
              <w:ind w:firstLine="360" w:firstLineChars="150"/>
              <w:rPr>
                <w:rFonts w:hint="eastAsia" w:ascii="仿宋" w:hAnsi="仿宋" w:eastAsia="仿宋" w:cs="仿宋"/>
                <w:color w:val="000000"/>
                <w:sz w:val="24"/>
                <w:szCs w:val="24"/>
              </w:rPr>
            </w:pPr>
          </w:p>
        </w:tc>
        <w:tc>
          <w:tcPr>
            <w:tcW w:w="2541" w:type="dxa"/>
            <w:vAlign w:val="center"/>
          </w:tcPr>
          <w:p w14:paraId="71BC0569">
            <w:pPr>
              <w:ind w:firstLine="360" w:firstLineChars="150"/>
              <w:rPr>
                <w:rFonts w:hint="eastAsia" w:ascii="仿宋" w:hAnsi="仿宋" w:eastAsia="仿宋" w:cs="仿宋"/>
                <w:color w:val="000000"/>
                <w:sz w:val="24"/>
                <w:szCs w:val="24"/>
              </w:rPr>
            </w:pPr>
          </w:p>
        </w:tc>
        <w:tc>
          <w:tcPr>
            <w:tcW w:w="2149" w:type="dxa"/>
            <w:vAlign w:val="center"/>
          </w:tcPr>
          <w:p w14:paraId="0B2193A7">
            <w:pPr>
              <w:ind w:firstLine="360" w:firstLineChars="150"/>
              <w:rPr>
                <w:rFonts w:hint="eastAsia" w:ascii="仿宋" w:hAnsi="仿宋" w:eastAsia="仿宋" w:cs="仿宋"/>
                <w:color w:val="000000"/>
                <w:sz w:val="24"/>
                <w:szCs w:val="24"/>
              </w:rPr>
            </w:pPr>
          </w:p>
        </w:tc>
      </w:tr>
    </w:tbl>
    <w:p w14:paraId="0E800982">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二、设备配置及技术指标:</w:t>
      </w:r>
    </w:p>
    <w:p w14:paraId="792C00D8">
      <w:pPr>
        <w:ind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1、××××××××××；</w:t>
      </w:r>
    </w:p>
    <w:p w14:paraId="487FAA1F">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w:t>
      </w:r>
    </w:p>
    <w:p w14:paraId="727D677C">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3、××××××××××。</w:t>
      </w:r>
    </w:p>
    <w:p w14:paraId="446DE176">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三、解决协议纠纷方式：双方友好协商解决，协商未果由西安市仲裁委员会仲裁。</w:t>
      </w:r>
    </w:p>
    <w:p w14:paraId="06CD22FF">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四、其它事项</w:t>
      </w:r>
    </w:p>
    <w:p w14:paraId="1B298D56">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1、本协议作为设备购置合同附件与合同同时生效。</w:t>
      </w:r>
    </w:p>
    <w:p w14:paraId="2D4218F2">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2、本协议一式七份，甲方五份，乙方一份，代理机构一份，经甲、乙双方签字盖章后生效。</w:t>
      </w:r>
    </w:p>
    <w:p w14:paraId="533F91EE">
      <w:pPr>
        <w:ind w:firstLine="360" w:firstLineChars="150"/>
        <w:rPr>
          <w:rFonts w:hint="eastAsia" w:ascii="仿宋" w:hAnsi="仿宋" w:eastAsia="仿宋" w:cs="仿宋"/>
          <w:color w:val="000000"/>
          <w:sz w:val="24"/>
          <w:szCs w:val="24"/>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432A5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2299ACA5">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甲  方</w:t>
            </w:r>
          </w:p>
        </w:tc>
        <w:tc>
          <w:tcPr>
            <w:tcW w:w="4829" w:type="dxa"/>
            <w:tcBorders>
              <w:top w:val="nil"/>
              <w:left w:val="nil"/>
              <w:bottom w:val="nil"/>
              <w:right w:val="nil"/>
            </w:tcBorders>
            <w:vAlign w:val="center"/>
          </w:tcPr>
          <w:p w14:paraId="757032C4">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乙  方</w:t>
            </w:r>
          </w:p>
        </w:tc>
      </w:tr>
      <w:tr w14:paraId="3FED9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0BD82AAA">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单位名称：</w:t>
            </w:r>
            <w:r>
              <w:rPr>
                <w:rFonts w:hint="eastAsia" w:ascii="仿宋" w:hAnsi="仿宋" w:eastAsia="仿宋" w:cs="仿宋"/>
                <w:color w:val="000000"/>
                <w:sz w:val="24"/>
                <w:szCs w:val="24"/>
                <w:lang w:eastAsia="zh-CN"/>
              </w:rPr>
              <w:t>西安航空职业技术学院</w:t>
            </w:r>
            <w:r>
              <w:rPr>
                <w:rFonts w:hint="eastAsia" w:ascii="仿宋" w:hAnsi="仿宋" w:eastAsia="仿宋" w:cs="仿宋"/>
                <w:color w:val="000000"/>
                <w:sz w:val="24"/>
                <w:szCs w:val="24"/>
              </w:rPr>
              <w:t>XXXX（部门）</w:t>
            </w:r>
          </w:p>
        </w:tc>
        <w:tc>
          <w:tcPr>
            <w:tcW w:w="4829" w:type="dxa"/>
            <w:tcBorders>
              <w:top w:val="nil"/>
              <w:left w:val="nil"/>
              <w:bottom w:val="nil"/>
              <w:right w:val="nil"/>
            </w:tcBorders>
            <w:vAlign w:val="center"/>
          </w:tcPr>
          <w:p w14:paraId="2B44027A">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单位名称：××公司</w:t>
            </w:r>
          </w:p>
        </w:tc>
      </w:tr>
      <w:tr w14:paraId="716DB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4CEDC05">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地    址：</w:t>
            </w:r>
          </w:p>
        </w:tc>
        <w:tc>
          <w:tcPr>
            <w:tcW w:w="4829" w:type="dxa"/>
            <w:tcBorders>
              <w:top w:val="nil"/>
              <w:left w:val="nil"/>
              <w:bottom w:val="nil"/>
              <w:right w:val="nil"/>
            </w:tcBorders>
            <w:vAlign w:val="center"/>
          </w:tcPr>
          <w:p w14:paraId="7F2C26E8">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地    址： </w:t>
            </w:r>
          </w:p>
        </w:tc>
      </w:tr>
      <w:tr w14:paraId="7BA32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DA36484">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代表人：</w:t>
            </w:r>
          </w:p>
        </w:tc>
        <w:tc>
          <w:tcPr>
            <w:tcW w:w="4829" w:type="dxa"/>
            <w:tcBorders>
              <w:top w:val="nil"/>
              <w:left w:val="nil"/>
              <w:bottom w:val="nil"/>
              <w:right w:val="nil"/>
            </w:tcBorders>
            <w:vAlign w:val="center"/>
          </w:tcPr>
          <w:p w14:paraId="2BBB192A">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代表人： </w:t>
            </w:r>
          </w:p>
        </w:tc>
      </w:tr>
      <w:tr w14:paraId="3933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B8119C0">
            <w:pPr>
              <w:ind w:firstLine="360" w:firstLineChars="15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联系电话：</w:t>
            </w:r>
          </w:p>
        </w:tc>
        <w:tc>
          <w:tcPr>
            <w:tcW w:w="4829" w:type="dxa"/>
            <w:tcBorders>
              <w:top w:val="nil"/>
              <w:left w:val="nil"/>
              <w:bottom w:val="nil"/>
              <w:right w:val="nil"/>
            </w:tcBorders>
            <w:vAlign w:val="center"/>
          </w:tcPr>
          <w:p w14:paraId="57D43532">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p>
        </w:tc>
      </w:tr>
      <w:tr w14:paraId="5A4F2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4DDC098">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20</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 xml:space="preserve">  年    月    日</w:t>
            </w:r>
          </w:p>
        </w:tc>
        <w:tc>
          <w:tcPr>
            <w:tcW w:w="4829" w:type="dxa"/>
            <w:tcBorders>
              <w:top w:val="nil"/>
              <w:left w:val="nil"/>
              <w:bottom w:val="nil"/>
              <w:right w:val="nil"/>
            </w:tcBorders>
            <w:vAlign w:val="center"/>
          </w:tcPr>
          <w:p w14:paraId="5E59723E">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20</w:t>
            </w:r>
            <w:r>
              <w:rPr>
                <w:rFonts w:hint="eastAsia" w:ascii="仿宋" w:hAnsi="仿宋" w:eastAsia="仿宋" w:cs="仿宋"/>
                <w:color w:val="000000"/>
                <w:sz w:val="24"/>
                <w:szCs w:val="24"/>
                <w:lang w:val="en-US" w:eastAsia="zh-CN"/>
              </w:rPr>
              <w:t xml:space="preserve">2  </w:t>
            </w:r>
            <w:r>
              <w:rPr>
                <w:rFonts w:hint="eastAsia" w:ascii="仿宋" w:hAnsi="仿宋" w:eastAsia="仿宋" w:cs="仿宋"/>
                <w:color w:val="000000"/>
                <w:sz w:val="24"/>
                <w:szCs w:val="24"/>
              </w:rPr>
              <w:t>年   月    日</w:t>
            </w:r>
          </w:p>
        </w:tc>
      </w:tr>
    </w:tbl>
    <w:p w14:paraId="5C5F77DD">
      <w:pPr>
        <w:ind w:firstLine="360" w:firstLineChars="150"/>
        <w:rPr>
          <w:color w:val="000000"/>
          <w:sz w:val="24"/>
        </w:rPr>
      </w:pPr>
    </w:p>
    <w:p w14:paraId="36F5D754"/>
    <w:p w14:paraId="6B523144"/>
    <w:p w14:paraId="3DBCD4DE">
      <w:pPr>
        <w:pStyle w:val="11"/>
        <w:rPr>
          <w:rFonts w:hint="eastAsia" w:ascii="仿宋" w:hAnsi="仿宋" w:eastAsia="仿宋" w:cs="仿宋"/>
          <w:lang w:val="en-US" w:eastAsia="zh-Hans"/>
        </w:rPr>
      </w:pPr>
    </w:p>
    <w:p w14:paraId="01A1D252">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B74D56CA-C491-4E03-BC61-29E935BFDF2F}"/>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4049E3C1-3F9F-40F4-89BE-35CB7EF3E95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1DA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C778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8C778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110FC"/>
    <w:rsid w:val="10D3688E"/>
    <w:rsid w:val="11970673"/>
    <w:rsid w:val="1E6B727F"/>
    <w:rsid w:val="27344CEA"/>
    <w:rsid w:val="28986EB5"/>
    <w:rsid w:val="3535491E"/>
    <w:rsid w:val="4BAB5215"/>
    <w:rsid w:val="511222EA"/>
    <w:rsid w:val="79B50E11"/>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paragraph" w:styleId="3">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tabs>
        <w:tab w:val="left" w:pos="720"/>
      </w:tabs>
      <w:spacing w:line="0" w:lineRule="atLeast"/>
    </w:pPr>
    <w:rPr>
      <w:sz w:val="28"/>
    </w:rPr>
  </w:style>
  <w:style w:type="paragraph" w:styleId="5">
    <w:name w:val="Body Text Indent"/>
    <w:basedOn w:val="1"/>
    <w:qFormat/>
    <w:uiPriority w:val="0"/>
    <w:pPr>
      <w:spacing w:after="120"/>
      <w:ind w:left="420" w:leftChars="200"/>
    </w:pPr>
  </w:style>
  <w:style w:type="paragraph" w:styleId="6">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2"/>
    <w:basedOn w:val="5"/>
    <w:unhideWhenUsed/>
    <w:qFormat/>
    <w:uiPriority w:val="0"/>
    <w:pPr>
      <w:ind w:firstLine="420" w:firstLineChars="200"/>
    </w:pPr>
    <w:rPr>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标题 1 Char"/>
    <w:qFormat/>
    <w:locked/>
    <w:uiPriority w:val="99"/>
    <w:rPr>
      <w:rFonts w:ascii="Calibri" w:hAnsi="Calibri" w:cs="Calibri"/>
      <w:b/>
      <w:bCs/>
      <w:kern w:val="44"/>
      <w:sz w:val="44"/>
      <w:szCs w:val="44"/>
    </w:rPr>
  </w:style>
  <w:style w:type="paragraph" w:customStyle="1" w:styleId="13">
    <w:name w:val="纯文本1"/>
    <w:basedOn w:val="1"/>
    <w:qFormat/>
    <w:uiPriority w:val="0"/>
    <w:rPr>
      <w:rFonts w:ascii="宋体" w:hAnsi="Courier New" w:eastAsia="宋体" w:cs="Times New Roman"/>
      <w:szCs w:val="22"/>
    </w:rPr>
  </w:style>
  <w:style w:type="paragraph" w:customStyle="1" w:styleId="14">
    <w:name w:val="Char Char4 Char Char Char Char"/>
    <w:basedOn w:val="1"/>
    <w:qFormat/>
    <w:uiPriority w:val="0"/>
    <w:pPr>
      <w:spacing w:line="440" w:lineRule="atLeast"/>
      <w:ind w:firstLine="482" w:firstLineChars="200"/>
    </w:pPr>
    <w:rPr>
      <w:b/>
      <w:color w:val="000000"/>
      <w:sz w:val="24"/>
    </w:rPr>
  </w:style>
  <w:style w:type="paragraph" w:customStyle="1" w:styleId="15">
    <w:name w:val=" Char Char4 Char Char Char Char"/>
    <w:basedOn w:val="1"/>
    <w:qFormat/>
    <w:uiPriority w:val="0"/>
    <w:pPr>
      <w:spacing w:line="440" w:lineRule="atLeast"/>
      <w:ind w:firstLine="482" w:firstLineChars="200"/>
    </w:pPr>
    <w:rPr>
      <w:b/>
      <w:color w:val="00000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5659</Words>
  <Characters>5898</Characters>
  <Lines>0</Lines>
  <Paragraphs>0</Paragraphs>
  <TotalTime>0</TotalTime>
  <ScaleCrop>false</ScaleCrop>
  <LinksUpToDate>false</LinksUpToDate>
  <CharactersWithSpaces>6079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侯@_@!</cp:lastModifiedBy>
  <dcterms:modified xsi:type="dcterms:W3CDTF">2026-04-28T08:34:47Z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052C56BAA3824F2582F5696CE2CA195F_12</vt:lpwstr>
  </property>
  <property fmtid="{D5CDD505-2E9C-101B-9397-08002B2CF9AE}" pid="4" name="KSOTemplateDocerSaveRecord">
    <vt:lpwstr>eyJoZGlkIjoiZWE2M2VmODljZjg2ZDZlNWY1NzAyZjk2YzUyNWViZTMiLCJ1c2VySWQiOiIyNjA2MTU2NDgifQ==</vt:lpwstr>
  </property>
</Properties>
</file>