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版本号：ZMZB2026XJD-302.1B120260724001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地下空间及建筑室内空气品质测试实验平台采购项目(二次)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ZMZB2026XJD-302.1B1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地下空间及建筑室内空气品质测试实验平台采购项目(二次)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ZMZB2026XJD-302.1B1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地下空间及建筑室内空气品质测试实验平台采购项目(二次)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地下空间及建筑室内空气品质测试实验平台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采购包1（地下空间及建筑室内空气品质测试实验平台）：属于专门面向中小企业采购。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地下空间及建筑室内空气品质测试实验平台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地下空间及建筑室内空气品质测试实验平台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910,000.00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标的名称：地下空间及建筑室内空气品质测试实验平台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color w:val="000000"/>
              </w:rPr>
              <w:t>平台由</w:t>
            </w:r>
            <w:r>
              <w:rPr>
                <w:rFonts w:ascii="仿宋_GB2312" w:hAnsi="仿宋_GB2312" w:cs="仿宋_GB2312" w:eastAsia="仿宋_GB2312"/>
                <w:sz w:val="20"/>
              </w:rPr>
              <w:t>通风系统完整性检测系统、</w:t>
            </w:r>
            <w:r>
              <w:rPr>
                <w:rFonts w:ascii="仿宋_GB2312" w:hAnsi="仿宋_GB2312" w:cs="仿宋_GB2312" w:eastAsia="仿宋_GB2312"/>
                <w:sz w:val="20"/>
                <w:color w:val="000000"/>
              </w:rPr>
              <w:t>氡检测、</w:t>
            </w:r>
            <w:r>
              <w:rPr>
                <w:rFonts w:ascii="仿宋_GB2312" w:hAnsi="仿宋_GB2312" w:cs="仿宋_GB2312" w:eastAsia="仿宋_GB2312"/>
                <w:sz w:val="20"/>
              </w:rPr>
              <w:t>气溶胶与粉尘监测系统、人体健康影响评估系统等</w:t>
            </w:r>
            <w:r>
              <w:rPr>
                <w:rFonts w:ascii="仿宋_GB2312" w:hAnsi="仿宋_GB2312" w:cs="仿宋_GB2312" w:eastAsia="仿宋_GB2312"/>
                <w:sz w:val="20"/>
                <w:color w:val="000000"/>
              </w:rPr>
              <w:t>组成，构建</w:t>
            </w:r>
            <w:r>
              <w:rPr>
                <w:rFonts w:ascii="仿宋_GB2312" w:hAnsi="仿宋_GB2312" w:cs="仿宋_GB2312" w:eastAsia="仿宋_GB2312"/>
                <w:sz w:val="20"/>
                <w:color w:val="000000"/>
              </w:rPr>
              <w:t>“通风-氡检测-气溶胶检测-健康影响” 四位一体的全链条测试能力，实现空气品质核心参数的精准测量以及相关科研实验的系统化开展。</w:t>
            </w:r>
          </w:p>
          <w:p>
            <w:pPr>
              <w:pStyle w:val="null3"/>
              <w:jc w:val="both"/>
            </w:pPr>
            <w:r>
              <w:rPr>
                <w:rFonts w:ascii="仿宋_GB2312" w:hAnsi="仿宋_GB2312" w:cs="仿宋_GB2312" w:eastAsia="仿宋_GB2312"/>
                <w:sz w:val="20"/>
              </w:rPr>
              <w:t>主要部件技术参数</w:t>
            </w:r>
          </w:p>
          <w:p>
            <w:pPr>
              <w:pStyle w:val="null3"/>
              <w:jc w:val="both"/>
            </w:pPr>
            <w:r>
              <w:rPr>
                <w:rFonts w:ascii="仿宋_GB2312" w:hAnsi="仿宋_GB2312" w:cs="仿宋_GB2312" w:eastAsia="仿宋_GB2312"/>
                <w:sz w:val="20"/>
              </w:rPr>
              <w:t>1、通风系统完整性检测系统</w:t>
            </w:r>
          </w:p>
          <w:p>
            <w:pPr>
              <w:pStyle w:val="null3"/>
              <w:jc w:val="both"/>
            </w:pPr>
            <w:r>
              <w:rPr>
                <w:rFonts w:ascii="仿宋_GB2312" w:hAnsi="仿宋_GB2312" w:cs="仿宋_GB2312" w:eastAsia="仿宋_GB2312"/>
                <w:sz w:val="20"/>
              </w:rPr>
              <w:t>1.1、风量测试仪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1）测试风管直径：3~1200 cm；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2）压力量程：-3700Pa～＋3700Pa，精度：≤1Pa；</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 xml:space="preserve">3）大气压测量：量程 </w:t>
            </w:r>
            <w:r>
              <w:rPr>
                <w:rFonts w:ascii="仿宋_GB2312" w:hAnsi="仿宋_GB2312" w:cs="仿宋_GB2312" w:eastAsia="仿宋_GB2312"/>
                <w:sz w:val="20"/>
              </w:rPr>
              <w:t>700</w:t>
            </w: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0</w:t>
            </w:r>
            <w:r>
              <w:rPr>
                <w:rFonts w:ascii="仿宋_GB2312" w:hAnsi="仿宋_GB2312" w:cs="仿宋_GB2312" w:eastAsia="仿宋_GB2312"/>
                <w:sz w:val="20"/>
              </w:rPr>
              <w:t>0 hPa 。</w:t>
            </w:r>
          </w:p>
          <w:p>
            <w:pPr>
              <w:pStyle w:val="null3"/>
              <w:jc w:val="both"/>
            </w:pPr>
            <w:r>
              <w:rPr>
                <w:rFonts w:ascii="仿宋_GB2312" w:hAnsi="仿宋_GB2312" w:cs="仿宋_GB2312" w:eastAsia="仿宋_GB2312"/>
                <w:sz w:val="20"/>
              </w:rPr>
              <w:t>1.2、多路热电偶采集系统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1）信号输入通道：≥16路；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2）采集间隔：10ms～1小时可调。</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3）温度范围：-40℃~350℃，精度：≤1.5℃</w:t>
            </w:r>
          </w:p>
          <w:p>
            <w:pPr>
              <w:pStyle w:val="null3"/>
              <w:jc w:val="both"/>
            </w:pPr>
            <w:r>
              <w:rPr>
                <w:rFonts w:ascii="仿宋_GB2312" w:hAnsi="仿宋_GB2312" w:cs="仿宋_GB2312" w:eastAsia="仿宋_GB2312"/>
                <w:sz w:val="20"/>
              </w:rPr>
              <w:t>2、氡检测仪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1）氡浓度量程：0.1～20000pCi/L；</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2）内置采样泵：微处理器控制，定时/连续双模式采样；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3）采样周期：2~24小时可调。</w:t>
            </w:r>
          </w:p>
          <w:p>
            <w:pPr>
              <w:pStyle w:val="null3"/>
              <w:jc w:val="both"/>
            </w:pPr>
            <w:r>
              <w:rPr>
                <w:rFonts w:ascii="仿宋_GB2312" w:hAnsi="仿宋_GB2312" w:cs="仿宋_GB2312" w:eastAsia="仿宋_GB2312"/>
                <w:sz w:val="20"/>
              </w:rPr>
              <w:t>3、气溶胶与粉尘监测系统</w:t>
            </w:r>
          </w:p>
          <w:p>
            <w:pPr>
              <w:pStyle w:val="null3"/>
              <w:jc w:val="both"/>
            </w:pPr>
            <w:r>
              <w:rPr>
                <w:rFonts w:ascii="仿宋_GB2312" w:hAnsi="仿宋_GB2312" w:cs="仿宋_GB2312" w:eastAsia="仿宋_GB2312"/>
                <w:sz w:val="20"/>
              </w:rPr>
              <w:t>3.1、多通道气溶胶质量浓度检测仪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1）检测粒径：同步测量实时显示 PM1.0、PM2.5、PM10 质量浓度;（提供证明材料）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2）实时数据更新：≤1 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3）测试浓度范围：0.001～150mg/m³；（提供证明材料）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4）采样流量：≥2.5L/min；</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5）零点稳定度：24h 零点漂移≤0.002mg/m³；浓度分辨率≤0.001mg/m³；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6）内置称重采样盒可装滤膜尺寸:≥35 mm;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7）人机交互：彩色触摸屏</w:t>
            </w:r>
            <w:r>
              <w:rPr>
                <w:rFonts w:ascii="仿宋_GB2312" w:hAnsi="仿宋_GB2312" w:cs="仿宋_GB2312" w:eastAsia="仿宋_GB2312"/>
                <w:sz w:val="20"/>
              </w:rPr>
              <w:t>≥</w:t>
            </w:r>
            <w:r>
              <w:rPr>
                <w:rFonts w:ascii="仿宋_GB2312" w:hAnsi="仿宋_GB2312" w:cs="仿宋_GB2312" w:eastAsia="仿宋_GB2312"/>
                <w:sz w:val="20"/>
              </w:rPr>
              <w:t>5英寸，实时显示采样流量、激光器工作状态、各粒径实时浓度。</w:t>
            </w:r>
          </w:p>
          <w:p>
            <w:pPr>
              <w:pStyle w:val="null3"/>
              <w:jc w:val="both"/>
            </w:pPr>
            <w:r>
              <w:rPr>
                <w:rFonts w:ascii="仿宋_GB2312" w:hAnsi="仿宋_GB2312" w:cs="仿宋_GB2312" w:eastAsia="仿宋_GB2312"/>
                <w:sz w:val="20"/>
              </w:rPr>
              <w:t>3.2、个体暴露颗粒物检测仪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检测粒径：</w:t>
            </w:r>
            <w:r>
              <w:rPr>
                <w:rFonts w:ascii="仿宋_GB2312" w:hAnsi="仿宋_GB2312" w:cs="仿宋_GB2312" w:eastAsia="仿宋_GB2312"/>
                <w:sz w:val="20"/>
              </w:rPr>
              <w:t>PM4.0、PM5.0以及0.8μm 柴油机排放颗粒物，配套对应粒径切割头；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2）浓度测量范围：0.001~100mg/m³，分辨率≤ 0.001mg/m³；</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3）采样流量：0～1.5 L/min 连续可调。</w:t>
            </w:r>
          </w:p>
          <w:p>
            <w:pPr>
              <w:pStyle w:val="null3"/>
              <w:jc w:val="both"/>
            </w:pPr>
            <w:r>
              <w:rPr>
                <w:rFonts w:ascii="仿宋_GB2312" w:hAnsi="仿宋_GB2312" w:cs="仿宋_GB2312" w:eastAsia="仿宋_GB2312"/>
                <w:sz w:val="20"/>
              </w:rPr>
              <w:t>3.3、生物气溶胶监测仪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1）检测原理：激光诱导；</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2）检测粒径范围：0.5～10μm；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3）响应时间：≤30s。</w:t>
            </w:r>
          </w:p>
          <w:p>
            <w:pPr>
              <w:pStyle w:val="null3"/>
              <w:jc w:val="both"/>
            </w:pPr>
            <w:r>
              <w:rPr>
                <w:rFonts w:ascii="仿宋_GB2312" w:hAnsi="仿宋_GB2312" w:cs="仿宋_GB2312" w:eastAsia="仿宋_GB2312"/>
                <w:sz w:val="20"/>
              </w:rPr>
              <w:t>3.4、颗粒物表征监测仪</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1）表面积范围：0.0005m</w:t>
            </w:r>
            <w:r>
              <w:rPr>
                <w:rFonts w:ascii="仿宋_GB2312" w:hAnsi="仿宋_GB2312" w:cs="仿宋_GB2312" w:eastAsia="仿宋_GB2312"/>
                <w:sz w:val="20"/>
                <w:vertAlign w:val="superscript"/>
              </w:rPr>
              <w:t>2</w:t>
            </w:r>
            <w:r>
              <w:rPr>
                <w:rFonts w:ascii="仿宋_GB2312" w:hAnsi="仿宋_GB2312" w:cs="仿宋_GB2312" w:eastAsia="仿宋_GB2312"/>
                <w:sz w:val="20"/>
              </w:rPr>
              <w:t>/g～无上限，孔径范围：0.5～500 nm；孔体积：≤0.0001 cc/g；（提供证明材料）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2）具备进行样品吸脱附等温分析，P/P0 范围：1×10</w:t>
            </w:r>
            <w:r>
              <w:rPr>
                <w:rFonts w:ascii="仿宋_GB2312" w:hAnsi="仿宋_GB2312" w:cs="仿宋_GB2312" w:eastAsia="仿宋_GB2312"/>
                <w:sz w:val="20"/>
                <w:vertAlign w:val="superscript"/>
              </w:rPr>
              <w:t>-8</w:t>
            </w:r>
            <w:r>
              <w:rPr>
                <w:rFonts w:ascii="仿宋_GB2312" w:hAnsi="仿宋_GB2312" w:cs="仿宋_GB2312" w:eastAsia="仿宋_GB2312"/>
                <w:sz w:val="20"/>
              </w:rPr>
              <w:t>~0.999；</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3）分析站配置：</w:t>
            </w:r>
            <w:r>
              <w:rPr>
                <w:rFonts w:ascii="仿宋_GB2312" w:hAnsi="仿宋_GB2312" w:cs="仿宋_GB2312" w:eastAsia="仿宋_GB2312"/>
                <w:sz w:val="20"/>
              </w:rPr>
              <w:t>数量</w:t>
            </w:r>
            <w:r>
              <w:rPr>
                <w:rFonts w:ascii="仿宋_GB2312" w:hAnsi="仿宋_GB2312" w:cs="仿宋_GB2312" w:eastAsia="仿宋_GB2312"/>
                <w:sz w:val="20"/>
              </w:rPr>
              <w:t>≥1个，配置独立</w:t>
            </w:r>
            <w:r>
              <w:rPr>
                <w:rFonts w:ascii="仿宋_GB2312" w:hAnsi="仿宋_GB2312" w:cs="仿宋_GB2312" w:eastAsia="仿宋_GB2312"/>
                <w:sz w:val="20"/>
              </w:rPr>
              <w:t>1Torr+10Torr+1500Torr三级压力传感器，压力传感器分辨率：≤0.02%；（提供证明材料）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4）分析站测试灵敏度：≤2×10</w:t>
            </w:r>
            <w:r>
              <w:rPr>
                <w:rFonts w:ascii="仿宋_GB2312" w:hAnsi="仿宋_GB2312" w:cs="仿宋_GB2312" w:eastAsia="仿宋_GB2312"/>
                <w:sz w:val="20"/>
                <w:vertAlign w:val="superscript"/>
              </w:rPr>
              <w:t>-8</w:t>
            </w:r>
            <w:r>
              <w:rPr>
                <w:rFonts w:ascii="仿宋_GB2312" w:hAnsi="仿宋_GB2312" w:cs="仿宋_GB2312" w:eastAsia="仿宋_GB2312"/>
                <w:sz w:val="20"/>
              </w:rPr>
              <w:t>摩尔吸附</w:t>
            </w:r>
            <w:r>
              <w:rPr>
                <w:rFonts w:ascii="仿宋_GB2312" w:hAnsi="仿宋_GB2312" w:cs="仿宋_GB2312" w:eastAsia="仿宋_GB2312"/>
                <w:sz w:val="20"/>
              </w:rPr>
              <w:t>/脱附气体；</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5）分析站和PO站拥有各自独立测量的压力传感器和投气歧管，可实现P0值逐点校正，可实现同时分析功能；（提供证明材料）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6）分子泵抽气极限真空：≤3.75 x 10</w:t>
            </w:r>
            <w:r>
              <w:rPr>
                <w:rFonts w:ascii="仿宋_GB2312" w:hAnsi="仿宋_GB2312" w:cs="仿宋_GB2312" w:eastAsia="仿宋_GB2312"/>
                <w:sz w:val="20"/>
                <w:vertAlign w:val="superscript"/>
              </w:rPr>
              <w:t>-10</w:t>
            </w:r>
            <w:r>
              <w:rPr>
                <w:rFonts w:ascii="仿宋_GB2312" w:hAnsi="仿宋_GB2312" w:cs="仿宋_GB2312" w:eastAsia="仿宋_GB2312"/>
                <w:sz w:val="20"/>
              </w:rPr>
              <w:t xml:space="preserve"> </w:t>
            </w:r>
            <w:r>
              <w:rPr>
                <w:rFonts w:ascii="仿宋_GB2312" w:hAnsi="仿宋_GB2312" w:cs="仿宋_GB2312" w:eastAsia="仿宋_GB2312"/>
                <w:sz w:val="20"/>
              </w:rPr>
              <w:t>Torr；</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7）脱气站可实现对计算机软件进行控制，可针对处理时间、处理温度和抽空速率进行软件处理，实现预处理的程序升温全自动控制</w:t>
            </w:r>
            <w:r>
              <w:rPr>
                <w:rFonts w:ascii="仿宋_GB2312" w:hAnsi="仿宋_GB2312" w:cs="仿宋_GB2312" w:eastAsia="仿宋_GB2312"/>
                <w:sz w:val="20"/>
              </w:rPr>
              <w:t>，</w:t>
            </w:r>
            <w:r>
              <w:rPr>
                <w:rFonts w:ascii="仿宋_GB2312" w:hAnsi="仿宋_GB2312" w:cs="仿宋_GB2312" w:eastAsia="仿宋_GB2312"/>
                <w:sz w:val="20"/>
              </w:rPr>
              <w:t>内置</w:t>
            </w:r>
            <w:r>
              <w:rPr>
                <w:rFonts w:ascii="仿宋_GB2312" w:hAnsi="仿宋_GB2312" w:cs="仿宋_GB2312" w:eastAsia="仿宋_GB2312"/>
                <w:sz w:val="20"/>
              </w:rPr>
              <w:t>真空脱气站</w:t>
            </w:r>
            <w:r>
              <w:rPr>
                <w:rFonts w:ascii="仿宋_GB2312" w:hAnsi="仿宋_GB2312" w:cs="仿宋_GB2312" w:eastAsia="仿宋_GB2312"/>
                <w:sz w:val="20"/>
              </w:rPr>
              <w:t>数量</w:t>
            </w:r>
            <w:r>
              <w:rPr>
                <w:rFonts w:ascii="仿宋_GB2312" w:hAnsi="仿宋_GB2312" w:cs="仿宋_GB2312" w:eastAsia="仿宋_GB2312"/>
                <w:sz w:val="20"/>
              </w:rPr>
              <w:t>≥6</w:t>
            </w:r>
            <w:r>
              <w:rPr>
                <w:rFonts w:ascii="仿宋_GB2312" w:hAnsi="仿宋_GB2312" w:cs="仿宋_GB2312" w:eastAsia="仿宋_GB2312"/>
                <w:sz w:val="20"/>
              </w:rPr>
              <w:t>个</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8）数据处理器配置要求： 处理器I5</w:t>
            </w:r>
            <w:r>
              <w:rPr>
                <w:rFonts w:ascii="仿宋_GB2312" w:hAnsi="仿宋_GB2312" w:cs="仿宋_GB2312" w:eastAsia="仿宋_GB2312"/>
                <w:sz w:val="20"/>
              </w:rPr>
              <w:t>，</w:t>
            </w:r>
            <w:r>
              <w:rPr>
                <w:rFonts w:ascii="仿宋_GB2312" w:hAnsi="仿宋_GB2312" w:cs="仿宋_GB2312" w:eastAsia="仿宋_GB2312"/>
                <w:sz w:val="20"/>
              </w:rPr>
              <w:t>内存</w:t>
            </w:r>
            <w:r>
              <w:rPr>
                <w:rFonts w:ascii="仿宋_GB2312" w:hAnsi="仿宋_GB2312" w:cs="仿宋_GB2312" w:eastAsia="仿宋_GB2312"/>
                <w:sz w:val="20"/>
              </w:rPr>
              <w:t>≥</w:t>
            </w:r>
            <w:r>
              <w:rPr>
                <w:rFonts w:ascii="仿宋_GB2312" w:hAnsi="仿宋_GB2312" w:cs="仿宋_GB2312" w:eastAsia="仿宋_GB2312"/>
                <w:sz w:val="20"/>
              </w:rPr>
              <w:t>8G</w:t>
            </w:r>
            <w:r>
              <w:rPr>
                <w:rFonts w:ascii="仿宋_GB2312" w:hAnsi="仿宋_GB2312" w:cs="仿宋_GB2312" w:eastAsia="仿宋_GB2312"/>
                <w:sz w:val="20"/>
              </w:rPr>
              <w:t>，</w:t>
            </w:r>
            <w:r>
              <w:rPr>
                <w:rFonts w:ascii="仿宋_GB2312" w:hAnsi="仿宋_GB2312" w:cs="仿宋_GB2312" w:eastAsia="仿宋_GB2312"/>
                <w:sz w:val="20"/>
              </w:rPr>
              <w:t>硬盘</w:t>
            </w:r>
            <w:r>
              <w:rPr>
                <w:rFonts w:ascii="仿宋_GB2312" w:hAnsi="仿宋_GB2312" w:cs="仿宋_GB2312" w:eastAsia="仿宋_GB2312"/>
                <w:sz w:val="20"/>
              </w:rPr>
              <w:t>≥</w:t>
            </w:r>
            <w:r>
              <w:rPr>
                <w:rFonts w:ascii="仿宋_GB2312" w:hAnsi="仿宋_GB2312" w:cs="仿宋_GB2312" w:eastAsia="仿宋_GB2312"/>
                <w:sz w:val="20"/>
              </w:rPr>
              <w:t>1TB</w:t>
            </w:r>
            <w:r>
              <w:rPr>
                <w:rFonts w:ascii="仿宋_GB2312" w:hAnsi="仿宋_GB2312" w:cs="仿宋_GB2312" w:eastAsia="仿宋_GB2312"/>
                <w:sz w:val="20"/>
              </w:rPr>
              <w:t>，</w:t>
            </w:r>
            <w:r>
              <w:rPr>
                <w:rFonts w:ascii="仿宋_GB2312" w:hAnsi="仿宋_GB2312" w:cs="仿宋_GB2312" w:eastAsia="仿宋_GB2312"/>
                <w:sz w:val="20"/>
              </w:rPr>
              <w:t>显示器</w:t>
            </w:r>
            <w:r>
              <w:rPr>
                <w:rFonts w:ascii="仿宋_GB2312" w:hAnsi="仿宋_GB2312" w:cs="仿宋_GB2312" w:eastAsia="仿宋_GB2312"/>
                <w:sz w:val="20"/>
              </w:rPr>
              <w:t>≥</w:t>
            </w:r>
            <w:r>
              <w:rPr>
                <w:rFonts w:ascii="仿宋_GB2312" w:hAnsi="仿宋_GB2312" w:cs="仿宋_GB2312" w:eastAsia="仿宋_GB2312"/>
                <w:sz w:val="20"/>
              </w:rPr>
              <w:t>27寸</w:t>
            </w:r>
            <w:r>
              <w:rPr>
                <w:rFonts w:ascii="仿宋_GB2312" w:hAnsi="仿宋_GB2312" w:cs="仿宋_GB2312" w:eastAsia="仿宋_GB2312"/>
                <w:sz w:val="20"/>
              </w:rPr>
              <w:t>，</w:t>
            </w:r>
            <w:r>
              <w:rPr>
                <w:rFonts w:ascii="仿宋_GB2312" w:hAnsi="仿宋_GB2312" w:cs="仿宋_GB2312" w:eastAsia="仿宋_GB2312"/>
                <w:sz w:val="20"/>
              </w:rPr>
              <w:t>系统</w:t>
            </w:r>
            <w:r>
              <w:rPr>
                <w:rFonts w:ascii="仿宋_GB2312" w:hAnsi="仿宋_GB2312" w:cs="仿宋_GB2312" w:eastAsia="仿宋_GB2312"/>
                <w:sz w:val="20"/>
              </w:rPr>
              <w:t>Win10。</w:t>
            </w:r>
          </w:p>
          <w:p>
            <w:pPr>
              <w:pStyle w:val="null3"/>
              <w:jc w:val="both"/>
            </w:pPr>
            <w:r>
              <w:rPr>
                <w:rFonts w:ascii="仿宋_GB2312" w:hAnsi="仿宋_GB2312" w:cs="仿宋_GB2312" w:eastAsia="仿宋_GB2312"/>
                <w:sz w:val="20"/>
              </w:rPr>
              <w:t>4、人体健康影响评估系统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可对</w:t>
            </w:r>
            <w:r>
              <w:rPr>
                <w:rFonts w:ascii="仿宋_GB2312" w:hAnsi="仿宋_GB2312" w:cs="仿宋_GB2312" w:eastAsia="仿宋_GB2312"/>
                <w:sz w:val="20"/>
              </w:rPr>
              <w:t>生理</w:t>
            </w:r>
            <w:r>
              <w:rPr>
                <w:rFonts w:ascii="仿宋_GB2312" w:hAnsi="仿宋_GB2312" w:cs="仿宋_GB2312" w:eastAsia="仿宋_GB2312"/>
                <w:sz w:val="20"/>
              </w:rPr>
              <w:t>参数</w:t>
            </w:r>
            <w:r>
              <w:rPr>
                <w:rFonts w:ascii="仿宋_GB2312" w:hAnsi="仿宋_GB2312" w:cs="仿宋_GB2312" w:eastAsia="仿宋_GB2312"/>
                <w:sz w:val="20"/>
              </w:rPr>
              <w:t>及睡眠</w:t>
            </w:r>
            <w:r>
              <w:rPr>
                <w:rFonts w:ascii="仿宋_GB2312" w:hAnsi="仿宋_GB2312" w:cs="仿宋_GB2312" w:eastAsia="仿宋_GB2312"/>
                <w:sz w:val="20"/>
              </w:rPr>
              <w:t>参数进行</w:t>
            </w:r>
            <w:r>
              <w:rPr>
                <w:rFonts w:ascii="仿宋_GB2312" w:hAnsi="仿宋_GB2312" w:cs="仿宋_GB2312" w:eastAsia="仿宋_GB2312"/>
                <w:sz w:val="20"/>
              </w:rPr>
              <w:t>监测。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）监测特征值：睡眠、皮肤电、心率变异性、三轴加速度、体温等，实时同步采集；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）穿戴设计：模块化可腕带，多尺寸绑带适配不同体型，长时间佩戴无压迫不适感；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）测温精度：</w:t>
            </w:r>
            <w:r>
              <w:rPr>
                <w:rFonts w:ascii="仿宋_GB2312" w:hAnsi="仿宋_GB2312" w:cs="仿宋_GB2312" w:eastAsia="仿宋_GB2312"/>
                <w:sz w:val="20"/>
              </w:rPr>
              <w:t>≤0.1℃；</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）传感器采样指标：心率</w:t>
            </w:r>
            <w:r>
              <w:rPr>
                <w:rFonts w:ascii="仿宋_GB2312" w:hAnsi="仿宋_GB2312" w:cs="仿宋_GB2312" w:eastAsia="仿宋_GB2312"/>
                <w:sz w:val="20"/>
              </w:rPr>
              <w:t>PPG 采样率≥250Hz；三轴加速度计采样率≥250Hz，心电ECG采样率≥200Hz；</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）防水等级</w:t>
            </w:r>
            <w:r>
              <w:rPr>
                <w:rFonts w:ascii="仿宋_GB2312" w:hAnsi="仿宋_GB2312" w:cs="仿宋_GB2312" w:eastAsia="仿宋_GB2312"/>
                <w:sz w:val="20"/>
              </w:rPr>
              <w:t>IP67</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）存储与导出：内置</w:t>
            </w:r>
            <w:r>
              <w:rPr>
                <w:rFonts w:ascii="仿宋_GB2312" w:hAnsi="仿宋_GB2312" w:cs="仿宋_GB2312" w:eastAsia="仿宋_GB2312"/>
                <w:sz w:val="20"/>
              </w:rPr>
              <w:t>≥3GB 本地存储；数据支持 USB 、无线等方式导入电脑分析</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配置要求：</w:t>
            </w:r>
            <w:r>
              <w:rPr>
                <w:rFonts w:ascii="仿宋_GB2312" w:hAnsi="仿宋_GB2312" w:cs="仿宋_GB2312" w:eastAsia="仿宋_GB2312"/>
                <w:sz w:val="20"/>
              </w:rPr>
              <w:t>系统包含通风系统完整性检测系统、氡检测仪、气溶胶与粉尘监测系统、人体健康影响评估系统等及部分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color w:val="000000"/>
              </w:rPr>
              <w:t>注：</w:t>
            </w:r>
            <w:r>
              <w:rPr>
                <w:rFonts w:ascii="仿宋_GB2312" w:hAnsi="仿宋_GB2312" w:cs="仿宋_GB2312" w:eastAsia="仿宋_GB2312"/>
                <w:sz w:val="20"/>
                <w:b/>
                <w:color w:val="000000"/>
              </w:rPr>
              <w:t>1、以上技术参数与性能指标不允许负偏离，任意一项负偏离按无效投标处理。</w:t>
            </w:r>
          </w:p>
          <w:p>
            <w:pPr>
              <w:pStyle w:val="null3"/>
              <w:jc w:val="both"/>
            </w:pPr>
            <w:r>
              <w:rPr>
                <w:rFonts w:ascii="仿宋_GB2312" w:hAnsi="仿宋_GB2312" w:cs="仿宋_GB2312" w:eastAsia="仿宋_GB2312"/>
                <w:sz w:val="20"/>
                <w:b/>
                <w:color w:val="000000"/>
              </w:rPr>
              <w:t>2、证明材料为产品彩页、官网（功能）截图、检测报告、生产厂家盖章的技术白皮书其中任意一个(</w:t>
            </w:r>
            <w:r>
              <w:rPr>
                <w:rFonts w:ascii="仿宋_GB2312" w:hAnsi="仿宋_GB2312" w:cs="仿宋_GB2312" w:eastAsia="仿宋_GB2312"/>
                <w:sz w:val="20"/>
                <w:b/>
              </w:rPr>
              <w:t>技术参数与性能指标中对证明材料有要求的以要求的为准</w:t>
            </w:r>
            <w:r>
              <w:rPr>
                <w:rFonts w:ascii="仿宋_GB2312" w:hAnsi="仿宋_GB2312" w:cs="仿宋_GB2312" w:eastAsia="仿宋_GB2312"/>
                <w:sz w:val="20"/>
                <w:b/>
              </w:rPr>
              <w:t>)，</w:t>
            </w:r>
            <w:r>
              <w:rPr>
                <w:rFonts w:ascii="仿宋_GB2312" w:hAnsi="仿宋_GB2312" w:cs="仿宋_GB2312" w:eastAsia="仿宋_GB2312"/>
                <w:sz w:val="20"/>
                <w:b/>
                <w:color w:val="000000"/>
              </w:rPr>
              <w:t>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西安建筑科技大学低碳建筑环境国际合作联合实验室2楼2-3房间</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 3.供应商需提前通知验收，提供齐全有效相关资料（合格证、检测报告、计量校准证书等）后方可验收；核对仪器外观、数量与合同一致，无破损、短缺；性能需符合合同及说明书要求，逐项测试26个独立控制区域的温度与热流量控制精度、各控制模式切换功能、呼吸系统参数等，重复测试达标；资料真实完整，验收需在规定时限内完成，合格签署验收单，不合格供应商需整改或承担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用防碰撞、防潮、防腐蚀的高强度包装，假人本体需整体定制专用运输箱，精密易碎部件（如头部五官、传感器表面、关节活动部件、呼吸管道等）需单独缓冲包装，通过相关防护测试；包装箱外标注清晰标识；每箱附带包装清单，多箱需标注箱号；大型、特殊运输需求仪器需按对应标准包装并标注注意事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自交付验收合格之日起质保2年。质保期限需符合采购合同约定，质保期内供应商免费提供维修、更换故障零部件服务；故障响应及时（24小时内响应，现场维修按约定时限到达），无法现场解决的提供临时替代方案；质保期内提供免费技术支持、操作培训；质保期满后提供优惠维修及配件供应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1、设备安装前的基础配套工作由供应商承担，供应商负责设备安装到位并调试完成。 2、纸质文件递交：中标（成交）结果发布后，中标供应商在2个工作日内向采购代理机构提供一正一副（和上传文件保持一致的）纸质投标（响应）文件用于备案及档案保存。 3、投标保证金以电子保函形式递交需在开标前给shanxizhuoming_zb@163.com发一份扫描件。4.供应商投标保证金缴纳完成后请致电代理机构财务部门确认投标保证金到账情况，电话：029-88225322。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必须上传注册会计师行业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行业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交货时间满足采购文件要求 (合格)，交货时间不满足采购文件要求(不合格)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供应商资格要求.docx 中小企业声明函 商务应答表 正常使用寿命承诺函.docx 产品技术参数表.docx 响应函 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正常使用寿命承诺函.docx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详见附件：正常使用寿命承诺函.docx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