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版本号：DLZCZB2026-1.1B120260529001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2026年中省政法转移支付装备自采项目(二次)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DLZCZB2026-1.1B1</w:t>
      </w:r>
      <w:r>
        <w:br/>
      </w:r>
      <w:r>
        <w:br/>
      </w:r>
      <w:r>
        <w:br/>
      </w:r>
    </w:p>
    <w:p>
      <w:pPr>
        <w:pStyle w:val="null3"/>
        <w:jc w:val="center"/>
        <w:outlineLvl w:val="2"/>
      </w:pPr>
      <w:r>
        <w:rPr>
          <w:rFonts w:ascii="仿宋_GB2312" w:hAnsi="仿宋_GB2312" w:cs="仿宋_GB2312" w:eastAsia="仿宋_GB2312"/>
          <w:sz w:val="28"/>
          <w:b/>
        </w:rPr>
        <w:t>大荔县公安局</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大荔县公安局</w:t>
      </w:r>
      <w:r>
        <w:rPr>
          <w:rFonts w:ascii="仿宋_GB2312" w:hAnsi="仿宋_GB2312" w:cs="仿宋_GB2312" w:eastAsia="仿宋_GB2312"/>
        </w:rPr>
        <w:t>委托，拟对</w:t>
      </w:r>
      <w:r>
        <w:rPr>
          <w:rFonts w:ascii="仿宋_GB2312" w:hAnsi="仿宋_GB2312" w:cs="仿宋_GB2312" w:eastAsia="仿宋_GB2312"/>
        </w:rPr>
        <w:t>2026年中省政法转移支付装备自采项目(二次)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DLZCZB2026-1.1B1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2026年中省政法转移支付装备自采项目(二次)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1、项目名称：2026年大荔县公安局警用装备采购项目 2、预算金额：40万元（肆拾万元整） 3、最高限价：40万元（肆拾万元整） 4、采购内容：采购一批防刺服、催泪剂、急救包、电子镣铐、彩色打印机、执法记录仪。 5、标段划分情况：本项目设1个标段 6、合同履行期限：合同签订后15日历天内完成 7、项目交货地点：大荔县公安局 8、是否专门面向中小企业采购：否，本项目为非专门面向中小企业采购。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大荔县城关镇洛滨大道东段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大荔县公安局经办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15319151117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陕西省大荔县西城街道洛滨大道（财政局709室）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大荔县公安局</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执行的国家相关标准、行业标准或者其他标准、规范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联系电话：0913-3256360</w:t>
      </w:r>
    </w:p>
    <w:p>
      <w:pPr>
        <w:pStyle w:val="null3"/>
      </w:pPr>
      <w:r>
        <w:rPr>
          <w:rFonts w:ascii="仿宋_GB2312" w:hAnsi="仿宋_GB2312" w:cs="仿宋_GB2312" w:eastAsia="仿宋_GB2312"/>
        </w:rPr>
        <w:t>地址：陕西省大荔县西城街道洛滨大道（财政局709室）</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采购一批防刺服、催泪剂、急救包、电子镣铐、彩色打印机、执法记录仪。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大荔县公安局2026年中省政法转移支付装备自采项目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标的名称：大荔县公安局2026年中省政法转移支付装备自采项目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2"/>
              <w:gridCol w:w="442"/>
              <w:gridCol w:w="442"/>
              <w:gridCol w:w="122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序号</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名称</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数量</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技术参数与性能指标</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轻型防刺服</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20套</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br/>
                  </w:r>
                  <w:r>
                    <w:rPr>
                      <w:rFonts w:ascii="仿宋_GB2312" w:hAnsi="仿宋_GB2312" w:cs="仿宋_GB2312" w:eastAsia="仿宋_GB2312"/>
                      <w:sz w:val="18"/>
                    </w:rPr>
                    <w:t>1</w:t>
                  </w:r>
                  <w:r>
                    <w:rPr>
                      <w:rFonts w:ascii="仿宋_GB2312" w:hAnsi="仿宋_GB2312" w:cs="仿宋_GB2312" w:eastAsia="仿宋_GB2312"/>
                      <w:sz w:val="18"/>
                    </w:rPr>
                    <w:t>、防刺服外套颜色</w:t>
                  </w:r>
                  <w:r>
                    <w:rPr>
                      <w:rFonts w:ascii="仿宋_GB2312" w:hAnsi="仿宋_GB2312" w:cs="仿宋_GB2312" w:eastAsia="仿宋_GB2312"/>
                      <w:sz w:val="18"/>
                    </w:rPr>
                    <w:t>：</w:t>
                  </w:r>
                  <w:r>
                    <w:rPr>
                      <w:rFonts w:ascii="仿宋_GB2312" w:hAnsi="仿宋_GB2312" w:cs="仿宋_GB2312" w:eastAsia="仿宋_GB2312"/>
                      <w:sz w:val="18"/>
                    </w:rPr>
                    <w:t>藏蓝色。</w:t>
                  </w:r>
                  <w:r>
                    <w:br/>
                  </w:r>
                  <w:r>
                    <w:rPr>
                      <w:rFonts w:ascii="仿宋_GB2312" w:hAnsi="仿宋_GB2312" w:cs="仿宋_GB2312" w:eastAsia="仿宋_GB2312"/>
                      <w:sz w:val="18"/>
                    </w:rPr>
                    <w:t>2</w:t>
                  </w:r>
                  <w:r>
                    <w:rPr>
                      <w:rFonts w:ascii="仿宋_GB2312" w:hAnsi="仿宋_GB2312" w:cs="仿宋_GB2312" w:eastAsia="仿宋_GB2312"/>
                      <w:sz w:val="18"/>
                    </w:rPr>
                    <w:t>、防刺层保护套</w:t>
                  </w:r>
                  <w:r>
                    <w:rPr>
                      <w:rFonts w:ascii="仿宋_GB2312" w:hAnsi="仿宋_GB2312" w:cs="仿宋_GB2312" w:eastAsia="仿宋_GB2312"/>
                      <w:sz w:val="18"/>
                    </w:rPr>
                    <w:t>：</w:t>
                  </w:r>
                  <w:r>
                    <w:rPr>
                      <w:rFonts w:ascii="仿宋_GB2312" w:hAnsi="仿宋_GB2312" w:cs="仿宋_GB2312" w:eastAsia="仿宋_GB2312"/>
                      <w:sz w:val="18"/>
                    </w:rPr>
                    <w:t>黑色</w:t>
                  </w:r>
                  <w:r>
                    <w:rPr>
                      <w:rFonts w:ascii="仿宋_GB2312" w:hAnsi="仿宋_GB2312" w:cs="仿宋_GB2312" w:eastAsia="仿宋_GB2312"/>
                      <w:sz w:val="18"/>
                    </w:rPr>
                    <w:t>,防刺层保护套材料的抗静水压等级应能达到GB/T 4744-2013中规定A类</w:t>
                  </w:r>
                  <w:r>
                    <w:br/>
                  </w:r>
                  <w:r>
                    <w:rPr>
                      <w:rFonts w:ascii="仿宋_GB2312" w:hAnsi="仿宋_GB2312" w:cs="仿宋_GB2312" w:eastAsia="仿宋_GB2312"/>
                      <w:sz w:val="18"/>
                    </w:rPr>
                    <w:t>3</w:t>
                  </w:r>
                  <w:r>
                    <w:rPr>
                      <w:rFonts w:ascii="仿宋_GB2312" w:hAnsi="仿宋_GB2312" w:cs="仿宋_GB2312" w:eastAsia="仿宋_GB2312"/>
                      <w:sz w:val="18"/>
                    </w:rPr>
                    <w:t>、防刺服质量应</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7KG</w:t>
                  </w:r>
                  <w:r>
                    <w:rPr>
                      <w:rFonts w:ascii="仿宋_GB2312" w:hAnsi="仿宋_GB2312" w:cs="仿宋_GB2312" w:eastAsia="仿宋_GB2312"/>
                      <w:sz w:val="18"/>
                    </w:rPr>
                    <w:t>。</w:t>
                  </w:r>
                  <w:r>
                    <w:br/>
                  </w:r>
                  <w:r>
                    <w:rPr>
                      <w:rFonts w:ascii="仿宋_GB2312" w:hAnsi="仿宋_GB2312" w:cs="仿宋_GB2312" w:eastAsia="仿宋_GB2312"/>
                      <w:sz w:val="18"/>
                    </w:rPr>
                    <w:t>4</w:t>
                  </w:r>
                  <w:r>
                    <w:rPr>
                      <w:rFonts w:ascii="仿宋_GB2312" w:hAnsi="仿宋_GB2312" w:cs="仿宋_GB2312" w:eastAsia="仿宋_GB2312"/>
                      <w:sz w:val="18"/>
                    </w:rPr>
                    <w:t>、防刺服的防刺层厚度应</w:t>
                  </w: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0MM</w:t>
                  </w:r>
                  <w:r>
                    <w:rPr>
                      <w:rFonts w:ascii="仿宋_GB2312" w:hAnsi="仿宋_GB2312" w:cs="仿宋_GB2312" w:eastAsia="仿宋_GB2312"/>
                      <w:sz w:val="18"/>
                    </w:rPr>
                    <w:t>。</w:t>
                  </w:r>
                  <w:r>
                    <w:br/>
                  </w:r>
                  <w:r>
                    <w:rPr>
                      <w:rFonts w:ascii="仿宋_GB2312" w:hAnsi="仿宋_GB2312" w:cs="仿宋_GB2312" w:eastAsia="仿宋_GB2312"/>
                      <w:sz w:val="18"/>
                    </w:rPr>
                    <w:t>5</w:t>
                  </w:r>
                  <w:r>
                    <w:rPr>
                      <w:rFonts w:ascii="仿宋_GB2312" w:hAnsi="仿宋_GB2312" w:cs="仿宋_GB2312" w:eastAsia="仿宋_GB2312"/>
                      <w:sz w:val="18"/>
                    </w:rPr>
                    <w:t>、防刺层在外力作用下弯曲</w:t>
                  </w:r>
                  <w:r>
                    <w:rPr>
                      <w:rFonts w:ascii="仿宋_GB2312" w:hAnsi="仿宋_GB2312" w:cs="仿宋_GB2312" w:eastAsia="仿宋_GB2312"/>
                      <w:sz w:val="18"/>
                    </w:rPr>
                    <w:t>20mm时的作用力应小于或等于30N</w:t>
                  </w:r>
                  <w:r>
                    <w:br/>
                  </w:r>
                  <w:r>
                    <w:rPr>
                      <w:rFonts w:ascii="仿宋_GB2312" w:hAnsi="仿宋_GB2312" w:cs="仿宋_GB2312" w:eastAsia="仿宋_GB2312"/>
                      <w:sz w:val="19"/>
                    </w:rPr>
                    <w:t xml:space="preserve">  </w:t>
                  </w:r>
                </w:p>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2"/>
              <w:gridCol w:w="442"/>
              <w:gridCol w:w="442"/>
              <w:gridCol w:w="122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序号</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名称</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数量</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技术参数与性能指标</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轻型防刺服</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18"/>
                    </w:rPr>
                    <w:t>外套面料断裂强力</w:t>
                  </w:r>
                  <w:r>
                    <w:rPr>
                      <w:rFonts w:ascii="仿宋_GB2312" w:hAnsi="仿宋_GB2312" w:cs="仿宋_GB2312" w:eastAsia="仿宋_GB2312"/>
                      <w:sz w:val="18"/>
                    </w:rPr>
                    <w:t>:经向≥1500N,纬向≥900N</w:t>
                  </w:r>
                  <w:r>
                    <w:rPr>
                      <w:rFonts w:ascii="仿宋_GB2312" w:hAnsi="仿宋_GB2312" w:cs="仿宋_GB2312" w:eastAsia="仿宋_GB2312"/>
                      <w:sz w:val="18"/>
                    </w:rPr>
                    <w:t>；</w:t>
                  </w:r>
                  <w:r>
                    <w:br/>
                  </w:r>
                  <w:r>
                    <w:rPr>
                      <w:rFonts w:ascii="仿宋_GB2312" w:hAnsi="仿宋_GB2312" w:cs="仿宋_GB2312" w:eastAsia="仿宋_GB2312"/>
                      <w:sz w:val="18"/>
                    </w:rPr>
                    <w:t>外套面料撕破强力</w:t>
                  </w:r>
                  <w:r>
                    <w:rPr>
                      <w:rFonts w:ascii="仿宋_GB2312" w:hAnsi="仿宋_GB2312" w:cs="仿宋_GB2312" w:eastAsia="仿宋_GB2312"/>
                      <w:sz w:val="18"/>
                    </w:rPr>
                    <w:t>:经向≥200N,纬向≥100N</w:t>
                  </w:r>
                  <w:r>
                    <w:rPr>
                      <w:rFonts w:ascii="仿宋_GB2312" w:hAnsi="仿宋_GB2312" w:cs="仿宋_GB2312" w:eastAsia="仿宋_GB2312"/>
                      <w:sz w:val="18"/>
                    </w:rPr>
                    <w:t>；</w:t>
                  </w:r>
                  <w:r>
                    <w:br/>
                  </w:r>
                  <w:r>
                    <w:rPr>
                      <w:rFonts w:ascii="仿宋_GB2312" w:hAnsi="仿宋_GB2312" w:cs="仿宋_GB2312" w:eastAsia="仿宋_GB2312"/>
                      <w:sz w:val="18"/>
                    </w:rPr>
                    <w:t>外套面料耐磨性能</w:t>
                  </w:r>
                  <w:r>
                    <w:rPr>
                      <w:rFonts w:ascii="仿宋_GB2312" w:hAnsi="仿宋_GB2312" w:cs="仿宋_GB2312" w:eastAsia="仿宋_GB2312"/>
                      <w:sz w:val="18"/>
                    </w:rPr>
                    <w:t>:≥1200次</w:t>
                  </w:r>
                  <w:r>
                    <w:rPr>
                      <w:rFonts w:ascii="仿宋_GB2312" w:hAnsi="仿宋_GB2312" w:cs="仿宋_GB2312" w:eastAsia="仿宋_GB2312"/>
                      <w:sz w:val="18"/>
                    </w:rPr>
                    <w:t>。</w:t>
                  </w:r>
                  <w:r>
                    <w:br/>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24"/>
                    </w:rPr>
                    <w:t xml:space="preserve">▲ </w:t>
                  </w:r>
                  <w:r>
                    <w:rPr>
                      <w:rFonts w:ascii="仿宋_GB2312" w:hAnsi="仿宋_GB2312" w:cs="仿宋_GB2312" w:eastAsia="仿宋_GB2312"/>
                      <w:sz w:val="18"/>
                    </w:rPr>
                    <w:t>抗冲击性能</w:t>
                  </w:r>
                  <w:r>
                    <w:rPr>
                      <w:rFonts w:ascii="仿宋_GB2312" w:hAnsi="仿宋_GB2312" w:cs="仿宋_GB2312" w:eastAsia="仿宋_GB2312"/>
                      <w:sz w:val="18"/>
                    </w:rPr>
                    <w:t>:防刺服应能承受1g铅弹以280m/s±100m/s速度冲击,试验后无洞穿。</w:t>
                  </w:r>
                  <w:r>
                    <w:br/>
                  </w:r>
                  <w:r>
                    <w:rPr>
                      <w:rFonts w:ascii="仿宋_GB2312" w:hAnsi="仿宋_GB2312" w:cs="仿宋_GB2312" w:eastAsia="仿宋_GB2312"/>
                      <w:sz w:val="19"/>
                    </w:rPr>
                    <w:t xml:space="preserve">  </w:t>
                  </w:r>
                </w:p>
                <w:p>
                  <w:pPr>
                    <w:pStyle w:val="null3"/>
                    <w:jc w:val="both"/>
                  </w:p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2"/>
              <w:gridCol w:w="442"/>
              <w:gridCol w:w="442"/>
              <w:gridCol w:w="122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序号</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名称</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数量</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技术参数与性能指标</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轻型防刺服</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br/>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★执行标准:GA 68-2024《警用防刺服》</w:t>
                  </w:r>
                  <w:r>
                    <w:br/>
                  </w:r>
                  <w:r>
                    <w:rPr>
                      <w:rFonts w:ascii="仿宋_GB2312" w:hAnsi="仿宋_GB2312" w:cs="仿宋_GB2312" w:eastAsia="仿宋_GB2312"/>
                      <w:sz w:val="18"/>
                    </w:rPr>
                    <w:t>提供公安部权威检测机构出具的防刺服检测报告。</w:t>
                  </w:r>
                  <w:r>
                    <w:br/>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★提供产品责任保险,保险金额≥500万元</w:t>
                  </w:r>
                </w:p>
                <w:p>
                  <w:pPr>
                    <w:pStyle w:val="null3"/>
                    <w:jc w:val="both"/>
                  </w:p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2"/>
              <w:gridCol w:w="442"/>
              <w:gridCol w:w="442"/>
              <w:gridCol w:w="122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催泪剂</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100瓶</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1、催泪喷射器</w:t>
                  </w:r>
                  <w:r>
                    <w:br/>
                  </w:r>
                  <w:r>
                    <w:rPr>
                      <w:rFonts w:ascii="仿宋_GB2312" w:hAnsi="仿宋_GB2312" w:cs="仿宋_GB2312" w:eastAsia="仿宋_GB2312"/>
                      <w:sz w:val="18"/>
                    </w:rPr>
                    <w:t>2、催泪单元是喷射器的核心部分,其能够直接作用于人体皮肤和眼睛,使作用对象产生刺痛及灼烧感。</w:t>
                  </w:r>
                  <w:r>
                    <w:br/>
                  </w:r>
                  <w:r>
                    <w:rPr>
                      <w:rFonts w:ascii="仿宋_GB2312" w:hAnsi="仿宋_GB2312" w:cs="仿宋_GB2312" w:eastAsia="仿宋_GB2312"/>
                      <w:sz w:val="18"/>
                    </w:rPr>
                    <w:t>3、技术指标:</w:t>
                  </w:r>
                  <w:r>
                    <w:br/>
                  </w:r>
                  <w:r>
                    <w:rPr>
                      <w:rFonts w:ascii="仿宋_GB2312" w:hAnsi="仿宋_GB2312" w:cs="仿宋_GB2312" w:eastAsia="仿宋_GB2312"/>
                      <w:sz w:val="18"/>
                    </w:rPr>
                    <w:t>- 催泪喷射器高度:≥17</w:t>
                  </w:r>
                  <w:r>
                    <w:rPr>
                      <w:rFonts w:ascii="仿宋_GB2312" w:hAnsi="仿宋_GB2312" w:cs="仿宋_GB2312" w:eastAsia="仿宋_GB2312"/>
                      <w:sz w:val="18"/>
                    </w:rPr>
                    <w:t>7</w:t>
                  </w:r>
                  <w:r>
                    <w:rPr>
                      <w:rFonts w:ascii="仿宋_GB2312" w:hAnsi="仿宋_GB2312" w:cs="仿宋_GB2312" w:eastAsia="仿宋_GB2312"/>
                      <w:sz w:val="18"/>
                    </w:rPr>
                    <w:t>mm</w:t>
                  </w:r>
                  <w:r>
                    <w:br/>
                  </w:r>
                  <w:r>
                    <w:rPr>
                      <w:rFonts w:ascii="仿宋_GB2312" w:hAnsi="仿宋_GB2312" w:cs="仿宋_GB2312" w:eastAsia="仿宋_GB2312"/>
                      <w:sz w:val="18"/>
                    </w:rPr>
                    <w:t>- 观察窗高度:≥</w:t>
                  </w:r>
                  <w:r>
                    <w:rPr>
                      <w:rFonts w:ascii="仿宋_GB2312" w:hAnsi="仿宋_GB2312" w:cs="仿宋_GB2312" w:eastAsia="仿宋_GB2312"/>
                      <w:sz w:val="18"/>
                    </w:rPr>
                    <w:t>80</w:t>
                  </w:r>
                  <w:r>
                    <w:rPr>
                      <w:rFonts w:ascii="仿宋_GB2312" w:hAnsi="仿宋_GB2312" w:cs="仿宋_GB2312" w:eastAsia="仿宋_GB2312"/>
                      <w:sz w:val="18"/>
                    </w:rPr>
                    <w:t>mm</w:t>
                  </w:r>
                  <w:r>
                    <w:br/>
                  </w:r>
                  <w:r>
                    <w:rPr>
                      <w:rFonts w:ascii="仿宋_GB2312" w:hAnsi="仿宋_GB2312" w:cs="仿宋_GB2312" w:eastAsia="仿宋_GB2312"/>
                      <w:sz w:val="18"/>
                    </w:rPr>
                    <w:t>- 筒身最大外径:≥φ</w:t>
                  </w:r>
                  <w:r>
                    <w:rPr>
                      <w:rFonts w:ascii="仿宋_GB2312" w:hAnsi="仿宋_GB2312" w:cs="仿宋_GB2312" w:eastAsia="仿宋_GB2312"/>
                      <w:sz w:val="18"/>
                    </w:rPr>
                    <w:t>40</w:t>
                  </w:r>
                  <w:r>
                    <w:rPr>
                      <w:rFonts w:ascii="仿宋_GB2312" w:hAnsi="仿宋_GB2312" w:cs="仿宋_GB2312" w:eastAsia="仿宋_GB2312"/>
                      <w:sz w:val="18"/>
                    </w:rPr>
                    <w:t>mm</w:t>
                  </w:r>
                  <w:r>
                    <w:br/>
                  </w:r>
                  <w:r>
                    <w:rPr>
                      <w:rFonts w:ascii="仿宋_GB2312" w:hAnsi="仿宋_GB2312" w:cs="仿宋_GB2312" w:eastAsia="仿宋_GB2312"/>
                      <w:sz w:val="18"/>
                    </w:rPr>
                    <w:t>- 外罐外径:≥φ</w:t>
                  </w:r>
                  <w:r>
                    <w:rPr>
                      <w:rFonts w:ascii="仿宋_GB2312" w:hAnsi="仿宋_GB2312" w:cs="仿宋_GB2312" w:eastAsia="仿宋_GB2312"/>
                      <w:sz w:val="18"/>
                    </w:rPr>
                    <w:t>38</w:t>
                  </w:r>
                  <w:r>
                    <w:rPr>
                      <w:rFonts w:ascii="仿宋_GB2312" w:hAnsi="仿宋_GB2312" w:cs="仿宋_GB2312" w:eastAsia="仿宋_GB2312"/>
                      <w:sz w:val="18"/>
                    </w:rPr>
                    <w:t>mm</w:t>
                  </w:r>
                  <w:r>
                    <w:br/>
                  </w:r>
                  <w:r>
                    <w:rPr>
                      <w:rFonts w:ascii="仿宋_GB2312" w:hAnsi="仿宋_GB2312" w:cs="仿宋_GB2312" w:eastAsia="仿宋_GB2312"/>
                      <w:sz w:val="18"/>
                    </w:rPr>
                    <w:t>- 质量:≥2</w:t>
                  </w:r>
                  <w:r>
                    <w:rPr>
                      <w:rFonts w:ascii="仿宋_GB2312" w:hAnsi="仿宋_GB2312" w:cs="仿宋_GB2312" w:eastAsia="仿宋_GB2312"/>
                      <w:sz w:val="18"/>
                    </w:rPr>
                    <w:t>10</w:t>
                  </w:r>
                  <w:r>
                    <w:rPr>
                      <w:rFonts w:ascii="仿宋_GB2312" w:hAnsi="仿宋_GB2312" w:cs="仿宋_GB2312" w:eastAsia="仿宋_GB2312"/>
                      <w:sz w:val="18"/>
                    </w:rPr>
                    <w:t>g</w:t>
                  </w:r>
                  <w:r>
                    <w:br/>
                  </w:r>
                  <w:r>
                    <w:rPr>
                      <w:rFonts w:ascii="仿宋_GB2312" w:hAnsi="仿宋_GB2312" w:cs="仿宋_GB2312" w:eastAsia="仿宋_GB2312"/>
                      <w:sz w:val="18"/>
                    </w:rPr>
                    <w:t>- 催泪剂溶液装填量:≥70ml</w:t>
                  </w:r>
                  <w:r>
                    <w:br/>
                  </w:r>
                  <w:r>
                    <w:rPr>
                      <w:rFonts w:ascii="仿宋_GB2312" w:hAnsi="仿宋_GB2312" w:cs="仿宋_GB2312" w:eastAsia="仿宋_GB2312"/>
                      <w:sz w:val="18"/>
                    </w:rPr>
                    <w:t>- 喷射距离:≥4m</w:t>
                  </w:r>
                  <w:r>
                    <w:br/>
                  </w:r>
                  <w:r>
                    <w:rPr>
                      <w:rFonts w:ascii="仿宋_GB2312" w:hAnsi="仿宋_GB2312" w:cs="仿宋_GB2312" w:eastAsia="仿宋_GB2312"/>
                      <w:sz w:val="18"/>
                    </w:rPr>
                    <w:t>- 有效喷射时间:≥</w:t>
                  </w:r>
                  <w:r>
                    <w:rPr>
                      <w:rFonts w:ascii="仿宋_GB2312" w:hAnsi="仿宋_GB2312" w:cs="仿宋_GB2312" w:eastAsia="仿宋_GB2312"/>
                      <w:sz w:val="18"/>
                    </w:rPr>
                    <w:t>8</w:t>
                  </w:r>
                  <w:r>
                    <w:rPr>
                      <w:rFonts w:ascii="仿宋_GB2312" w:hAnsi="仿宋_GB2312" w:cs="仿宋_GB2312" w:eastAsia="仿宋_GB2312"/>
                      <w:sz w:val="18"/>
                    </w:rPr>
                    <w:t>s</w:t>
                  </w:r>
                  <w:r>
                    <w:br/>
                  </w:r>
                  <w:r>
                    <w:rPr>
                      <w:rFonts w:ascii="仿宋_GB2312" w:hAnsi="仿宋_GB2312" w:cs="仿宋_GB2312" w:eastAsia="仿宋_GB2312"/>
                      <w:sz w:val="18"/>
                    </w:rPr>
                    <w:t>- 使用温度范围:-30</w:t>
                  </w:r>
                  <w:r>
                    <w:rPr>
                      <w:rFonts w:ascii="仿宋_GB2312" w:hAnsi="仿宋_GB2312" w:cs="仿宋_GB2312" w:eastAsia="仿宋_GB2312"/>
                      <w:sz w:val="18"/>
                    </w:rPr>
                    <w:t>℃---</w:t>
                  </w:r>
                  <w:r>
                    <w:rPr>
                      <w:rFonts w:ascii="仿宋_GB2312" w:hAnsi="仿宋_GB2312" w:cs="仿宋_GB2312" w:eastAsia="仿宋_GB2312"/>
                      <w:sz w:val="18"/>
                    </w:rPr>
                    <w:t>55</w:t>
                  </w:r>
                  <w:r>
                    <w:rPr>
                      <w:rFonts w:ascii="仿宋_GB2312" w:hAnsi="仿宋_GB2312" w:cs="仿宋_GB2312" w:eastAsia="仿宋_GB2312"/>
                      <w:sz w:val="18"/>
                    </w:rPr>
                    <w:t>℃</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2"/>
              <w:gridCol w:w="442"/>
              <w:gridCol w:w="442"/>
              <w:gridCol w:w="122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急救包</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100个</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急救包</w:t>
                  </w:r>
                </w:p>
                <w:p>
                  <w:pPr>
                    <w:pStyle w:val="null3"/>
                    <w:jc w:val="both"/>
                  </w:pPr>
                  <w:r>
                    <w:rPr>
                      <w:rFonts w:ascii="仿宋_GB2312" w:hAnsi="仿宋_GB2312" w:cs="仿宋_GB2312" w:eastAsia="仿宋_GB2312"/>
                      <w:sz w:val="18"/>
                    </w:rPr>
                    <w:t>1、尺寸</w:t>
                  </w:r>
                  <w:r>
                    <w:rPr>
                      <w:rFonts w:ascii="仿宋_GB2312" w:hAnsi="仿宋_GB2312" w:cs="仿宋_GB2312" w:eastAsia="仿宋_GB2312"/>
                      <w:sz w:val="18"/>
                    </w:rPr>
                    <w:t>：</w:t>
                  </w:r>
                  <w:r>
                    <w:rPr>
                      <w:rFonts w:ascii="仿宋_GB2312" w:hAnsi="仿宋_GB2312" w:cs="仿宋_GB2312" w:eastAsia="仿宋_GB2312"/>
                      <w:sz w:val="18"/>
                    </w:rPr>
                    <w:t>急救包展开长</w:t>
                  </w:r>
                  <w:r>
                    <w:rPr>
                      <w:rFonts w:ascii="仿宋_GB2312" w:hAnsi="仿宋_GB2312" w:cs="仿宋_GB2312" w:eastAsia="仿宋_GB2312"/>
                      <w:sz w:val="18"/>
                    </w:rPr>
                    <w:t>≥220mm</w:t>
                  </w:r>
                </w:p>
                <w:p>
                  <w:pPr>
                    <w:pStyle w:val="null3"/>
                    <w:jc w:val="both"/>
                  </w:pPr>
                  <w:r>
                    <w:rPr>
                      <w:rFonts w:ascii="仿宋_GB2312" w:hAnsi="仿宋_GB2312" w:cs="仿宋_GB2312" w:eastAsia="仿宋_GB2312"/>
                      <w:sz w:val="18"/>
                    </w:rPr>
                    <w:t>2、性能:</w:t>
                  </w:r>
                </w:p>
                <w:p>
                  <w:pPr>
                    <w:pStyle w:val="null3"/>
                    <w:ind w:firstLine="180"/>
                    <w:jc w:val="both"/>
                  </w:pPr>
                  <w:r>
                    <w:rPr>
                      <w:rFonts w:ascii="仿宋_GB2312" w:hAnsi="仿宋_GB2312" w:cs="仿宋_GB2312" w:eastAsia="仿宋_GB2312"/>
                      <w:sz w:val="18"/>
                    </w:rPr>
                    <w:t>皮革耐摩擦色牢度</w:t>
                  </w:r>
                  <w:r>
                    <w:rPr>
                      <w:rFonts w:ascii="仿宋_GB2312" w:hAnsi="仿宋_GB2312" w:cs="仿宋_GB2312" w:eastAsia="仿宋_GB2312"/>
                      <w:sz w:val="18"/>
                    </w:rPr>
                    <w:t>/级:干摩50次≥4,湿摩10次≥3</w:t>
                  </w:r>
                </w:p>
                <w:p>
                  <w:pPr>
                    <w:pStyle w:val="null3"/>
                    <w:ind w:firstLine="180"/>
                    <w:jc w:val="both"/>
                  </w:pPr>
                  <w:r>
                    <w:rPr>
                      <w:rFonts w:ascii="仿宋_GB2312" w:hAnsi="仿宋_GB2312" w:cs="仿宋_GB2312" w:eastAsia="仿宋_GB2312"/>
                      <w:sz w:val="18"/>
                    </w:rPr>
                    <w:t>皮革撕裂强度</w:t>
                  </w:r>
                  <w:r>
                    <w:rPr>
                      <w:rFonts w:ascii="仿宋_GB2312" w:hAnsi="仿宋_GB2312" w:cs="仿宋_GB2312" w:eastAsia="仿宋_GB2312"/>
                      <w:sz w:val="18"/>
                    </w:rPr>
                    <w:t>/(N/mm):≥25</w:t>
                  </w:r>
                </w:p>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拉链平拉强力</w:t>
                  </w:r>
                  <w:r>
                    <w:rPr>
                      <w:rFonts w:ascii="仿宋_GB2312" w:hAnsi="仿宋_GB2312" w:cs="仿宋_GB2312" w:eastAsia="仿宋_GB2312"/>
                      <w:sz w:val="18"/>
                    </w:rPr>
                    <w:t>/N:≥600</w:t>
                  </w:r>
                </w:p>
                <w:p>
                  <w:pPr>
                    <w:pStyle w:val="null3"/>
                    <w:ind w:firstLine="360"/>
                    <w:jc w:val="both"/>
                  </w:pPr>
                  <w:r>
                    <w:rPr>
                      <w:rFonts w:ascii="仿宋_GB2312" w:hAnsi="仿宋_GB2312" w:cs="仿宋_GB2312" w:eastAsia="仿宋_GB2312"/>
                      <w:sz w:val="18"/>
                    </w:rPr>
                    <w:t>拉链拉头拉片结合力</w:t>
                  </w:r>
                  <w:r>
                    <w:rPr>
                      <w:rFonts w:ascii="仿宋_GB2312" w:hAnsi="仿宋_GB2312" w:cs="仿宋_GB2312" w:eastAsia="仿宋_GB2312"/>
                      <w:sz w:val="18"/>
                    </w:rPr>
                    <w:t>/N:≥250</w:t>
                  </w:r>
                </w:p>
                <w:p>
                  <w:pPr>
                    <w:pStyle w:val="null3"/>
                    <w:jc w:val="both"/>
                  </w:pPr>
                  <w:r>
                    <w:rPr>
                      <w:rFonts w:ascii="仿宋_GB2312" w:hAnsi="仿宋_GB2312" w:cs="仿宋_GB2312" w:eastAsia="仿宋_GB2312"/>
                      <w:sz w:val="18"/>
                    </w:rPr>
                    <w:t>3、药品器械:</w:t>
                  </w:r>
                </w:p>
                <w:p>
                  <w:pPr>
                    <w:pStyle w:val="null3"/>
                    <w:jc w:val="both"/>
                  </w:pPr>
                  <w:r>
                    <w:rPr>
                      <w:rFonts w:ascii="仿宋_GB2312" w:hAnsi="仿宋_GB2312" w:cs="仿宋_GB2312" w:eastAsia="仿宋_GB2312"/>
                      <w:sz w:val="18"/>
                    </w:rPr>
                    <w:t>- 硝酸甘油片:规格≥0.5mg,数量≥4片</w:t>
                  </w:r>
                </w:p>
                <w:p>
                  <w:pPr>
                    <w:pStyle w:val="null3"/>
                    <w:jc w:val="both"/>
                  </w:pPr>
                  <w:r>
                    <w:rPr>
                      <w:rFonts w:ascii="仿宋_GB2312" w:hAnsi="仿宋_GB2312" w:cs="仿宋_GB2312" w:eastAsia="仿宋_GB2312"/>
                      <w:sz w:val="18"/>
                    </w:rPr>
                    <w:t>- 橡胶止血带:配备</w:t>
                  </w:r>
                </w:p>
                <w:p>
                  <w:pPr>
                    <w:pStyle w:val="null3"/>
                    <w:jc w:val="both"/>
                  </w:pPr>
                  <w:r>
                    <w:rPr>
                      <w:rFonts w:ascii="仿宋_GB2312" w:hAnsi="仿宋_GB2312" w:cs="仿宋_GB2312" w:eastAsia="仿宋_GB2312"/>
                      <w:sz w:val="18"/>
                    </w:rPr>
                    <w:t>- 无菌纱布片:规格≥7.5cm×7.5cm,8层,数量≥1片</w:t>
                  </w:r>
                </w:p>
                <w:p>
                  <w:pPr>
                    <w:pStyle w:val="null3"/>
                    <w:jc w:val="both"/>
                  </w:pPr>
                  <w:r>
                    <w:rPr>
                      <w:rFonts w:ascii="仿宋_GB2312" w:hAnsi="仿宋_GB2312" w:cs="仿宋_GB2312" w:eastAsia="仿宋_GB2312"/>
                      <w:sz w:val="18"/>
                    </w:rPr>
                    <w:t>- 带垫急救绷带:规格≥7.5cm×2m,不粘垫规格≥5cm×7.5cm,数量≥1条</w:t>
                  </w:r>
                </w:p>
                <w:p>
                  <w:pPr>
                    <w:pStyle w:val="null3"/>
                    <w:ind w:firstLine="360"/>
                    <w:jc w:val="both"/>
                  </w:pPr>
                  <w:r>
                    <w:rPr>
                      <w:rFonts w:ascii="仿宋_GB2312" w:hAnsi="仿宋_GB2312" w:cs="仿宋_GB2312" w:eastAsia="仿宋_GB2312"/>
                      <w:sz w:val="18"/>
                    </w:rPr>
                    <w:t>口对口呼吸膜</w:t>
                  </w:r>
                  <w:r>
                    <w:rPr>
                      <w:rFonts w:ascii="仿宋_GB2312" w:hAnsi="仿宋_GB2312" w:cs="仿宋_GB2312" w:eastAsia="仿宋_GB2312"/>
                      <w:sz w:val="18"/>
                    </w:rPr>
                    <w:t>:规格≥29.5cm×19cm,数量≥1片</w:t>
                  </w:r>
                </w:p>
                <w:p>
                  <w:pPr>
                    <w:pStyle w:val="null3"/>
                    <w:ind w:firstLine="360"/>
                    <w:jc w:val="both"/>
                  </w:pPr>
                  <w:r>
                    <w:rPr>
                      <w:rFonts w:ascii="仿宋_GB2312" w:hAnsi="仿宋_GB2312" w:cs="仿宋_GB2312" w:eastAsia="仿宋_GB2312"/>
                      <w:sz w:val="18"/>
                    </w:rPr>
                    <w:t>酒精消毒片</w:t>
                  </w:r>
                  <w:r>
                    <w:rPr>
                      <w:rFonts w:ascii="仿宋_GB2312" w:hAnsi="仿宋_GB2312" w:cs="仿宋_GB2312" w:eastAsia="仿宋_GB2312"/>
                      <w:sz w:val="18"/>
                    </w:rPr>
                    <w:t>:规格≥10cm×4cm或外包装≥5cm×5cm,内芯≥6cm×6cm,数量≥2片</w:t>
                  </w:r>
                </w:p>
              </w:tc>
            </w:tr>
          </w:tbl>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2"/>
              <w:gridCol w:w="442"/>
              <w:gridCol w:w="442"/>
              <w:gridCol w:w="122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电子脚扣系统</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3副</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★定位方式：支持单独北斗定位，室外精度3-5</w:t>
                  </w:r>
                  <w:r>
                    <w:rPr>
                      <w:rFonts w:ascii="仿宋_GB2312" w:hAnsi="仿宋_GB2312" w:cs="仿宋_GB2312" w:eastAsia="仿宋_GB2312"/>
                      <w:sz w:val="18"/>
                    </w:rPr>
                    <w:t>M</w:t>
                  </w:r>
                  <w:r>
                    <w:rPr>
                      <w:rFonts w:ascii="仿宋_GB2312" w:hAnsi="仿宋_GB2312" w:cs="仿宋_GB2312" w:eastAsia="仿宋_GB2312"/>
                      <w:sz w:val="18"/>
                    </w:rPr>
                    <w:t>误差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实时定位：北斗高精度定位，可实时在管控平台上监测电子脚扣位置进行追踪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任务的启动与终止：设备绑定后，民警即可通过手持终端开启任务。当押解任务完成后，民警可以通过手持终端结束当前任务。</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超距报警</w:t>
                  </w:r>
                  <w:r>
                    <w:rPr>
                      <w:rFonts w:ascii="仿宋_GB2312" w:hAnsi="仿宋_GB2312" w:cs="仿宋_GB2312" w:eastAsia="仿宋_GB2312"/>
                      <w:sz w:val="18"/>
                    </w:rPr>
                    <w:t>:民警可根据现场情况在0-25</w:t>
                  </w:r>
                  <w:r>
                    <w:rPr>
                      <w:rFonts w:ascii="仿宋_GB2312" w:hAnsi="仿宋_GB2312" w:cs="仿宋_GB2312" w:eastAsia="仿宋_GB2312"/>
                      <w:sz w:val="18"/>
                    </w:rPr>
                    <w:t>M</w:t>
                  </w:r>
                  <w:r>
                    <w:rPr>
                      <w:rFonts w:ascii="仿宋_GB2312" w:hAnsi="仿宋_GB2312" w:cs="仿宋_GB2312" w:eastAsia="仿宋_GB2312"/>
                      <w:sz w:val="18"/>
                    </w:rPr>
                    <w:t>范围内自由设定警戒距离，当手持终端与电子脚扣之间的距离超过设定的警戒距离时产生报警信息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定时打卡：可自行设定打卡提醒，系统自动提醒民警拍照打卡，照片自带经纬度、拍照时间，数据自动上传平台存档</w:t>
                  </w:r>
                </w:p>
                <w:p>
                  <w:pPr>
                    <w:pStyle w:val="null3"/>
                    <w:jc w:val="both"/>
                  </w:pPr>
                  <w:r>
                    <w:rPr>
                      <w:rFonts w:ascii="仿宋_GB2312" w:hAnsi="仿宋_GB2312" w:cs="仿宋_GB2312" w:eastAsia="仿宋_GB2312"/>
                      <w:sz w:val="19"/>
                    </w:rPr>
                    <w:t xml:space="preserve"> </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2"/>
              <w:gridCol w:w="442"/>
              <w:gridCol w:w="442"/>
              <w:gridCol w:w="122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电子脚扣系统</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电子脚扣</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内嵌模块：支持</w:t>
                  </w:r>
                  <w:r>
                    <w:rPr>
                      <w:rFonts w:ascii="仿宋_GB2312" w:hAnsi="仿宋_GB2312" w:cs="仿宋_GB2312" w:eastAsia="仿宋_GB2312"/>
                      <w:sz w:val="18"/>
                    </w:rPr>
                    <w:t>GSM/GPRS，BDS，UWB</w:t>
                  </w:r>
                </w:p>
                <w:p>
                  <w:pPr>
                    <w:pStyle w:val="null3"/>
                    <w:jc w:val="both"/>
                  </w:pPr>
                  <w:r>
                    <w:rPr>
                      <w:rFonts w:ascii="仿宋_GB2312" w:hAnsi="仿宋_GB2312" w:cs="仿宋_GB2312" w:eastAsia="仿宋_GB2312"/>
                      <w:sz w:val="18"/>
                    </w:rPr>
                    <w:t>报警模式：支持高清晰语音</w:t>
                  </w:r>
                </w:p>
                <w:p>
                  <w:pPr>
                    <w:pStyle w:val="null3"/>
                    <w:jc w:val="both"/>
                  </w:pPr>
                  <w:r>
                    <w:rPr>
                      <w:rFonts w:ascii="仿宋_GB2312" w:hAnsi="仿宋_GB2312" w:cs="仿宋_GB2312" w:eastAsia="仿宋_GB2312"/>
                      <w:sz w:val="18"/>
                    </w:rPr>
                    <w:t>电池：</w:t>
                  </w:r>
                  <w:r>
                    <w:rPr>
                      <w:rFonts w:ascii="仿宋_GB2312" w:hAnsi="仿宋_GB2312" w:cs="仿宋_GB2312" w:eastAsia="仿宋_GB2312"/>
                      <w:sz w:val="18"/>
                    </w:rPr>
                    <w:t>≥3000</w:t>
                  </w:r>
                  <w:r>
                    <w:rPr>
                      <w:rFonts w:ascii="仿宋_GB2312" w:hAnsi="仿宋_GB2312" w:cs="仿宋_GB2312" w:eastAsia="仿宋_GB2312"/>
                      <w:sz w:val="18"/>
                    </w:rPr>
                    <w:t>MA</w:t>
                  </w:r>
                  <w:r>
                    <w:rPr>
                      <w:rFonts w:ascii="仿宋_GB2312" w:hAnsi="仿宋_GB2312" w:cs="仿宋_GB2312" w:eastAsia="仿宋_GB2312"/>
                      <w:sz w:val="18"/>
                    </w:rPr>
                    <w:t>防爆电池</w:t>
                  </w:r>
                </w:p>
                <w:p>
                  <w:pPr>
                    <w:pStyle w:val="null3"/>
                    <w:jc w:val="both"/>
                  </w:pPr>
                  <w:r>
                    <w:rPr>
                      <w:rFonts w:ascii="仿宋_GB2312" w:hAnsi="仿宋_GB2312" w:cs="仿宋_GB2312" w:eastAsia="仿宋_GB2312"/>
                      <w:sz w:val="18"/>
                    </w:rPr>
                    <w:t>续航时间：</w:t>
                  </w:r>
                  <w:r>
                    <w:rPr>
                      <w:rFonts w:ascii="仿宋_GB2312" w:hAnsi="仿宋_GB2312" w:cs="仿宋_GB2312" w:eastAsia="仿宋_GB2312"/>
                      <w:sz w:val="18"/>
                    </w:rPr>
                    <w:t>≥7天（正常押解）</w:t>
                  </w:r>
                </w:p>
                <w:p>
                  <w:pPr>
                    <w:pStyle w:val="null3"/>
                    <w:jc w:val="both"/>
                  </w:pPr>
                  <w:r>
                    <w:rPr>
                      <w:rFonts w:ascii="仿宋_GB2312" w:hAnsi="仿宋_GB2312" w:cs="仿宋_GB2312" w:eastAsia="仿宋_GB2312"/>
                      <w:sz w:val="18"/>
                    </w:rPr>
                    <w:t>开锁方式：双重防护机械锁芯</w:t>
                  </w:r>
                </w:p>
                <w:p>
                  <w:pPr>
                    <w:pStyle w:val="null3"/>
                    <w:jc w:val="both"/>
                  </w:pPr>
                  <w:r>
                    <w:rPr>
                      <w:rFonts w:ascii="仿宋_GB2312" w:hAnsi="仿宋_GB2312" w:cs="仿宋_GB2312" w:eastAsia="仿宋_GB2312"/>
                      <w:sz w:val="18"/>
                    </w:rPr>
                    <w:t>防护等级：</w:t>
                  </w:r>
                  <w:r>
                    <w:rPr>
                      <w:rFonts w:ascii="仿宋_GB2312" w:hAnsi="仿宋_GB2312" w:cs="仿宋_GB2312" w:eastAsia="仿宋_GB2312"/>
                      <w:sz w:val="18"/>
                    </w:rPr>
                    <w:t>≥IP67</w:t>
                  </w:r>
                </w:p>
                <w:p>
                  <w:pPr>
                    <w:pStyle w:val="null3"/>
                    <w:jc w:val="both"/>
                  </w:pPr>
                  <w:r>
                    <w:rPr>
                      <w:rFonts w:ascii="仿宋_GB2312" w:hAnsi="仿宋_GB2312" w:cs="仿宋_GB2312" w:eastAsia="仿宋_GB2312"/>
                      <w:sz w:val="18"/>
                    </w:rPr>
                    <w:t>手持机</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内存</w:t>
                  </w:r>
                  <w:r>
                    <w:rPr>
                      <w:rFonts w:ascii="仿宋_GB2312" w:hAnsi="仿宋_GB2312" w:cs="仿宋_GB2312" w:eastAsia="仿宋_GB2312"/>
                      <w:sz w:val="18"/>
                    </w:rPr>
                    <w:t>: ≥4GB RAM + 64GB ROM</w:t>
                  </w:r>
                </w:p>
                <w:p>
                  <w:pPr>
                    <w:pStyle w:val="null3"/>
                    <w:jc w:val="both"/>
                  </w:pPr>
                  <w:r>
                    <w:rPr>
                      <w:rFonts w:ascii="仿宋_GB2312" w:hAnsi="仿宋_GB2312" w:cs="仿宋_GB2312" w:eastAsia="仿宋_GB2312"/>
                      <w:sz w:val="18"/>
                    </w:rPr>
                    <w:t>显示屏</w:t>
                  </w:r>
                  <w:r>
                    <w:rPr>
                      <w:rFonts w:ascii="仿宋_GB2312" w:hAnsi="仿宋_GB2312" w:cs="仿宋_GB2312" w:eastAsia="仿宋_GB2312"/>
                      <w:sz w:val="18"/>
                    </w:rPr>
                    <w:t>: ≥6.0英寸，分辨率≥720*1440</w:t>
                  </w:r>
                </w:p>
                <w:p>
                  <w:pPr>
                    <w:pStyle w:val="null3"/>
                    <w:jc w:val="both"/>
                  </w:pPr>
                  <w:r>
                    <w:rPr>
                      <w:rFonts w:ascii="仿宋_GB2312" w:hAnsi="仿宋_GB2312" w:cs="仿宋_GB2312" w:eastAsia="仿宋_GB2312"/>
                      <w:sz w:val="18"/>
                    </w:rPr>
                    <w:t>网络连接</w:t>
                  </w:r>
                  <w:r>
                    <w:rPr>
                      <w:rFonts w:ascii="仿宋_GB2312" w:hAnsi="仿宋_GB2312" w:cs="仿宋_GB2312" w:eastAsia="仿宋_GB2312"/>
                      <w:sz w:val="18"/>
                    </w:rPr>
                    <w:t>:支持4G/3G/2G、Wi-Fi</w:t>
                  </w:r>
                </w:p>
                <w:p>
                  <w:pPr>
                    <w:pStyle w:val="null3"/>
                    <w:jc w:val="both"/>
                  </w:pPr>
                  <w:r>
                    <w:rPr>
                      <w:rFonts w:ascii="仿宋_GB2312" w:hAnsi="仿宋_GB2312" w:cs="仿宋_GB2312" w:eastAsia="仿宋_GB2312"/>
                      <w:sz w:val="18"/>
                    </w:rPr>
                    <w:t>软件功能</w:t>
                  </w:r>
                </w:p>
                <w:p>
                  <w:pPr>
                    <w:pStyle w:val="null3"/>
                    <w:jc w:val="both"/>
                  </w:pPr>
                  <w:r>
                    <w:rPr>
                      <w:rFonts w:ascii="仿宋_GB2312" w:hAnsi="仿宋_GB2312" w:cs="仿宋_GB2312" w:eastAsia="仿宋_GB2312"/>
                      <w:sz w:val="18"/>
                    </w:rPr>
                    <w:t>脚扣设备的扫描和绑定：手持终端设备能够自动扫描周边的脚扣设备，同时根据任务信息与对应的脚扣设备绑定。</w:t>
                  </w:r>
                </w:p>
                <w:p>
                  <w:pPr>
                    <w:pStyle w:val="null3"/>
                    <w:jc w:val="both"/>
                  </w:pPr>
                  <w:r>
                    <w:rPr>
                      <w:rFonts w:ascii="仿宋_GB2312" w:hAnsi="仿宋_GB2312" w:cs="仿宋_GB2312" w:eastAsia="仿宋_GB2312"/>
                      <w:sz w:val="18"/>
                    </w:rPr>
                    <w:t>语音呼叫</w:t>
                  </w:r>
                  <w:r>
                    <w:rPr>
                      <w:rFonts w:ascii="仿宋_GB2312" w:hAnsi="仿宋_GB2312" w:cs="仿宋_GB2312" w:eastAsia="仿宋_GB2312"/>
                      <w:sz w:val="18"/>
                    </w:rPr>
                    <w:t>:手持终端可配置SIM 卡，可作为应急通讯工具使用。</w:t>
                  </w:r>
                </w:p>
                <w:p>
                  <w:pPr>
                    <w:pStyle w:val="null3"/>
                    <w:jc w:val="both"/>
                  </w:pPr>
                  <w:r>
                    <w:rPr>
                      <w:rFonts w:ascii="仿宋_GB2312" w:hAnsi="仿宋_GB2312" w:cs="仿宋_GB2312" w:eastAsia="仿宋_GB2312"/>
                      <w:sz w:val="18"/>
                    </w:rPr>
                    <w:t>电量显示：可在手持终端和平台上查看电子脚扣实时电量信息</w:t>
                  </w:r>
                </w:p>
                <w:p>
                  <w:pPr>
                    <w:pStyle w:val="null3"/>
                    <w:jc w:val="both"/>
                  </w:pPr>
                  <w:r>
                    <w:rPr>
                      <w:rFonts w:ascii="仿宋_GB2312" w:hAnsi="仿宋_GB2312" w:cs="仿宋_GB2312" w:eastAsia="仿宋_GB2312"/>
                      <w:sz w:val="18"/>
                    </w:rPr>
                    <w:t>脚扣添加：平台可直接添加电子脚扣，添加后电子脚扣可将位置实时上传平台</w:t>
                  </w:r>
                </w:p>
                <w:p>
                  <w:pPr>
                    <w:pStyle w:val="null3"/>
                    <w:jc w:val="both"/>
                  </w:pPr>
                  <w:r>
                    <w:rPr>
                      <w:rFonts w:ascii="仿宋_GB2312" w:hAnsi="仿宋_GB2312" w:cs="仿宋_GB2312" w:eastAsia="仿宋_GB2312"/>
                      <w:sz w:val="18"/>
                    </w:rPr>
                    <w:t>实时监控：搭配执法记录仪可实时查看现场情况</w:t>
                  </w:r>
                </w:p>
                <w:p>
                  <w:pPr>
                    <w:pStyle w:val="null3"/>
                    <w:jc w:val="both"/>
                  </w:pPr>
                  <w:r>
                    <w:rPr>
                      <w:rFonts w:ascii="仿宋_GB2312" w:hAnsi="仿宋_GB2312" w:cs="仿宋_GB2312" w:eastAsia="仿宋_GB2312"/>
                      <w:sz w:val="18"/>
                    </w:rPr>
                    <w:t>出所就医防脱逃系统需与陕西省在押人员数据库完成对接。</w:t>
                  </w:r>
                </w:p>
                <w:p>
                  <w:pPr>
                    <w:pStyle w:val="null3"/>
                    <w:jc w:val="both"/>
                  </w:pPr>
                  <w:r>
                    <w:rPr>
                      <w:rFonts w:ascii="仿宋_GB2312" w:hAnsi="仿宋_GB2312" w:cs="仿宋_GB2312" w:eastAsia="仿宋_GB2312"/>
                      <w:sz w:val="18"/>
                    </w:rPr>
                    <w:t>出所就医防脱逃系统平台需与智慧监管综合业务管理平台完成对接，实现一体化办公协同。</w:t>
                  </w:r>
                </w:p>
                <w:p>
                  <w:pPr>
                    <w:pStyle w:val="null3"/>
                    <w:jc w:val="both"/>
                  </w:pPr>
                  <w:r>
                    <w:rPr>
                      <w:rFonts w:ascii="仿宋_GB2312" w:hAnsi="仿宋_GB2312" w:cs="仿宋_GB2312" w:eastAsia="仿宋_GB2312"/>
                      <w:sz w:val="18"/>
                    </w:rPr>
                    <w:t>出所就医防脱逃系统应接入陕西省公安厅监管总队出所就医防脱逃平台，并完成外出就医任务数据回传。</w:t>
                  </w:r>
                </w:p>
              </w:tc>
            </w:tr>
          </w:tbl>
          <w:p>
            <w:pPr>
              <w:pStyle w:val="null3"/>
            </w:pPr>
            <w:r>
              <w:rPr>
                <w:rFonts w:ascii="仿宋_GB2312" w:hAnsi="仿宋_GB2312" w:cs="仿宋_GB2312" w:eastAsia="仿宋_GB2312"/>
                <w:sz w:val="27"/>
              </w:rPr>
              <w:t>注：电子脚扣系统为核心产品</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2"/>
              <w:gridCol w:w="442"/>
              <w:gridCol w:w="442"/>
              <w:gridCol w:w="122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白手套</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1000双</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质地</w:t>
                  </w:r>
                  <w:r>
                    <w:rPr>
                      <w:rFonts w:ascii="仿宋_GB2312" w:hAnsi="仿宋_GB2312" w:cs="仿宋_GB2312" w:eastAsia="仿宋_GB2312"/>
                      <w:sz w:val="18"/>
                    </w:rPr>
                    <w:t>:氨纶</w:t>
                  </w:r>
                </w:p>
                <w:p>
                  <w:pPr>
                    <w:pStyle w:val="null3"/>
                    <w:jc w:val="both"/>
                  </w:pPr>
                  <w:r>
                    <w:rPr>
                      <w:rFonts w:ascii="仿宋_GB2312" w:hAnsi="仿宋_GB2312" w:cs="仿宋_GB2312" w:eastAsia="仿宋_GB2312"/>
                      <w:sz w:val="18"/>
                    </w:rPr>
                    <w:t>款式</w:t>
                  </w:r>
                  <w:r>
                    <w:rPr>
                      <w:rFonts w:ascii="仿宋_GB2312" w:hAnsi="仿宋_GB2312" w:cs="仿宋_GB2312" w:eastAsia="仿宋_GB2312"/>
                      <w:sz w:val="18"/>
                    </w:rPr>
                    <w:t>:分指手套</w:t>
                  </w:r>
                </w:p>
                <w:p>
                  <w:pPr>
                    <w:pStyle w:val="null3"/>
                    <w:jc w:val="both"/>
                  </w:pPr>
                  <w:r>
                    <w:rPr>
                      <w:rFonts w:ascii="仿宋_GB2312" w:hAnsi="仿宋_GB2312" w:cs="仿宋_GB2312" w:eastAsia="仿宋_GB2312"/>
                      <w:sz w:val="18"/>
                    </w:rPr>
                    <w:t>图案</w:t>
                  </w:r>
                  <w:r>
                    <w:rPr>
                      <w:rFonts w:ascii="仿宋_GB2312" w:hAnsi="仿宋_GB2312" w:cs="仿宋_GB2312" w:eastAsia="仿宋_GB2312"/>
                      <w:sz w:val="18"/>
                    </w:rPr>
                    <w:t>:带定制图案</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2"/>
              <w:gridCol w:w="442"/>
              <w:gridCol w:w="442"/>
              <w:gridCol w:w="122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台式电脑</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20台</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系统</w:t>
                  </w:r>
                  <w:r>
                    <w:rPr>
                      <w:rFonts w:ascii="仿宋_GB2312" w:hAnsi="仿宋_GB2312" w:cs="仿宋_GB2312" w:eastAsia="仿宋_GB2312"/>
                      <w:sz w:val="18"/>
                    </w:rPr>
                    <w:t>:win10/win11</w:t>
                  </w:r>
                </w:p>
                <w:p>
                  <w:pPr>
                    <w:pStyle w:val="null3"/>
                    <w:jc w:val="both"/>
                  </w:pPr>
                  <w:r>
                    <w:rPr>
                      <w:rFonts w:ascii="仿宋_GB2312" w:hAnsi="仿宋_GB2312" w:cs="仿宋_GB2312" w:eastAsia="仿宋_GB2312"/>
                      <w:sz w:val="18"/>
                    </w:rPr>
                    <w:t>处理器</w:t>
                  </w:r>
                  <w:r>
                    <w:rPr>
                      <w:rFonts w:ascii="仿宋_GB2312" w:hAnsi="仿宋_GB2312" w:cs="仿宋_GB2312" w:eastAsia="仿宋_GB2312"/>
                      <w:sz w:val="18"/>
                    </w:rPr>
                    <w:t>:≥i5-14500HX</w:t>
                  </w:r>
                </w:p>
                <w:p>
                  <w:pPr>
                    <w:pStyle w:val="null3"/>
                    <w:jc w:val="both"/>
                  </w:pPr>
                  <w:r>
                    <w:rPr>
                      <w:rFonts w:ascii="仿宋_GB2312" w:hAnsi="仿宋_GB2312" w:cs="仿宋_GB2312" w:eastAsia="仿宋_GB2312"/>
                      <w:sz w:val="18"/>
                    </w:rPr>
                    <w:t>内存</w:t>
                  </w:r>
                  <w:r>
                    <w:rPr>
                      <w:rFonts w:ascii="仿宋_GB2312" w:hAnsi="仿宋_GB2312" w:cs="仿宋_GB2312" w:eastAsia="仿宋_GB2312"/>
                      <w:sz w:val="18"/>
                    </w:rPr>
                    <w:t>:≥16G</w:t>
                  </w:r>
                </w:p>
                <w:p>
                  <w:pPr>
                    <w:pStyle w:val="null3"/>
                    <w:jc w:val="both"/>
                  </w:pPr>
                  <w:r>
                    <w:rPr>
                      <w:rFonts w:ascii="仿宋_GB2312" w:hAnsi="仿宋_GB2312" w:cs="仿宋_GB2312" w:eastAsia="仿宋_GB2312"/>
                      <w:sz w:val="18"/>
                    </w:rPr>
                    <w:t>硬盘</w:t>
                  </w:r>
                  <w:r>
                    <w:rPr>
                      <w:rFonts w:ascii="仿宋_GB2312" w:hAnsi="仿宋_GB2312" w:cs="仿宋_GB2312" w:eastAsia="仿宋_GB2312"/>
                      <w:sz w:val="18"/>
                    </w:rPr>
                    <w:t>:≥512G固态</w:t>
                  </w:r>
                </w:p>
                <w:p>
                  <w:pPr>
                    <w:pStyle w:val="null3"/>
                    <w:jc w:val="both"/>
                  </w:pPr>
                  <w:r>
                    <w:rPr>
                      <w:rFonts w:ascii="仿宋_GB2312" w:hAnsi="仿宋_GB2312" w:cs="仿宋_GB2312" w:eastAsia="仿宋_GB2312"/>
                      <w:sz w:val="18"/>
                    </w:rPr>
                    <w:t>显卡</w:t>
                  </w:r>
                  <w:r>
                    <w:rPr>
                      <w:rFonts w:ascii="仿宋_GB2312" w:hAnsi="仿宋_GB2312" w:cs="仿宋_GB2312" w:eastAsia="仿宋_GB2312"/>
                      <w:sz w:val="18"/>
                    </w:rPr>
                    <w:t>:集成集显</w:t>
                  </w:r>
                </w:p>
                <w:p>
                  <w:pPr>
                    <w:pStyle w:val="null3"/>
                    <w:jc w:val="both"/>
                  </w:pPr>
                  <w:r>
                    <w:rPr>
                      <w:rFonts w:ascii="仿宋_GB2312" w:hAnsi="仿宋_GB2312" w:cs="仿宋_GB2312" w:eastAsia="仿宋_GB2312"/>
                      <w:sz w:val="18"/>
                    </w:rPr>
                    <w:t>显示器</w:t>
                  </w:r>
                  <w:r>
                    <w:rPr>
                      <w:rFonts w:ascii="仿宋_GB2312" w:hAnsi="仿宋_GB2312" w:cs="仿宋_GB2312" w:eastAsia="仿宋_GB2312"/>
                      <w:sz w:val="18"/>
                    </w:rPr>
                    <w:t>:≥2</w:t>
                  </w:r>
                  <w:r>
                    <w:rPr>
                      <w:rFonts w:ascii="仿宋_GB2312" w:hAnsi="仿宋_GB2312" w:cs="仿宋_GB2312" w:eastAsia="仿宋_GB2312"/>
                      <w:sz w:val="18"/>
                    </w:rPr>
                    <w:t>2</w:t>
                  </w:r>
                  <w:r>
                    <w:rPr>
                      <w:rFonts w:ascii="仿宋_GB2312" w:hAnsi="仿宋_GB2312" w:cs="仿宋_GB2312" w:eastAsia="仿宋_GB2312"/>
                      <w:sz w:val="18"/>
                    </w:rPr>
                    <w:t>寸</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2"/>
              <w:gridCol w:w="442"/>
              <w:gridCol w:w="442"/>
              <w:gridCol w:w="122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7</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彩色打印机</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12台</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网络打印</w:t>
                  </w:r>
                  <w:r>
                    <w:rPr>
                      <w:rFonts w:ascii="仿宋_GB2312" w:hAnsi="仿宋_GB2312" w:cs="仿宋_GB2312" w:eastAsia="仿宋_GB2312"/>
                      <w:sz w:val="18"/>
                    </w:rPr>
                    <w:t>:支持有线和无线网络打印</w:t>
                  </w:r>
                </w:p>
                <w:p>
                  <w:pPr>
                    <w:pStyle w:val="null3"/>
                    <w:jc w:val="both"/>
                  </w:pPr>
                  <w:r>
                    <w:rPr>
                      <w:rFonts w:ascii="仿宋_GB2312" w:hAnsi="仿宋_GB2312" w:cs="仿宋_GB2312" w:eastAsia="仿宋_GB2312"/>
                      <w:sz w:val="18"/>
                    </w:rPr>
                    <w:t>基础功能</w:t>
                  </w:r>
                  <w:r>
                    <w:rPr>
                      <w:rFonts w:ascii="仿宋_GB2312" w:hAnsi="仿宋_GB2312" w:cs="仿宋_GB2312" w:eastAsia="仿宋_GB2312"/>
                      <w:sz w:val="18"/>
                    </w:rPr>
                    <w:t>:支持彩色打印、复印、扫描</w:t>
                  </w:r>
                </w:p>
                <w:p>
                  <w:pPr>
                    <w:pStyle w:val="null3"/>
                    <w:jc w:val="both"/>
                  </w:pPr>
                  <w:r>
                    <w:rPr>
                      <w:rFonts w:ascii="仿宋_GB2312" w:hAnsi="仿宋_GB2312" w:cs="仿宋_GB2312" w:eastAsia="仿宋_GB2312"/>
                      <w:sz w:val="18"/>
                    </w:rPr>
                    <w:t>支持无线</w:t>
                  </w:r>
                </w:p>
                <w:p>
                  <w:pPr>
                    <w:pStyle w:val="null3"/>
                    <w:jc w:val="both"/>
                  </w:pPr>
                  <w:r>
                    <w:rPr>
                      <w:rFonts w:ascii="仿宋_GB2312" w:hAnsi="仿宋_GB2312" w:cs="仿宋_GB2312" w:eastAsia="仿宋_GB2312"/>
                      <w:sz w:val="18"/>
                    </w:rPr>
                    <w:t>功能</w:t>
                  </w:r>
                  <w:r>
                    <w:rPr>
                      <w:rFonts w:ascii="仿宋_GB2312" w:hAnsi="仿宋_GB2312" w:cs="仿宋_GB2312" w:eastAsia="仿宋_GB2312"/>
                      <w:sz w:val="18"/>
                    </w:rPr>
                    <w:t>:支持自动双面打印</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2"/>
              <w:gridCol w:w="442"/>
              <w:gridCol w:w="442"/>
              <w:gridCol w:w="122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5G执法记录仪</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40台</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1、2K高清录像,拍照像素≥4000万</w:t>
                  </w:r>
                </w:p>
                <w:p>
                  <w:pPr>
                    <w:pStyle w:val="null3"/>
                    <w:jc w:val="both"/>
                  </w:pPr>
                  <w:r>
                    <w:rPr>
                      <w:rFonts w:ascii="仿宋_GB2312" w:hAnsi="仿宋_GB2312" w:cs="仿宋_GB2312" w:eastAsia="仿宋_GB2312"/>
                      <w:sz w:val="18"/>
                    </w:rPr>
                    <w:t>2、支持红外夜视功能</w:t>
                  </w:r>
                </w:p>
                <w:p>
                  <w:pPr>
                    <w:pStyle w:val="null3"/>
                    <w:jc w:val="both"/>
                  </w:pPr>
                  <w:r>
                    <w:rPr>
                      <w:rFonts w:ascii="仿宋_GB2312" w:hAnsi="仿宋_GB2312" w:cs="仿宋_GB2312" w:eastAsia="仿宋_GB2312"/>
                      <w:sz w:val="18"/>
                    </w:rPr>
                    <w:t>3、具备通过4G/5G无线通信方式传输视频至中心视频平台功能</w:t>
                  </w:r>
                </w:p>
                <w:p>
                  <w:pPr>
                    <w:pStyle w:val="null3"/>
                    <w:jc w:val="both"/>
                  </w:pPr>
                  <w:r>
                    <w:rPr>
                      <w:rFonts w:ascii="仿宋_GB2312" w:hAnsi="仿宋_GB2312" w:cs="仿宋_GB2312" w:eastAsia="仿宋_GB2312"/>
                      <w:sz w:val="18"/>
                    </w:rPr>
                    <w:t>4、国产定位模块,位置信息实时上传指挥中心</w:t>
                  </w:r>
                </w:p>
                <w:p>
                  <w:pPr>
                    <w:pStyle w:val="null3"/>
                    <w:jc w:val="both"/>
                  </w:pPr>
                  <w:r>
                    <w:rPr>
                      <w:rFonts w:ascii="仿宋_GB2312" w:hAnsi="仿宋_GB2312" w:cs="仿宋_GB2312" w:eastAsia="仿宋_GB2312"/>
                      <w:sz w:val="18"/>
                    </w:rPr>
                    <w:t>5、三防IP68设计(防水、防尘、防摔)</w:t>
                  </w:r>
                </w:p>
                <w:p>
                  <w:pPr>
                    <w:pStyle w:val="null3"/>
                    <w:jc w:val="both"/>
                  </w:pPr>
                  <w:r>
                    <w:rPr>
                      <w:rFonts w:ascii="仿宋_GB2312" w:hAnsi="仿宋_GB2312" w:cs="仿宋_GB2312" w:eastAsia="仿宋_GB2312"/>
                      <w:sz w:val="18"/>
                    </w:rPr>
                    <w:t>6、内置大容量电池,工作时间长</w:t>
                  </w:r>
                </w:p>
                <w:p>
                  <w:pPr>
                    <w:pStyle w:val="null3"/>
                    <w:jc w:val="both"/>
                  </w:pPr>
                  <w:r>
                    <w:rPr>
                      <w:rFonts w:ascii="仿宋_GB2312" w:hAnsi="仿宋_GB2312" w:cs="仿宋_GB2312" w:eastAsia="仿宋_GB2312"/>
                      <w:sz w:val="18"/>
                    </w:rPr>
                    <w:t>7、支持车牌识别,关键字语音识别</w:t>
                  </w:r>
                </w:p>
                <w:p>
                  <w:pPr>
                    <w:pStyle w:val="null3"/>
                    <w:jc w:val="both"/>
                  </w:pPr>
                  <w:r>
                    <w:rPr>
                      <w:rFonts w:ascii="仿宋_GB2312" w:hAnsi="仿宋_GB2312" w:cs="仿宋_GB2312" w:eastAsia="仿宋_GB2312"/>
                      <w:sz w:val="18"/>
                    </w:rPr>
                    <w:t>8、支持群组对讲,30</w:t>
                  </w:r>
                  <w:r>
                    <w:rPr>
                      <w:rFonts w:ascii="仿宋_GB2312" w:hAnsi="仿宋_GB2312" w:cs="仿宋_GB2312" w:eastAsia="仿宋_GB2312"/>
                      <w:sz w:val="18"/>
                    </w:rPr>
                    <w:t>CM</w:t>
                  </w:r>
                  <w:r>
                    <w:rPr>
                      <w:rFonts w:ascii="仿宋_GB2312" w:hAnsi="仿宋_GB2312" w:cs="仿宋_GB2312" w:eastAsia="仿宋_GB2312"/>
                      <w:sz w:val="18"/>
                    </w:rPr>
                    <w:t>处分贝最高可达</w:t>
                  </w:r>
                  <w:r>
                    <w:rPr>
                      <w:rFonts w:ascii="仿宋_GB2312" w:hAnsi="仿宋_GB2312" w:cs="仿宋_GB2312" w:eastAsia="仿宋_GB2312"/>
                      <w:sz w:val="18"/>
                    </w:rPr>
                    <w:t>85db</w:t>
                  </w:r>
                </w:p>
                <w:p>
                  <w:pPr>
                    <w:pStyle w:val="null3"/>
                    <w:jc w:val="both"/>
                  </w:pPr>
                  <w:r>
                    <w:rPr>
                      <w:rFonts w:ascii="仿宋_GB2312" w:hAnsi="仿宋_GB2312" w:cs="仿宋_GB2312" w:eastAsia="仿宋_GB2312"/>
                      <w:sz w:val="18"/>
                    </w:rPr>
                    <w:t>9、支持外接USB相机</w:t>
                  </w:r>
                </w:p>
                <w:p>
                  <w:pPr>
                    <w:pStyle w:val="null3"/>
                    <w:jc w:val="both"/>
                  </w:pPr>
                  <w:r>
                    <w:rPr>
                      <w:rFonts w:ascii="仿宋_GB2312" w:hAnsi="仿宋_GB2312" w:cs="仿宋_GB2312" w:eastAsia="仿宋_GB2312"/>
                      <w:sz w:val="18"/>
                    </w:rPr>
                    <w:t>10、传感器类型:1/3CMOS</w:t>
                  </w:r>
                </w:p>
                <w:p>
                  <w:pPr>
                    <w:pStyle w:val="null3"/>
                    <w:jc w:val="both"/>
                  </w:pPr>
                  <w:r>
                    <w:rPr>
                      <w:rFonts w:ascii="仿宋_GB2312" w:hAnsi="仿宋_GB2312" w:cs="仿宋_GB2312" w:eastAsia="仿宋_GB2312"/>
                      <w:sz w:val="18"/>
                    </w:rPr>
                    <w:t>11、屏幕尺寸:≥2.4英寸TFTLCD</w:t>
                  </w:r>
                </w:p>
                <w:p>
                  <w:pPr>
                    <w:pStyle w:val="null3"/>
                    <w:jc w:val="both"/>
                  </w:pPr>
                  <w:r>
                    <w:rPr>
                      <w:rFonts w:ascii="仿宋_GB2312" w:hAnsi="仿宋_GB2312" w:cs="仿宋_GB2312" w:eastAsia="仿宋_GB2312"/>
                      <w:sz w:val="18"/>
                    </w:rPr>
                    <w:t>12、分辨率:≥720x576</w:t>
                  </w:r>
                </w:p>
                <w:p>
                  <w:pPr>
                    <w:pStyle w:val="null3"/>
                    <w:jc w:val="both"/>
                  </w:pPr>
                  <w:r>
                    <w:rPr>
                      <w:rFonts w:ascii="仿宋_GB2312" w:hAnsi="仿宋_GB2312" w:cs="仿宋_GB2312" w:eastAsia="仿宋_GB2312"/>
                      <w:sz w:val="18"/>
                    </w:rPr>
                    <w:t>13、支持电容屏触摸</w:t>
                  </w:r>
                </w:p>
                <w:p>
                  <w:pPr>
                    <w:pStyle w:val="null3"/>
                    <w:jc w:val="both"/>
                  </w:pPr>
                  <w:r>
                    <w:rPr>
                      <w:rFonts w:ascii="仿宋_GB2312" w:hAnsi="仿宋_GB2312" w:cs="仿宋_GB2312" w:eastAsia="仿宋_GB2312"/>
                      <w:sz w:val="18"/>
                    </w:rPr>
                    <w:t>14、镜头焦距:≥2.4mm</w:t>
                  </w:r>
                </w:p>
                <w:p>
                  <w:pPr>
                    <w:pStyle w:val="null3"/>
                    <w:jc w:val="both"/>
                  </w:pPr>
                  <w:r>
                    <w:rPr>
                      <w:rFonts w:ascii="仿宋_GB2312" w:hAnsi="仿宋_GB2312" w:cs="仿宋_GB2312" w:eastAsia="仿宋_GB2312"/>
                      <w:sz w:val="18"/>
                    </w:rPr>
                    <w:t>15、镜头光圈:≥F2.2</w:t>
                  </w:r>
                </w:p>
                <w:p>
                  <w:pPr>
                    <w:pStyle w:val="null3"/>
                    <w:jc w:val="both"/>
                  </w:pPr>
                  <w:r>
                    <w:rPr>
                      <w:rFonts w:ascii="仿宋_GB2312" w:hAnsi="仿宋_GB2312" w:cs="仿宋_GB2312" w:eastAsia="仿宋_GB2312"/>
                      <w:sz w:val="18"/>
                    </w:rPr>
                    <w:t>16、水平视场角:≥120度</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交付验收合格</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所供产品的规格、数量符合招标文件、投标人承诺及采购合同约定的要求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乙方对本项目的销售及售后服务应委派专人负责，在合同履行中未经甲方同意不得擅自更换他人；乙方须出具售后服务承诺，并保证质量符合要求，按时足量完成交货。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按照法律规定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满足招标文件的需求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w:t>
            </w:r>
          </w:p>
        </w:tc>
        <w:tc>
          <w:tcPr>
            <w:tcW w:type="dxa" w:w="3322"/>
          </w:tcPr>
          <w:p>
            <w:pPr>
              <w:pStyle w:val="null3"/>
            </w:pPr>
            <w:r>
              <w:rPr>
                <w:rFonts w:ascii="仿宋_GB2312" w:hAnsi="仿宋_GB2312" w:cs="仿宋_GB2312" w:eastAsia="仿宋_GB2312"/>
              </w:rPr>
              <w:t>在中华人民共和国境内注册、具有独立民事责任能力的法人、其他组织或自然人，具备从事本采购项目的经营范围和能力，提供合法有效的企业营业执照、法人证书或登记证书。</w:t>
            </w:r>
          </w:p>
        </w:tc>
        <w:tc>
          <w:tcPr>
            <w:tcW w:type="dxa" w:w="1661"/>
          </w:tcPr>
          <w:p>
            <w:pPr>
              <w:pStyle w:val="null3"/>
            </w:pPr>
            <w:r>
              <w:rPr>
                <w:rFonts w:ascii="仿宋_GB2312" w:hAnsi="仿宋_GB2312" w:cs="仿宋_GB2312" w:eastAsia="仿宋_GB2312"/>
              </w:rPr>
              <w:t>其他资质证明文件.docx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审计报告（成立时间至开标时间不足一年的可提供成立后任意时段的资产负债表）或投标文件递交截止时间前六个月内其基本账户银行出具的资信证明（附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提供投标文件递交截止时间前12个月内任意一个月的社保缴费凭据或社保机构开具的社会保险参保缴费情况证明；依法不需要缴纳社会保障资金的供应商应提供相关文件证明；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 时间前12个月内任意一个月的缴费凭据；依法免税的应提供相关文件证明；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提供参加政府采购活动前三年内在经营活动中无重大违法记录的书面声明；</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供应商认为有必要说明的事宜.docx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投标文件落款、营业执照、相关证件、公章供应商名称完全一致。</w:t>
            </w:r>
          </w:p>
        </w:tc>
        <w:tc>
          <w:tcPr>
            <w:tcW w:type="dxa" w:w="1661"/>
          </w:tcPr>
          <w:p>
            <w:pPr>
              <w:pStyle w:val="null3"/>
            </w:pPr>
            <w:r>
              <w:rPr>
                <w:rFonts w:ascii="仿宋_GB2312" w:hAnsi="仿宋_GB2312" w:cs="仿宋_GB2312" w:eastAsia="仿宋_GB2312"/>
              </w:rPr>
              <w:t>法定代表人证明书及法定代表人授权书.docx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产品的技术文件及技术方案.docx 类似业绩的有关证明材料.docx 售后服务方案.docx 其他资质证明文件.docx 中小企业声明函 商务应答表 商务条款响应偏离表.docx 投标人应提交的相关资格证明材料 相关承诺书.docx 技术规格响应偏离表.docx 产品技术参数表 分项报价表.docx 培训计划.docx 投标函 残疾人福利性单位声明函 标的清单 投标文件封面 法定代表人证明书及法定代表人授权书.docx 响应实施方案.docx 供应商认为有必要说明的事宜.docx 节能环保、环境标志产品明细表.docx 监狱企业的证明文件 货物说明一览表.docx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产品的技术文件及技术方案.docx 类似业绩的有关证明材料.docx 售后服务方案.docx 其他资质证明文件.docx 中小企业声明函 商务应答表 商务条款响应偏离表.docx 投标人应提交的相关资格证明材料 相关承诺书.docx 技术规格响应偏离表.docx 产品技术参数表 分项报价表.docx 培训计划.docx 投标函 残疾人福利性单位声明函 标的清单 投标文件封面 法定代表人证明书及法定代表人授权书.docx 响应实施方案.docx 供应商认为有必要说明的事宜.docx 节能环保、环境标志产品明细表.docx 监狱企业的证明文件 货物说明一览表.docx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商务响应要求</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（3）投标报价完整、合理性，只能有一个有效报价，不得提交选择性报价，并未超出采购预算； （4）投标报价没有与市场价偏差较大、低于成本、可能影响货物质量或不能诚信履 约。 （5）质保期、供货期、交货地点、付款条件等。</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应满足招标文件提出的技术和功能实质性要求及服务要求。</w:t>
            </w:r>
          </w:p>
        </w:tc>
        <w:tc>
          <w:tcPr>
            <w:tcW w:type="dxa" w:w="1661"/>
          </w:tcPr>
          <w:p>
            <w:pPr>
              <w:pStyle w:val="null3"/>
            </w:pPr>
            <w:r>
              <w:rPr>
                <w:rFonts w:ascii="仿宋_GB2312" w:hAnsi="仿宋_GB2312" w:cs="仿宋_GB2312" w:eastAsia="仿宋_GB2312"/>
              </w:rPr>
              <w:t>产品的技术文件及技术方案.docx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有完全理解并接受招标文件合同草案条款要求的描述。</w:t>
            </w:r>
          </w:p>
        </w:tc>
        <w:tc>
          <w:tcPr>
            <w:tcW w:type="dxa" w:w="1661"/>
          </w:tcPr>
          <w:p>
            <w:pPr>
              <w:pStyle w:val="null3"/>
            </w:pPr>
            <w:r>
              <w:rPr>
                <w:rFonts w:ascii="仿宋_GB2312" w:hAnsi="仿宋_GB2312" w:cs="仿宋_GB2312" w:eastAsia="仿宋_GB2312"/>
              </w:rPr>
              <w:t>售后服务方案.docx 响应实施方案.docx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没有不符合招标文件规定的被视为无效响应的其他条款，要求全面响应，不能有任何采购人不能接受的附加条件。</w:t>
            </w:r>
          </w:p>
        </w:tc>
        <w:tc>
          <w:tcPr>
            <w:tcW w:type="dxa" w:w="1661"/>
          </w:tcPr>
          <w:p>
            <w:pPr>
              <w:pStyle w:val="null3"/>
            </w:pPr>
            <w:r>
              <w:rPr>
                <w:rFonts w:ascii="仿宋_GB2312" w:hAnsi="仿宋_GB2312" w:cs="仿宋_GB2312" w:eastAsia="仿宋_GB2312"/>
              </w:rPr>
              <w:t>产品的技术文件及技术方案.docx 类似业绩的有关证明材料.docx 售后服务方案.docx 其他资质证明文件.docx 中小企业声明函 商务应答表 商务条款响应偏离表.docx 投标人应提交的相关资格证明材料 相关承诺书.docx 技术规格响应偏离表.docx 产品技术参数表 分项报价表.docx 培训计划.docx 投标函 残疾人福利性单位声明函 标的清单 投标文件封面 法定代表人证明书及法定代表人授权书.docx 响应实施方案.docx 供应商认为有必要说明的事宜.docx 节能环保、环境标志产品明细表.docx 监狱企业的证明文件 货物说明一览表.docx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提供的产品（招标文件中规定的强制采购节能产品的除外）为节能产品政府采购清单中优先采购的节能产品的计1分；为环境标志产品政府采购清单中的产品的计1分；同时为节能产品政府采购清单中优先采购的节能产品和环境标志产品政府采购清单中的产品的得3分。此项满分3分（提供品目清单内产品截图和认证证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节能环保、环境标志产品明细表.docx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所投产品的技术指标、参数、性能等情况符合招标文件要求，提供产品的技术资料，满足招标文件要求得15分，负偏离将进行扣分，扣完为止，不计负分。非 ▲ 参数每负偏离1项扣0.25分；带 ▲ 号参数每负偏离1项扣0.5分。 注：投标人应提供充足的技术材料（技术材料包括但不限于检测报告、官网和功能截图、彩页、说明书等相关资料）予以佐证，佐证材料应编制在投标文件中且在技术偏离表“说明”栏中表明所在页码，否则视为未提供。未提供证明材料导致技术 指标被视为负偏离的风险，投标人自行承担。</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产品的技术文件及技术方案.docx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包含不限于：①供货产品信息；②生产能力；③运输方式；④供货组织架构与人员安排。 以上内容无缺项，专门针对本项目编制，符合本项目实际情况，内容全面详细，且条理清晰、准确、措施合理化能够保障项目顺利实施的得7分。每有一项评审内容缺项扣3分，每有一项评审内容存在一处缺陷扣1分，扣完为止。（缺陷是指：内容不完整、条理不清晰、缺少关键点、方案不具体 、针对性不强、内容无紧扣项目实际情况、表述前后不一致、现有技术条件下不可能出现的及其他不利于项目实施的情形等任意一种情形）。其他不利于项目实施的情形等任意一种情形）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货物说明一览表.docx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包含但不限于：①质量保证承诺；②质量保障措施； 以上内容无缺项，专门针对本项目编制，符合本项目实际情况，内容全面详细，且条理清晰、准确、措施合理化能够保障项目顺利实施的得5分。每小项缺项或者内容非针对于本项目的扣3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p>
            <w:pPr>
              <w:pStyle w:val="null3"/>
            </w:pPr>
            <w:r>
              <w:rPr>
                <w:rFonts w:ascii="仿宋_GB2312" w:hAnsi="仿宋_GB2312" w:cs="仿宋_GB2312" w:eastAsia="仿宋_GB2312"/>
              </w:rPr>
              <w:t>相关承诺书.docx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包含但不限于：①对紧急或突发业务的应急保障措施；②应急响应时间；③出现问题应急人员安排。 以上内容无缺项，专门针对本项目编制，符合本项目实际情况，内容全面详细，且条理清晰、准确、措施合理化能够保障项目顺利实施的得10分。每小项缺项或者内容非针对于本项目的扣3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包含但不限于：①售后服务内容；②售后服务响应时间与处理时间。 以上内容无缺项，专门针对本项目编制，符合本项目实际情况，内容全面详细，且条理清晰、准确、措施合理化能够保障项目顺利实施的得10分。每小项缺项或者内容非针对于本项目的扣4分，每小项有一处缺陷的扣1分，扣完为止。（缺 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 ①项目管理机构人员配备3-5人及以上得2分； ②项目管理机构人员配备1-2人得2分。 注：须提供人员相关专业的证书证件。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培训计划.docx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投标人具有近三年（2023年4月至今）的类似项目业绩，每提供一个业绩得1.5分，本项最高得6分。（合同复印件加盖投标人公章，以合同时间签订为准）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类似业绩的有关证明材料.docx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提供防刺服、电子镣铐样品，单品根据相关参数要求实际得分1-5分(满分10分)； 注：样品标注清样品名称、项目编号、公司名称，开标前30分钟送至陕西省大荔县西城街道洛滨大道（财政局802室）。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产品的技术文件及技术方案.docx</w:t>
            </w:r>
          </w:p>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货物说明一览表.docx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详见附件：产品的技术文件及技术方案.docx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详见附件：货物说明一览表.docx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详见附件：培训计划.docx</w:t>
      </w:r>
    </w:p>
    <w:p>
      <w:pPr>
        <w:pStyle w:val="null3"/>
        <w:ind w:firstLine="960"/>
      </w:pPr>
      <w:r>
        <w:rPr>
          <w:rFonts w:ascii="仿宋_GB2312" w:hAnsi="仿宋_GB2312" w:cs="仿宋_GB2312" w:eastAsia="仿宋_GB2312"/>
        </w:rPr>
        <w:t>详见附件：其他资质证明文件.docx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详见附件：响应实施方案.docx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