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版本号：ZXZB-2026-0520260610002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白水县尧禾镇农村生活垃圾治理试点镇项目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ZXZB-2026-05</w:t>
      </w:r>
      <w:r>
        <w:br/>
      </w:r>
      <w:r>
        <w:br/>
      </w:r>
      <w:r>
        <w:br/>
      </w:r>
    </w:p>
    <w:p>
      <w:pPr>
        <w:pStyle w:val="null3"/>
        <w:jc w:val="center"/>
        <w:outlineLvl w:val="2"/>
      </w:pPr>
      <w:r>
        <w:rPr>
          <w:rFonts w:ascii="仿宋_GB2312" w:hAnsi="仿宋_GB2312" w:cs="仿宋_GB2312" w:eastAsia="仿宋_GB2312"/>
          <w:sz w:val="28"/>
          <w:b/>
        </w:rPr>
        <w:t>白水县尧禾镇人民政府</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白水县尧禾镇人民政府</w:t>
      </w:r>
      <w:r>
        <w:rPr>
          <w:rFonts w:ascii="仿宋_GB2312" w:hAnsi="仿宋_GB2312" w:cs="仿宋_GB2312" w:eastAsia="仿宋_GB2312"/>
        </w:rPr>
        <w:t>委托，拟对</w:t>
      </w:r>
      <w:r>
        <w:rPr>
          <w:rFonts w:ascii="仿宋_GB2312" w:hAnsi="仿宋_GB2312" w:cs="仿宋_GB2312" w:eastAsia="仿宋_GB2312"/>
        </w:rPr>
        <w:t>白水县尧禾镇农村生活垃圾治理试点镇项目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ZXZB-2026-05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白水县尧禾镇农村生活垃圾治理试点镇项目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总用地面积889.2平方米（合1.33亩），总建筑面积253.36平方米，购置垃圾车1辆，以及其他附属设施等，尧禾镇农村生活垃圾集中收运枢纽承担镇域2个行政村的生活垃圾暂存，压缩，转运任务，对接白水县生活垃圾处理厂。验收要求：需满足国家相关标准，行业标准，地方标准或者其他标准，规范，符合相关政策法规。</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采购包1（白水县尧禾镇农村生活垃圾治理试点镇项目）：属于专门面向中小企业采购。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2、授权委托书：法定代表人授权委托书（附法定代表人、被授权委托人身份证复印件）及被授权委托人身份证原件（法定代表人参加投标只须提供法定代表人身份证）；</w:t>
      </w:r>
    </w:p>
    <w:p>
      <w:pPr>
        <w:pStyle w:val="null3"/>
      </w:pPr>
      <w:r>
        <w:rPr>
          <w:rFonts w:ascii="仿宋_GB2312" w:hAnsi="仿宋_GB2312" w:cs="仿宋_GB2312" w:eastAsia="仿宋_GB2312"/>
        </w:rPr>
        <w:t>3、资质要求：供应商须具备市政公用工程或建筑工程施工总承包三级及以上资质，且具备有效的安全生产许可证；</w:t>
      </w:r>
    </w:p>
    <w:p>
      <w:pPr>
        <w:pStyle w:val="null3"/>
      </w:pPr>
      <w:r>
        <w:rPr>
          <w:rFonts w:ascii="仿宋_GB2312" w:hAnsi="仿宋_GB2312" w:cs="仿宋_GB2312" w:eastAsia="仿宋_GB2312"/>
        </w:rPr>
        <w:t>4、项目经理的要求：拟派项目经理须具备市政公用工程或建筑工程专业二级及以上注册建造师证书，具备有效的安全生产考核合格证书，且不得担任其他在建施工项目的项目经理；</w:t>
      </w:r>
    </w:p>
    <w:p>
      <w:pPr>
        <w:pStyle w:val="null3"/>
      </w:pPr>
      <w:r>
        <w:rPr>
          <w:rFonts w:ascii="仿宋_GB2312" w:hAnsi="仿宋_GB2312" w:cs="仿宋_GB2312" w:eastAsia="仿宋_GB2312"/>
        </w:rPr>
        <w:t>5、信用记录查询：本项目磋商响应文件递交截止时间前供应商未被列入“信用中国”网站(www.creditchina.gov.cn)“记录失信被执行人、重大税收违法案件当事人名单和政府采购严重违法失信行为”记录名单。不得为中国政府采购网(www.ccgp.gov.cn)“政府采购严重违法失信行为信息记录” 被财政部门禁止参加政府采购活动的供应商；</w:t>
      </w:r>
    </w:p>
    <w:p>
      <w:pPr>
        <w:pStyle w:val="null3"/>
      </w:pPr>
      <w:r>
        <w:rPr>
          <w:rFonts w:ascii="仿宋_GB2312" w:hAnsi="仿宋_GB2312" w:cs="仿宋_GB2312" w:eastAsia="仿宋_GB2312"/>
        </w:rPr>
        <w:t>6、财务状况：提供2024年度完整的财务审计报告(成立时间至提交磋商响应文件截止时间不足一年的可提供成立后任意时段的资产负债表)，或磋商截止时间前六个月内其基本存款账户开户银行出具的资信证明及基本存款账户开户证明；</w:t>
      </w:r>
    </w:p>
    <w:p>
      <w:pPr>
        <w:pStyle w:val="null3"/>
      </w:pPr>
      <w:r>
        <w:rPr>
          <w:rFonts w:ascii="仿宋_GB2312" w:hAnsi="仿宋_GB2312" w:cs="仿宋_GB2312" w:eastAsia="仿宋_GB2312"/>
        </w:rPr>
        <w:t>7、税收缴纳证明：提供磋商截止日前一年内已缴纳任意一个月的纳税证明或完税证明（任意税种），依法免税的单位应提供相关证明材料；</w:t>
      </w:r>
    </w:p>
    <w:p>
      <w:pPr>
        <w:pStyle w:val="null3"/>
      </w:pPr>
      <w:r>
        <w:rPr>
          <w:rFonts w:ascii="仿宋_GB2312" w:hAnsi="仿宋_GB2312" w:cs="仿宋_GB2312" w:eastAsia="仿宋_GB2312"/>
        </w:rPr>
        <w:t>8、社会保障资金缴纳证明：提供磋商截止日前一年内已缴存的任意一个月的社会保障资金缴存单据或社保机构开具的社会保险参保缴费情况证明，依法不需要缴纳社会保障资金的单位应提供相关证明材料；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9、书面声明：参加政府采购活动前三年内，在经营活动中没有重大违法记录的书面声明；</w:t>
      </w:r>
    </w:p>
    <w:p>
      <w:pPr>
        <w:pStyle w:val="null3"/>
      </w:pPr>
      <w:r>
        <w:rPr>
          <w:rFonts w:ascii="仿宋_GB2312" w:hAnsi="仿宋_GB2312" w:cs="仿宋_GB2312" w:eastAsia="仿宋_GB2312"/>
        </w:rPr>
        <w:t>10、说明及承诺书：具备履行合同所必需的设备和专业技术能力的书面声明；</w:t>
      </w:r>
    </w:p>
    <w:p>
      <w:pPr>
        <w:pStyle w:val="null3"/>
      </w:pPr>
      <w:r>
        <w:rPr>
          <w:rFonts w:ascii="仿宋_GB2312" w:hAnsi="仿宋_GB2312" w:cs="仿宋_GB2312" w:eastAsia="仿宋_GB2312"/>
        </w:rPr>
        <w:t>11、本项目不接受联合体磋商：本项目不接受联合体磋商（提供承诺书）；</w:t>
      </w:r>
    </w:p>
    <w:p>
      <w:pPr>
        <w:pStyle w:val="null3"/>
      </w:pPr>
      <w:r>
        <w:rPr>
          <w:rFonts w:ascii="仿宋_GB2312" w:hAnsi="仿宋_GB2312" w:cs="仿宋_GB2312" w:eastAsia="仿宋_GB2312"/>
        </w:rPr>
        <w:t>12、磋商保证金：提供磋商保证金缴纳凭证。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白水县尧禾镇人民政府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白水县尧禾镇人民政府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19992365500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冯佩佩、王涛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15353108309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采购包1：1,080,179.83元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开户名称：中昕国际项目管理有限公司</w:t>
            </w:r>
          </w:p>
          <w:p>
            <w:pPr>
              <w:pStyle w:val="null3"/>
            </w:pPr>
            <w:r>
              <w:rPr>
                <w:rFonts w:ascii="仿宋_GB2312" w:hAnsi="仿宋_GB2312" w:cs="仿宋_GB2312" w:eastAsia="仿宋_GB2312"/>
              </w:rPr>
              <w:t>开户银行：平安银行西安经济技术开发区支行</w:t>
            </w:r>
          </w:p>
          <w:p>
            <w:pPr>
              <w:pStyle w:val="null3"/>
            </w:pPr>
            <w:r>
              <w:rPr>
                <w:rFonts w:ascii="仿宋_GB2312" w:hAnsi="仿宋_GB2312" w:cs="仿宋_GB2312" w:eastAsia="仿宋_GB2312"/>
              </w:rPr>
              <w:t>银行账号：30201687008427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代理服务费收费标准：代理服务费用收取对象：中标/成交供应商 代理服务费收费标准：参照国家计委《招标代理服务收费管理暂行办法》(计价格[2002]1980 号)、国家发展和改革委员会《国家发改委办公厅关于招标代理服务收费有关问题的通知》(发改 办价格[2003]857号)</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白水县尧禾镇人民政府</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白水县尧禾镇人民政府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白水县尧禾镇人民政府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符合国家及行业相关施工验收规范、设计图纸、采购文件及合同约定，工程质量合格，满足项目使用功能。</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联系人：冯佩佩、王涛</w:t>
      </w:r>
    </w:p>
    <w:p>
      <w:pPr>
        <w:pStyle w:val="null3"/>
      </w:pPr>
      <w:r>
        <w:rPr>
          <w:rFonts w:ascii="仿宋_GB2312" w:hAnsi="仿宋_GB2312" w:cs="仿宋_GB2312" w:eastAsia="仿宋_GB2312"/>
        </w:rPr>
        <w:t>联系电话：15353108309</w:t>
      </w:r>
    </w:p>
    <w:p>
      <w:pPr>
        <w:pStyle w:val="null3"/>
      </w:pPr>
      <w:r>
        <w:rPr>
          <w:rFonts w:ascii="仿宋_GB2312" w:hAnsi="仿宋_GB2312" w:cs="仿宋_GB2312" w:eastAsia="仿宋_GB2312"/>
        </w:rPr>
        <w:t>地址：陕西省西安市未央区西安经济技术开发区凤城十二路首创禧悦里25幢A座16层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1,080,179.83</w:t>
      </w:r>
    </w:p>
    <w:p>
      <w:pPr>
        <w:pStyle w:val="null3"/>
      </w:pPr>
      <w:r>
        <w:rPr>
          <w:rFonts w:ascii="仿宋_GB2312" w:hAnsi="仿宋_GB2312" w:cs="仿宋_GB2312" w:eastAsia="仿宋_GB2312"/>
        </w:rPr>
        <w:t>采购包最高限价（元）: 1,080,179.83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 白水县尧禾镇农村生活垃圾治理试点镇项目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1,080,179.83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 白水县尧禾镇农村生活垃圾治理试点镇项目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333333"/>
              </w:rPr>
              <w:t xml:space="preserve">该项目总用 </w:t>
            </w:r>
            <w:r>
              <w:rPr>
                <w:rFonts w:ascii="仿宋_GB2312" w:hAnsi="仿宋_GB2312" w:cs="仿宋_GB2312" w:eastAsia="仿宋_GB2312"/>
                <w:sz w:val="21"/>
                <w:color w:val="333333"/>
              </w:rPr>
              <w:t xml:space="preserve">地面积889.2平方米 </w:t>
            </w:r>
            <w:r>
              <w:rPr>
                <w:rFonts w:ascii="仿宋_GB2312" w:hAnsi="仿宋_GB2312" w:cs="仿宋_GB2312" w:eastAsia="仿宋_GB2312"/>
                <w:sz w:val="21"/>
                <w:color w:val="333333"/>
              </w:rPr>
              <w:t>（合1.33亩），总建筑</w:t>
            </w:r>
            <w:r>
              <w:rPr>
                <w:rFonts w:ascii="仿宋_GB2312" w:hAnsi="仿宋_GB2312" w:cs="仿宋_GB2312" w:eastAsia="仿宋_GB2312"/>
                <w:sz w:val="21"/>
                <w:color w:val="333333"/>
              </w:rPr>
              <w:t>面积253.36平方米，购</w:t>
            </w:r>
            <w:r>
              <w:rPr>
                <w:rFonts w:ascii="仿宋_GB2312" w:hAnsi="仿宋_GB2312" w:cs="仿宋_GB2312" w:eastAsia="仿宋_GB2312"/>
                <w:sz w:val="21"/>
                <w:color w:val="333333"/>
              </w:rPr>
              <w:t>置垃圾车1辆，以及其</w:t>
            </w:r>
            <w:r>
              <w:rPr>
                <w:rFonts w:ascii="仿宋_GB2312" w:hAnsi="仿宋_GB2312" w:cs="仿宋_GB2312" w:eastAsia="仿宋_GB2312"/>
                <w:sz w:val="21"/>
                <w:color w:val="333333"/>
              </w:rPr>
              <w:t>他附属设施等，尧禾镇</w:t>
            </w:r>
            <w:r>
              <w:rPr>
                <w:rFonts w:ascii="仿宋_GB2312" w:hAnsi="仿宋_GB2312" w:cs="仿宋_GB2312" w:eastAsia="仿宋_GB2312"/>
                <w:sz w:val="21"/>
                <w:color w:val="333333"/>
              </w:rPr>
              <w:t>农村生活垃圾集中收运</w:t>
            </w:r>
            <w:r>
              <w:rPr>
                <w:rFonts w:ascii="仿宋_GB2312" w:hAnsi="仿宋_GB2312" w:cs="仿宋_GB2312" w:eastAsia="仿宋_GB2312"/>
                <w:sz w:val="21"/>
                <w:color w:val="333333"/>
              </w:rPr>
              <w:t>枢纽承担镇域2个行政</w:t>
            </w:r>
            <w:r>
              <w:rPr>
                <w:rFonts w:ascii="仿宋_GB2312" w:hAnsi="仿宋_GB2312" w:cs="仿宋_GB2312" w:eastAsia="仿宋_GB2312"/>
                <w:sz w:val="21"/>
                <w:color w:val="333333"/>
              </w:rPr>
              <w:t>村的生活垃圾暂存，压</w:t>
            </w:r>
            <w:r>
              <w:rPr>
                <w:rFonts w:ascii="仿宋_GB2312" w:hAnsi="仿宋_GB2312" w:cs="仿宋_GB2312" w:eastAsia="仿宋_GB2312"/>
                <w:sz w:val="21"/>
                <w:color w:val="333333"/>
              </w:rPr>
              <w:t>缩，转运任务，对接白</w:t>
            </w:r>
            <w:r>
              <w:rPr>
                <w:rFonts w:ascii="仿宋_GB2312" w:hAnsi="仿宋_GB2312" w:cs="仿宋_GB2312" w:eastAsia="仿宋_GB2312"/>
                <w:sz w:val="21"/>
                <w:color w:val="333333"/>
              </w:rPr>
              <w:t xml:space="preserve">水县生活垃圾处理厂。 </w:t>
            </w:r>
            <w:r>
              <w:rPr>
                <w:rFonts w:ascii="仿宋_GB2312" w:hAnsi="仿宋_GB2312" w:cs="仿宋_GB2312" w:eastAsia="仿宋_GB2312"/>
                <w:sz w:val="21"/>
                <w:color w:val="333333"/>
              </w:rPr>
              <w:t>验收要求：需满足国家</w:t>
            </w:r>
            <w:r>
              <w:rPr>
                <w:rFonts w:ascii="仿宋_GB2312" w:hAnsi="仿宋_GB2312" w:cs="仿宋_GB2312" w:eastAsia="仿宋_GB2312"/>
                <w:sz w:val="21"/>
                <w:color w:val="333333"/>
              </w:rPr>
              <w:t>相关标准，行业标准，</w:t>
            </w:r>
            <w:r>
              <w:rPr>
                <w:rFonts w:ascii="仿宋_GB2312" w:hAnsi="仿宋_GB2312" w:cs="仿宋_GB2312" w:eastAsia="仿宋_GB2312"/>
                <w:sz w:val="21"/>
                <w:color w:val="333333"/>
              </w:rPr>
              <w:t>地方标准或者其他标</w:t>
            </w:r>
            <w:r>
              <w:rPr>
                <w:rFonts w:ascii="仿宋_GB2312" w:hAnsi="仿宋_GB2312" w:cs="仿宋_GB2312" w:eastAsia="仿宋_GB2312"/>
                <w:sz w:val="21"/>
                <w:color w:val="333333"/>
              </w:rPr>
              <w:t>准，规范，符合相关政</w:t>
            </w:r>
            <w:r>
              <w:rPr>
                <w:rFonts w:ascii="仿宋_GB2312" w:hAnsi="仿宋_GB2312" w:cs="仿宋_GB2312" w:eastAsia="仿宋_GB2312"/>
                <w:sz w:val="21"/>
                <w:color w:val="333333"/>
              </w:rPr>
              <w:t>策法规。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自合同签订之日起240日历天内完成全部工程施工并达到验收条件。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年度经审计的财务报告（包含审计报告和审计报告中所涉及的财务报表和报表附注），②可提供2024年度供应商完整的全套财务报表（应当包括资产负债表、利润表、现金流量表、所有者权益变动表、附注），③可提供截至磋商响应文件提交截止日六个月内银行出具的资信证明，④供应商注册时间截至磋商响应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法定代表人授权委托书（附法定代表人、被授权委托人身份证复印件）及被授权委托人身份证原件（法定代表人参加投标只须提供法定代表人身份证）；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供应商须具备市政公用工程或建筑工程施工总承包三级及以上资质，且具备有效的安全生产许可证；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项目经理的要求</w:t>
            </w:r>
          </w:p>
        </w:tc>
        <w:tc>
          <w:tcPr>
            <w:tcW w:type="dxa" w:w="3322"/>
          </w:tcPr>
          <w:p>
            <w:pPr>
              <w:pStyle w:val="null3"/>
            </w:pPr>
            <w:r>
              <w:rPr>
                <w:rFonts w:ascii="仿宋_GB2312" w:hAnsi="仿宋_GB2312" w:cs="仿宋_GB2312" w:eastAsia="仿宋_GB2312"/>
              </w:rPr>
              <w:t>拟派项目经理须具备市政公用工程或建筑工程专业二级及以上注册建造师证书，具备有效的安全生产考核合格证书，且不得担任其他在建施工项目的项目经理；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本项目磋商响应文件递交截止时间前供应商未被列入“信用中国”网站(www.creditchina.gov.cn)“记录失信被执行人、重大税收违法案件当事人名单和政府采购严重违法失信行为”记录名单。不得为中国政府采购网(www.ccgp.gov.cn)“政府采购严重违法失信行为信息记录” 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完整的财务审计报告(成立时间至提交磋商响应文件截止时间不足一年的可提供成立后任意时段的资产负债表)，或磋商截止时间前六个月内其基本存款账户开户银行出具的资信证明及基本存款账户开户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提供磋商截止日前一年内已缴纳任意一个月的纳税证明或完税证明（任意税种），依法免税的单位应提供相关证明材料；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具备履行合同所必需的设备和专业技术能力的书面声明；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提供磋商保证金缴纳凭证。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技术服务合同条款及其他商务要求应答表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磋商文件盖章</w:t>
            </w:r>
          </w:p>
        </w:tc>
        <w:tc>
          <w:tcPr>
            <w:tcW w:type="dxa" w:w="3322"/>
          </w:tcPr>
          <w:p>
            <w:pPr>
              <w:pStyle w:val="null3"/>
            </w:pPr>
            <w:r>
              <w:rPr>
                <w:rFonts w:ascii="仿宋_GB2312" w:hAnsi="仿宋_GB2312" w:cs="仿宋_GB2312" w:eastAsia="仿宋_GB2312"/>
              </w:rPr>
              <w:t xml:space="preserve"> 响应文件盖章满足磋商文件的要求</w:t>
            </w:r>
          </w:p>
        </w:tc>
        <w:tc>
          <w:tcPr>
            <w:tcW w:type="dxa" w:w="1661"/>
          </w:tcPr>
          <w:p>
            <w:pPr>
              <w:pStyle w:val="null3"/>
            </w:pPr>
            <w:r>
              <w:rPr>
                <w:rFonts w:ascii="仿宋_GB2312" w:hAnsi="仿宋_GB2312" w:cs="仿宋_GB2312" w:eastAsia="仿宋_GB2312"/>
              </w:rPr>
              <w:t>响应文件封面 中小企业声明函 报价函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w:t>
            </w:r>
          </w:p>
        </w:tc>
        <w:tc>
          <w:tcPr>
            <w:tcW w:type="dxa" w:w="3322"/>
          </w:tcPr>
          <w:p>
            <w:pPr>
              <w:pStyle w:val="null3"/>
            </w:pPr>
            <w:r>
              <w:rPr>
                <w:rFonts w:ascii="仿宋_GB2312" w:hAnsi="仿宋_GB2312" w:cs="仿宋_GB2312" w:eastAsia="仿宋_GB2312"/>
              </w:rPr>
              <w:t>响应文件法定代表人（或其他组织负责人）或 其授权代表签字满足磋商文件的要求</w:t>
            </w:r>
          </w:p>
        </w:tc>
        <w:tc>
          <w:tcPr>
            <w:tcW w:type="dxa" w:w="1661"/>
          </w:tcPr>
          <w:p>
            <w:pPr>
              <w:pStyle w:val="null3"/>
            </w:pPr>
            <w:r>
              <w:rPr>
                <w:rFonts w:ascii="仿宋_GB2312" w:hAnsi="仿宋_GB2312" w:cs="仿宋_GB2312" w:eastAsia="仿宋_GB2312"/>
              </w:rPr>
              <w:t>响应文件封面 中小企业声明函 报价函 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 xml:space="preserve"> 响应文件中磋商有效期满足磋商文件的要求</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响应报价唯一，响应报价未超出采购预算和最 高限价</w:t>
            </w:r>
          </w:p>
        </w:tc>
        <w:tc>
          <w:tcPr>
            <w:tcW w:type="dxa" w:w="1661"/>
          </w:tcPr>
          <w:p>
            <w:pPr>
              <w:pStyle w:val="null3"/>
            </w:pPr>
            <w:r>
              <w:rPr>
                <w:rFonts w:ascii="仿宋_GB2312" w:hAnsi="仿宋_GB2312" w:cs="仿宋_GB2312" w:eastAsia="仿宋_GB2312"/>
              </w:rPr>
              <w:t>响应文件封面 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评审内容: 内容至少包括①施工总平面布置;②施工目标:安全目标、工期目标、质量目标;③资源配备计划:主要施工机械设备、劳动力等配备计划及主材进场计划;评审标准:1.完整性:响应全面，对评审内容中的各项要求有详细描述:2.可实施性:内容科学，步骤清晰、合理，可实施性强:3.针对性:能够紧扣项目实际情况，满足具体要求。 赋分标准(9分): ①每一项评审内容完全满足评审标准得3分; ②每一项评审内容，若存在不明确、不合理、不完整、针对性不强等方面，扣1分;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 内容至少包括①施工准备;②施工方法；③相关技术措施;④工程重点难点分析；⑤解决方法措施。评审标准: 1.完整性:响应全面，对评审内容中的各项要求有详细描述:2.可实施性:内容科学，步骤清晰、合理，可实施性强;3.针对性:能够紧扣项目实际情况，满足具体要求。赋分标准(15分): ①每一项评审内容完全满足评审标准得3分; ②每一项评审内容，若存在不明确、不合理、不完整、针对性不强等方面，扣1分; ③每一项评审内容不提供或完全背离评审标准得0分。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 措施</w:t>
            </w:r>
          </w:p>
        </w:tc>
        <w:tc>
          <w:tcPr>
            <w:tcW w:type="dxa" w:w="2492"/>
          </w:tcPr>
          <w:p>
            <w:pPr>
              <w:pStyle w:val="null3"/>
            </w:pPr>
            <w:r>
              <w:rPr>
                <w:rFonts w:ascii="仿宋_GB2312" w:hAnsi="仿宋_GB2312" w:cs="仿宋_GB2312" w:eastAsia="仿宋_GB2312"/>
              </w:rPr>
              <w:t>评审内容： 内容至少包括①施工进度计划；②施工组织方案；③工期保障措施。 评审标准： 1.完整性：响应全面，对评审内容中的各项要求有详细描述； 2.可实施性：内容科学，步骤清晰、合理，可实施性强； 3.针对性：能够紧扣项目实际情况，满足具体要求。 赋分标准（9分）： ①每一项评审内容完全满足评审标准得3分； ②每一项评审内容，若存在不明确、不合理、不完整、针对性不强等方面，扣1分；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 组织措施</w:t>
            </w:r>
          </w:p>
        </w:tc>
        <w:tc>
          <w:tcPr>
            <w:tcW w:type="dxa" w:w="2492"/>
          </w:tcPr>
          <w:p>
            <w:pPr>
              <w:pStyle w:val="null3"/>
            </w:pPr>
            <w:r>
              <w:rPr>
                <w:rFonts w:ascii="仿宋_GB2312" w:hAnsi="仿宋_GB2312" w:cs="仿宋_GB2312" w:eastAsia="仿宋_GB2312"/>
              </w:rPr>
              <w:t>评审内容： 内容至少包括①质量管理体系；②质量管理目标；③施工质量保障措施。 评审标准： 1.完整性：响应全面，对 评审内容中的各项要求有详细描述； 2.可实施性：内容科学，步骤清晰、合理，可实施性强； 3.针对性：能够紧扣项目实际情况，满足具体要求。 赋分标准（9分）： ①每一项评审内容完全满足评审标准得3分； ②每一项评审内容，若存在不明确、不合理、不完整、针对性不强等方面，扣1分；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 组织措施</w:t>
            </w:r>
          </w:p>
        </w:tc>
        <w:tc>
          <w:tcPr>
            <w:tcW w:type="dxa" w:w="2492"/>
          </w:tcPr>
          <w:p>
            <w:pPr>
              <w:pStyle w:val="null3"/>
            </w:pPr>
            <w:r>
              <w:rPr>
                <w:rFonts w:ascii="仿宋_GB2312" w:hAnsi="仿宋_GB2312" w:cs="仿宋_GB2312" w:eastAsia="仿宋_GB2312"/>
              </w:rPr>
              <w:t>评审内容： 内容至少包括①安全生产管理制度②安全施工措施③安全应急预案。 评审标准： 1.完整性 ：响应全面，对评审内容中的各项要求有详细描述； 2.可实施性：内容科学，步骤清晰、合理，可实施 性强； 3.针对性：能够紧扣项目实际情况，满足具体要求。 赋分标准（9分）： ①每一项评审内容完全满足评审标准得3分； ②每一项评审内容，若存在不明确、不合理、不完整、针对性不强等方面，扣1分；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 组织措施及环境保护 措施</w:t>
            </w:r>
          </w:p>
        </w:tc>
        <w:tc>
          <w:tcPr>
            <w:tcW w:type="dxa" w:w="2492"/>
          </w:tcPr>
          <w:p>
            <w:pPr>
              <w:pStyle w:val="null3"/>
            </w:pPr>
            <w:r>
              <w:rPr>
                <w:rFonts w:ascii="仿宋_GB2312" w:hAnsi="仿宋_GB2312" w:cs="仿宋_GB2312" w:eastAsia="仿宋_GB2312"/>
              </w:rPr>
              <w:t>评审内容： 内容至少包括①文明施工管理体系及保障措施；②防尘降噪措施；③环境保护管理体系及保 障措施。 评审标准： 1.完整性：响应全面，对评审内容中的各项要求有详细描述； 2.可实施性：内容科学，步骤清晰、合理，可实施性强； 3.针对性：能够紧扣项目实际情况，满足具体要求。 赋分标准（9分）： ①每一项评审内容完全满足评审标准得3分； ②每一项评审内容，若存在不明确、不合理、不完整、针对性不强等方面，扣1分；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项目管理机构配备情况 评审内容：供应商针对本项目编制科学的项目管理机构，内容包含:①管理机构组 织图②组织机构的岗位职责及人员配备情况。 评审标准： 1.完整性：响应全面，对评审内容中的各项 要求有详细描述； 2.可实施性：内容科学，步骤清晰、合理，可实施性强； 3.针对性：能够紧扣项目实 际情况，满足具体要求。 赋分标准（6分）： ①每一项评审内容完全满足评审标准得3分； ②每一项评审内容，若存在不明确、不合理、不完整、针对性不强等方面，扣1分； ③每一项评审内容不提供或完全背离评审标准得0分。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供应商提供近三年（2023年1月1日至今）的类似业绩（时间以合同签订时间为准），每提供一份得2分，最多得4分，未提供得0分。（以合同签订时间为准）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报价。满足磋商文件要求且磋商价格最低的磋商报价为评标基准价，其价格分为满分。价格分按照下列公式计算。报价得分=(评标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