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17579">
      <w:pPr>
        <w:spacing w:before="120" w:line="360" w:lineRule="auto"/>
        <w:jc w:val="center"/>
        <w:outlineLvl w:val="0"/>
        <w:rPr>
          <w:rFonts w:hint="eastAsia" w:ascii="宋体" w:hAnsi="宋体" w:eastAsia="宋体" w:cs="宋体"/>
          <w:b/>
          <w:bCs/>
          <w:color w:val="auto"/>
          <w:sz w:val="36"/>
          <w:szCs w:val="36"/>
          <w:highlight w:val="none"/>
        </w:rPr>
      </w:pPr>
      <w:bookmarkStart w:id="0" w:name="_Toc7783"/>
      <w:bookmarkStart w:id="1" w:name="_Toc4518"/>
    </w:p>
    <w:p w14:paraId="2514DBC9">
      <w:pPr>
        <w:spacing w:before="120" w:line="360" w:lineRule="auto"/>
        <w:jc w:val="both"/>
        <w:outlineLvl w:val="0"/>
        <w:rPr>
          <w:rFonts w:hint="eastAsia" w:ascii="宋体" w:hAnsi="宋体" w:eastAsia="宋体" w:cs="宋体"/>
          <w:b/>
          <w:bCs/>
          <w:color w:val="auto"/>
          <w:sz w:val="36"/>
          <w:szCs w:val="36"/>
          <w:highlight w:val="none"/>
        </w:rPr>
      </w:pPr>
    </w:p>
    <w:p w14:paraId="5F544837">
      <w:pPr>
        <w:spacing w:before="120" w:line="360" w:lineRule="auto"/>
        <w:jc w:val="center"/>
        <w:outlineLvl w:val="0"/>
        <w:rPr>
          <w:rFonts w:hint="eastAsia" w:ascii="宋体" w:hAnsi="宋体" w:eastAsia="宋体" w:cs="宋体"/>
          <w:b/>
          <w:bCs/>
          <w:color w:val="auto"/>
          <w:sz w:val="36"/>
          <w:szCs w:val="36"/>
          <w:highlight w:val="none"/>
        </w:rPr>
      </w:pPr>
    </w:p>
    <w:p w14:paraId="4FE48606">
      <w:pPr>
        <w:spacing w:before="120" w:line="360" w:lineRule="auto"/>
        <w:jc w:val="center"/>
        <w:outlineLvl w:val="0"/>
        <w:rPr>
          <w:rFonts w:hint="eastAsia" w:ascii="宋体" w:hAnsi="宋体" w:eastAsia="宋体" w:cs="宋体"/>
          <w:b/>
          <w:bCs/>
          <w:color w:val="auto"/>
          <w:sz w:val="48"/>
          <w:szCs w:val="48"/>
          <w:highlight w:val="none"/>
        </w:rPr>
      </w:pPr>
      <w:r>
        <w:rPr>
          <w:rFonts w:hint="eastAsia" w:ascii="宋体" w:hAnsi="宋体" w:eastAsia="宋体" w:cs="宋体"/>
          <w:b/>
          <w:bCs/>
          <w:color w:val="auto"/>
          <w:sz w:val="48"/>
          <w:szCs w:val="48"/>
          <w:highlight w:val="none"/>
        </w:rPr>
        <w:t>政 府 采 购 合 同</w:t>
      </w:r>
      <w:bookmarkEnd w:id="0"/>
      <w:bookmarkEnd w:id="1"/>
    </w:p>
    <w:p w14:paraId="4BE8E18B">
      <w:pPr>
        <w:spacing w:before="120" w:line="360" w:lineRule="auto"/>
        <w:jc w:val="center"/>
        <w:rPr>
          <w:rFonts w:hint="eastAsia" w:ascii="宋体" w:hAnsi="宋体" w:eastAsia="宋体" w:cs="宋体"/>
          <w:color w:val="auto"/>
          <w:sz w:val="28"/>
          <w:szCs w:val="28"/>
          <w:highlight w:val="none"/>
          <w:lang w:eastAsia="zh-CN"/>
        </w:rPr>
      </w:pPr>
      <w:r>
        <w:rPr>
          <w:rFonts w:hint="eastAsia" w:cs="宋体"/>
          <w:color w:val="auto"/>
          <w:sz w:val="28"/>
          <w:szCs w:val="28"/>
          <w:highlight w:val="none"/>
          <w:lang w:eastAsia="zh-CN"/>
        </w:rPr>
        <w:t>（参考文本）</w:t>
      </w:r>
    </w:p>
    <w:p w14:paraId="6211868D">
      <w:pPr>
        <w:spacing w:before="120" w:line="360" w:lineRule="auto"/>
        <w:ind w:firstLine="3064" w:firstLineChars="1090"/>
        <w:outlineLvl w:val="0"/>
        <w:rPr>
          <w:rFonts w:hint="eastAsia" w:ascii="宋体" w:hAnsi="宋体" w:eastAsia="宋体" w:cs="宋体"/>
          <w:color w:val="auto"/>
          <w:sz w:val="28"/>
          <w:szCs w:val="28"/>
          <w:highlight w:val="none"/>
        </w:rPr>
      </w:pPr>
      <w:bookmarkStart w:id="2" w:name="_Toc10857"/>
      <w:bookmarkStart w:id="3" w:name="_Toc109542396"/>
      <w:bookmarkStart w:id="4" w:name="_Toc109543216"/>
      <w:bookmarkStart w:id="5" w:name="_Toc9576"/>
      <w:r>
        <w:rPr>
          <w:rFonts w:hint="eastAsia" w:ascii="宋体" w:hAnsi="宋体" w:eastAsia="宋体" w:cs="宋体"/>
          <w:b/>
          <w:bCs/>
          <w:color w:val="auto"/>
          <w:sz w:val="28"/>
          <w:szCs w:val="28"/>
          <w:highlight w:val="none"/>
        </w:rPr>
        <w:t>合同编号：</w:t>
      </w:r>
      <w:bookmarkEnd w:id="2"/>
      <w:bookmarkEnd w:id="3"/>
      <w:bookmarkEnd w:id="4"/>
      <w:bookmarkEnd w:id="5"/>
      <w:r>
        <w:rPr>
          <w:rFonts w:hint="eastAsia" w:ascii="宋体" w:hAnsi="宋体" w:eastAsia="宋体" w:cs="宋体"/>
          <w:b/>
          <w:bCs/>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3A4F0DA7">
      <w:pPr>
        <w:pStyle w:val="2"/>
        <w:spacing w:before="120" w:line="360" w:lineRule="auto"/>
        <w:ind w:firstLine="0"/>
        <w:rPr>
          <w:rFonts w:hint="eastAsia" w:ascii="宋体" w:hAnsi="宋体" w:eastAsia="宋体" w:cs="宋体"/>
          <w:color w:val="auto"/>
          <w:sz w:val="28"/>
          <w:szCs w:val="28"/>
          <w:highlight w:val="none"/>
        </w:rPr>
      </w:pPr>
    </w:p>
    <w:p w14:paraId="0E7A473A">
      <w:pPr>
        <w:spacing w:before="120" w:line="360" w:lineRule="auto"/>
        <w:rPr>
          <w:rFonts w:hint="eastAsia" w:ascii="宋体" w:hAnsi="宋体" w:eastAsia="宋体" w:cs="宋体"/>
          <w:b/>
          <w:bCs/>
          <w:color w:val="auto"/>
          <w:sz w:val="28"/>
          <w:szCs w:val="28"/>
          <w:highlight w:val="none"/>
        </w:rPr>
      </w:pPr>
    </w:p>
    <w:p w14:paraId="0AB5C55D">
      <w:pPr>
        <w:pStyle w:val="3"/>
        <w:spacing w:line="360" w:lineRule="auto"/>
        <w:rPr>
          <w:rFonts w:hint="eastAsia" w:ascii="宋体" w:hAnsi="宋体" w:eastAsia="宋体" w:cs="宋体"/>
          <w:b/>
          <w:bCs/>
          <w:color w:val="auto"/>
          <w:sz w:val="28"/>
          <w:szCs w:val="28"/>
          <w:highlight w:val="none"/>
        </w:rPr>
      </w:pPr>
    </w:p>
    <w:p w14:paraId="1C0A79B4">
      <w:pPr>
        <w:spacing w:line="360" w:lineRule="auto"/>
        <w:rPr>
          <w:rFonts w:hint="eastAsia" w:ascii="宋体" w:hAnsi="宋体" w:eastAsia="宋体" w:cs="宋体"/>
          <w:b/>
          <w:bCs/>
          <w:color w:val="auto"/>
          <w:sz w:val="28"/>
          <w:szCs w:val="28"/>
          <w:highlight w:val="none"/>
        </w:rPr>
      </w:pPr>
    </w:p>
    <w:p w14:paraId="7ACB4D68">
      <w:pPr>
        <w:pStyle w:val="3"/>
        <w:spacing w:line="360" w:lineRule="auto"/>
        <w:rPr>
          <w:rFonts w:hint="eastAsia" w:ascii="宋体" w:hAnsi="宋体" w:eastAsia="宋体" w:cs="宋体"/>
          <w:color w:val="auto"/>
          <w:highlight w:val="none"/>
        </w:rPr>
      </w:pPr>
    </w:p>
    <w:p w14:paraId="1C9C0439">
      <w:pPr>
        <w:spacing w:before="120" w:line="360" w:lineRule="auto"/>
        <w:ind w:left="960"/>
        <w:outlineLvl w:val="0"/>
        <w:rPr>
          <w:rFonts w:hint="eastAsia" w:cs="宋体"/>
          <w:b/>
          <w:bCs/>
          <w:color w:val="auto"/>
          <w:sz w:val="28"/>
          <w:szCs w:val="28"/>
          <w:highlight w:val="none"/>
          <w:u w:val="single"/>
          <w:lang w:val="en-US" w:eastAsia="zh-CN"/>
        </w:rPr>
      </w:pPr>
      <w:bookmarkStart w:id="6" w:name="_Toc10914"/>
      <w:bookmarkStart w:id="7" w:name="_Toc13367"/>
      <w:r>
        <w:rPr>
          <w:rFonts w:hint="eastAsia" w:ascii="宋体" w:hAnsi="宋体" w:eastAsia="宋体" w:cs="宋体"/>
          <w:b/>
          <w:bCs/>
          <w:color w:val="auto"/>
          <w:sz w:val="28"/>
          <w:szCs w:val="28"/>
          <w:highlight w:val="none"/>
        </w:rPr>
        <w:t>采购项目名称</w:t>
      </w:r>
      <w:r>
        <w:rPr>
          <w:rFonts w:hint="eastAsia" w:ascii="宋体" w:hAnsi="宋体" w:eastAsia="宋体" w:cs="宋体"/>
          <w:b/>
          <w:bCs/>
          <w:color w:val="auto"/>
          <w:sz w:val="28"/>
          <w:szCs w:val="28"/>
          <w:highlight w:val="none"/>
          <w:lang w:val="en-US" w:eastAsia="zh-CN"/>
        </w:rPr>
        <w:t xml:space="preserve"> </w:t>
      </w:r>
      <w:r>
        <w:rPr>
          <w:rFonts w:hint="eastAsia" w:ascii="宋体" w:hAnsi="宋体" w:eastAsia="宋体" w:cs="宋体"/>
          <w:b/>
          <w:bCs/>
          <w:color w:val="auto"/>
          <w:sz w:val="28"/>
          <w:szCs w:val="28"/>
          <w:highlight w:val="none"/>
        </w:rPr>
        <w:t>：</w:t>
      </w:r>
      <w:bookmarkEnd w:id="6"/>
      <w:bookmarkEnd w:id="7"/>
      <w:r>
        <w:rPr>
          <w:rFonts w:hint="eastAsia" w:cs="宋体"/>
          <w:b/>
          <w:bCs/>
          <w:color w:val="auto"/>
          <w:sz w:val="28"/>
          <w:szCs w:val="28"/>
          <w:highlight w:val="none"/>
          <w:u w:val="single"/>
          <w:lang w:val="en-US" w:eastAsia="zh-CN"/>
        </w:rPr>
        <w:t xml:space="preserve">                                  </w:t>
      </w:r>
      <w:bookmarkStart w:id="8" w:name="_Toc4385"/>
      <w:bookmarkStart w:id="9" w:name="_Toc27013"/>
    </w:p>
    <w:p w14:paraId="3CFE31A1">
      <w:pPr>
        <w:spacing w:before="120" w:line="360" w:lineRule="auto"/>
        <w:ind w:left="960"/>
        <w:outlineLvl w:val="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采购人</w:t>
      </w:r>
      <w:r>
        <w:rPr>
          <w:rFonts w:hint="eastAsia" w:ascii="宋体" w:hAnsi="宋体" w:eastAsia="宋体" w:cs="宋体"/>
          <w:b/>
          <w:bCs/>
          <w:color w:val="auto"/>
          <w:sz w:val="28"/>
          <w:szCs w:val="28"/>
          <w:highlight w:val="none"/>
          <w:lang w:eastAsia="zh-CN"/>
        </w:rPr>
        <w:t>（甲方）</w:t>
      </w:r>
      <w:r>
        <w:rPr>
          <w:rFonts w:hint="eastAsia" w:ascii="宋体" w:hAnsi="宋体" w:eastAsia="宋体" w:cs="宋体"/>
          <w:b/>
          <w:bCs/>
          <w:color w:val="auto"/>
          <w:sz w:val="28"/>
          <w:szCs w:val="28"/>
          <w:highlight w:val="none"/>
        </w:rPr>
        <w:t>：</w:t>
      </w:r>
      <w:bookmarkEnd w:id="8"/>
      <w:bookmarkEnd w:id="9"/>
      <w:r>
        <w:rPr>
          <w:rFonts w:hint="eastAsia" w:ascii="宋体" w:hAnsi="宋体" w:eastAsia="宋体" w:cs="宋体"/>
          <w:b/>
          <w:bCs/>
          <w:color w:val="auto"/>
          <w:sz w:val="28"/>
          <w:szCs w:val="28"/>
          <w:highlight w:val="none"/>
          <w:u w:val="single"/>
        </w:rPr>
        <w:t xml:space="preserve">                    </w:t>
      </w:r>
      <w:r>
        <w:rPr>
          <w:rFonts w:hint="eastAsia" w:ascii="宋体" w:hAnsi="宋体" w:eastAsia="宋体" w:cs="宋体"/>
          <w:b/>
          <w:bCs/>
          <w:color w:val="auto"/>
          <w:sz w:val="28"/>
          <w:szCs w:val="28"/>
          <w:highlight w:val="none"/>
          <w:u w:val="single"/>
          <w:lang w:val="en-US" w:eastAsia="zh-CN"/>
        </w:rPr>
        <w:t xml:space="preserve">   </w:t>
      </w:r>
      <w:r>
        <w:rPr>
          <w:rFonts w:hint="eastAsia" w:ascii="宋体" w:hAnsi="宋体" w:eastAsia="宋体" w:cs="宋体"/>
          <w:b/>
          <w:bCs/>
          <w:color w:val="auto"/>
          <w:sz w:val="28"/>
          <w:szCs w:val="28"/>
          <w:highlight w:val="none"/>
          <w:u w:val="single"/>
        </w:rPr>
        <w:t xml:space="preserve">          </w:t>
      </w:r>
    </w:p>
    <w:p w14:paraId="52CBD523">
      <w:pPr>
        <w:spacing w:before="120" w:line="360" w:lineRule="auto"/>
        <w:ind w:left="960"/>
        <w:outlineLvl w:val="0"/>
        <w:rPr>
          <w:rFonts w:hint="eastAsia" w:ascii="宋体" w:hAnsi="宋体" w:eastAsia="宋体" w:cs="宋体"/>
          <w:b/>
          <w:bCs/>
          <w:color w:val="auto"/>
          <w:sz w:val="28"/>
          <w:szCs w:val="28"/>
          <w:highlight w:val="none"/>
          <w:u w:val="single"/>
        </w:rPr>
      </w:pPr>
      <w:bookmarkStart w:id="10" w:name="_Toc5140"/>
      <w:bookmarkStart w:id="11" w:name="_Toc31961"/>
      <w:r>
        <w:rPr>
          <w:rFonts w:hint="eastAsia" w:ascii="宋体" w:hAnsi="宋体" w:eastAsia="宋体" w:cs="宋体"/>
          <w:b/>
          <w:bCs/>
          <w:color w:val="auto"/>
          <w:sz w:val="28"/>
          <w:szCs w:val="28"/>
          <w:highlight w:val="none"/>
          <w:lang w:val="en-US" w:eastAsia="zh-CN"/>
        </w:rPr>
        <w:t>成交供应商（</w:t>
      </w:r>
      <w:r>
        <w:rPr>
          <w:rFonts w:hint="eastAsia" w:ascii="宋体" w:hAnsi="宋体" w:eastAsia="宋体" w:cs="宋体"/>
          <w:b/>
          <w:bCs/>
          <w:color w:val="auto"/>
          <w:sz w:val="28"/>
          <w:szCs w:val="28"/>
          <w:highlight w:val="none"/>
          <w:lang w:eastAsia="zh-CN"/>
        </w:rPr>
        <w:t>乙方</w:t>
      </w:r>
      <w:r>
        <w:rPr>
          <w:rFonts w:hint="eastAsia" w:ascii="宋体" w:hAnsi="宋体" w:eastAsia="宋体" w:cs="宋体"/>
          <w:b/>
          <w:bCs/>
          <w:color w:val="auto"/>
          <w:sz w:val="28"/>
          <w:szCs w:val="28"/>
          <w:highlight w:val="none"/>
          <w:lang w:val="en-US" w:eastAsia="zh-CN"/>
        </w:rPr>
        <w:t>）</w:t>
      </w:r>
      <w:r>
        <w:rPr>
          <w:rFonts w:hint="eastAsia" w:ascii="宋体" w:hAnsi="宋体" w:eastAsia="宋体" w:cs="宋体"/>
          <w:b/>
          <w:bCs/>
          <w:color w:val="auto"/>
          <w:sz w:val="28"/>
          <w:szCs w:val="28"/>
          <w:highlight w:val="none"/>
        </w:rPr>
        <w:t>：</w:t>
      </w:r>
      <w:bookmarkEnd w:id="10"/>
      <w:bookmarkEnd w:id="11"/>
      <w:r>
        <w:rPr>
          <w:rFonts w:hint="eastAsia" w:ascii="宋体" w:hAnsi="宋体" w:eastAsia="宋体" w:cs="宋体"/>
          <w:b/>
          <w:bCs/>
          <w:color w:val="auto"/>
          <w:sz w:val="28"/>
          <w:szCs w:val="28"/>
          <w:highlight w:val="none"/>
          <w:u w:val="single"/>
        </w:rPr>
        <w:t xml:space="preserve">             </w:t>
      </w:r>
      <w:r>
        <w:rPr>
          <w:rFonts w:hint="eastAsia" w:ascii="宋体" w:hAnsi="宋体" w:eastAsia="宋体" w:cs="宋体"/>
          <w:b/>
          <w:bCs/>
          <w:color w:val="auto"/>
          <w:sz w:val="28"/>
          <w:szCs w:val="28"/>
          <w:highlight w:val="none"/>
          <w:u w:val="single"/>
          <w:lang w:val="en-US" w:eastAsia="zh-CN"/>
        </w:rPr>
        <w:t xml:space="preserve">   </w:t>
      </w:r>
      <w:r>
        <w:rPr>
          <w:rFonts w:hint="eastAsia" w:ascii="宋体" w:hAnsi="宋体" w:eastAsia="宋体" w:cs="宋体"/>
          <w:b/>
          <w:bCs/>
          <w:color w:val="auto"/>
          <w:sz w:val="28"/>
          <w:szCs w:val="28"/>
          <w:highlight w:val="none"/>
          <w:u w:val="single"/>
        </w:rPr>
        <w:t xml:space="preserve">             </w:t>
      </w:r>
    </w:p>
    <w:p w14:paraId="65D3482D">
      <w:pPr>
        <w:spacing w:before="120" w:line="360" w:lineRule="auto"/>
        <w:ind w:left="960"/>
        <w:outlineLvl w:val="0"/>
        <w:rPr>
          <w:rFonts w:hint="default" w:cs="宋体"/>
          <w:b/>
          <w:bCs/>
          <w:color w:val="auto"/>
          <w:sz w:val="28"/>
          <w:szCs w:val="28"/>
          <w:highlight w:val="none"/>
          <w:u w:val="single"/>
          <w:lang w:val="en-US" w:eastAsia="zh-CN"/>
        </w:rPr>
      </w:pPr>
      <w:bookmarkStart w:id="12" w:name="_Toc25623"/>
      <w:bookmarkStart w:id="13" w:name="_Toc24531"/>
      <w:r>
        <w:rPr>
          <w:rFonts w:hint="eastAsia" w:ascii="宋体" w:hAnsi="宋体" w:eastAsia="宋体" w:cs="宋体"/>
          <w:b/>
          <w:bCs/>
          <w:color w:val="auto"/>
          <w:sz w:val="28"/>
          <w:szCs w:val="28"/>
          <w:highlight w:val="none"/>
          <w:lang w:val="en-US" w:eastAsia="zh-CN"/>
        </w:rPr>
        <w:t>签署地点 ：</w:t>
      </w:r>
      <w:bookmarkEnd w:id="12"/>
      <w:bookmarkEnd w:id="13"/>
      <w:bookmarkStart w:id="14" w:name="_Toc13545"/>
      <w:bookmarkStart w:id="15" w:name="_Toc31729"/>
      <w:r>
        <w:rPr>
          <w:rFonts w:hint="eastAsia" w:cs="宋体"/>
          <w:b/>
          <w:bCs/>
          <w:color w:val="auto"/>
          <w:sz w:val="28"/>
          <w:szCs w:val="28"/>
          <w:highlight w:val="none"/>
          <w:u w:val="single"/>
          <w:lang w:val="en-US" w:eastAsia="zh-CN"/>
        </w:rPr>
        <w:t xml:space="preserve">                                     </w:t>
      </w:r>
    </w:p>
    <w:p w14:paraId="60ACDBD1">
      <w:pPr>
        <w:spacing w:before="120" w:line="360" w:lineRule="auto"/>
        <w:ind w:left="960"/>
        <w:outlineLvl w:val="0"/>
        <w:rPr>
          <w:rFonts w:hint="eastAsia"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lang w:val="en-US" w:eastAsia="zh-CN"/>
        </w:rPr>
        <w:t>签署日期 ：</w:t>
      </w:r>
      <w:bookmarkEnd w:id="14"/>
      <w:bookmarkEnd w:id="15"/>
      <w:r>
        <w:rPr>
          <w:rFonts w:hint="eastAsia" w:cs="宋体"/>
          <w:b/>
          <w:bCs/>
          <w:color w:val="auto"/>
          <w:sz w:val="28"/>
          <w:szCs w:val="28"/>
          <w:highlight w:val="none"/>
          <w:u w:val="single"/>
          <w:lang w:val="en-US" w:eastAsia="zh-CN"/>
        </w:rPr>
        <w:t xml:space="preserve">                                     </w:t>
      </w:r>
    </w:p>
    <w:p w14:paraId="1C60FAAC">
      <w:pPr>
        <w:spacing w:before="120" w:line="360" w:lineRule="auto"/>
        <w:ind w:left="960"/>
        <w:outlineLvl w:val="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                　　</w:t>
      </w:r>
    </w:p>
    <w:p w14:paraId="70033423">
      <w:pPr>
        <w:spacing w:before="120" w:line="360" w:lineRule="auto"/>
        <w:ind w:left="960"/>
        <w:rPr>
          <w:rFonts w:hint="eastAsia" w:ascii="宋体" w:hAnsi="宋体" w:eastAsia="宋体" w:cs="宋体"/>
          <w:b/>
          <w:bCs/>
          <w:color w:val="auto"/>
          <w:sz w:val="28"/>
          <w:szCs w:val="28"/>
          <w:highlight w:val="none"/>
          <w:lang w:val="en-US" w:eastAsia="zh-CN"/>
        </w:rPr>
        <w:sectPr>
          <w:footerReference r:id="rId3" w:type="default"/>
          <w:pgSz w:w="11906" w:h="16838"/>
          <w:pgMar w:top="1418" w:right="1423" w:bottom="1418" w:left="1644" w:header="720" w:footer="720" w:gutter="0"/>
          <w:pgBorders>
            <w:top w:val="none" w:sz="0" w:space="0"/>
            <w:left w:val="none" w:sz="0" w:space="0"/>
            <w:bottom w:val="none" w:sz="0" w:space="0"/>
            <w:right w:val="none" w:sz="0" w:space="0"/>
          </w:pgBorders>
          <w:pgNumType w:fmt="decimal" w:start="1"/>
          <w:cols w:space="720" w:num="1"/>
          <w:docGrid w:linePitch="288" w:charSpace="-3449"/>
        </w:sectPr>
      </w:pPr>
    </w:p>
    <w:p w14:paraId="689C994C">
      <w:pPr>
        <w:spacing w:line="360" w:lineRule="auto"/>
        <w:ind w:firstLine="720" w:firstLineChars="200"/>
        <w:jc w:val="center"/>
        <w:rPr>
          <w:rFonts w:hint="eastAsia" w:ascii="方正小标宋简体" w:hAnsi="方正小标宋简体" w:eastAsia="方正小标宋简体" w:cs="方正小标宋简体"/>
          <w:b w:val="0"/>
          <w:bCs/>
          <w:color w:val="auto"/>
          <w:sz w:val="36"/>
          <w:szCs w:val="36"/>
          <w:highlight w:val="none"/>
          <w:lang w:val="en-US" w:eastAsia="zh-CN"/>
        </w:rPr>
      </w:pPr>
      <w:r>
        <w:rPr>
          <w:rFonts w:hint="eastAsia" w:ascii="方正小标宋简体" w:hAnsi="方正小标宋简体" w:eastAsia="方正小标宋简体" w:cs="方正小标宋简体"/>
          <w:b w:val="0"/>
          <w:bCs/>
          <w:color w:val="auto"/>
          <w:sz w:val="36"/>
          <w:szCs w:val="36"/>
          <w:highlight w:val="none"/>
          <w:lang w:val="en-US" w:eastAsia="zh-CN"/>
        </w:rPr>
        <w:t>合同协议书</w:t>
      </w:r>
    </w:p>
    <w:p w14:paraId="307BA124">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rPr>
      </w:pPr>
      <w:r>
        <w:rPr>
          <w:rFonts w:hint="eastAsia" w:ascii="宋体" w:hAnsi="宋体" w:eastAsia="宋体" w:cs="宋体"/>
          <w:b w:val="0"/>
          <w:bCs/>
          <w:color w:val="auto"/>
          <w:sz w:val="20"/>
          <w:szCs w:val="20"/>
          <w:highlight w:val="none"/>
          <w:lang w:val="en-US" w:eastAsia="zh-CN"/>
        </w:rPr>
        <w:t>为贯彻落实根据《西安市残疾人托养服务工作实施方案》(市残联发[2026]55号)、《西安市残疾人托养服务工作实施细则》(市残联发[2026]57号)文件精神，进一步完善残疾人社会保障制度和关爱服务体系，切实解决蓝田县智力、精神、重度肢体及多重残疾人托养问题，满足残疾人多层次、多元化的托养服务需求，</w:t>
      </w:r>
      <w:r>
        <w:rPr>
          <w:rFonts w:hint="eastAsia" w:ascii="宋体" w:hAnsi="宋体" w:eastAsia="宋体" w:cs="宋体"/>
          <w:b w:val="0"/>
          <w:bCs/>
          <w:color w:val="auto"/>
          <w:sz w:val="20"/>
          <w:szCs w:val="20"/>
          <w:highlight w:val="none"/>
        </w:rPr>
        <w:t>依据《中华人民共和国民法典》和《中华人民共和国政府采购法》有关要求，甲、乙双方遵循平等、自愿、公平和诚信的原则，经双方共同协商，现就</w:t>
      </w:r>
      <w:r>
        <w:rPr>
          <w:rFonts w:hint="eastAsia" w:ascii="宋体" w:hAnsi="宋体" w:eastAsia="宋体" w:cs="宋体"/>
          <w:b w:val="0"/>
          <w:bCs/>
          <w:color w:val="auto"/>
          <w:sz w:val="20"/>
          <w:szCs w:val="20"/>
          <w:highlight w:val="none"/>
          <w:u w:val="single"/>
          <w:lang w:val="en-US" w:eastAsia="zh-CN"/>
        </w:rPr>
        <w:t xml:space="preserve">            </w:t>
      </w:r>
      <w:r>
        <w:rPr>
          <w:rFonts w:hint="eastAsia" w:ascii="宋体" w:hAnsi="宋体" w:eastAsia="宋体" w:cs="宋体"/>
          <w:b w:val="0"/>
          <w:bCs/>
          <w:color w:val="auto"/>
          <w:sz w:val="20"/>
          <w:szCs w:val="20"/>
          <w:highlight w:val="none"/>
        </w:rPr>
        <w:t>有关事宜签订合同如下：</w:t>
      </w:r>
    </w:p>
    <w:p w14:paraId="1BD7FDD3">
      <w:pPr>
        <w:keepNext w:val="0"/>
        <w:keepLines w:val="0"/>
        <w:pageBreakBefore w:val="0"/>
        <w:kinsoku/>
        <w:wordWrap/>
        <w:overflowPunct/>
        <w:topLinePunct w:val="0"/>
        <w:bidi w:val="0"/>
        <w:adjustRightInd/>
        <w:spacing w:line="360" w:lineRule="auto"/>
        <w:ind w:right="0"/>
        <w:jc w:val="left"/>
        <w:outlineLvl w:val="9"/>
        <w:rPr>
          <w:rFonts w:hint="eastAsia" w:ascii="宋体" w:hAnsi="宋体" w:eastAsia="宋体" w:cs="宋体"/>
          <w:b/>
          <w:bCs w:val="0"/>
          <w:color w:val="auto"/>
          <w:sz w:val="20"/>
          <w:szCs w:val="20"/>
          <w:highlight w:val="none"/>
        </w:rPr>
      </w:pPr>
      <w:r>
        <w:rPr>
          <w:rFonts w:hint="eastAsia" w:ascii="宋体" w:hAnsi="宋体" w:eastAsia="宋体" w:cs="宋体"/>
          <w:b/>
          <w:bCs w:val="0"/>
          <w:color w:val="auto"/>
          <w:sz w:val="20"/>
          <w:szCs w:val="20"/>
          <w:highlight w:val="none"/>
        </w:rPr>
        <w:t>一、服务对象</w:t>
      </w:r>
    </w:p>
    <w:p w14:paraId="3F69211F">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服务对象为具有蓝田县户籍、16-59（＜60）周岁的有托养服务需求且本人或者监护人有接受相关服务意愿的一级、二级残疾人（听力残疾人需同时存在其他多重残疾），以及有服务需求的三级、四级智力残疾人、稳定期的精神残疾人；纳入孤儿保障、特困人员救助供养、服务类救助、长期护理保险、精神卫生社区康复服务等相关照护政策或项目覆盖范围的，不作为托养服务对象。</w:t>
      </w:r>
    </w:p>
    <w:p w14:paraId="10F82871">
      <w:pPr>
        <w:keepNext w:val="0"/>
        <w:keepLines w:val="0"/>
        <w:pageBreakBefore w:val="0"/>
        <w:kinsoku/>
        <w:wordWrap/>
        <w:overflowPunct/>
        <w:topLinePunct w:val="0"/>
        <w:bidi w:val="0"/>
        <w:adjustRightInd/>
        <w:spacing w:line="360" w:lineRule="auto"/>
        <w:ind w:right="0"/>
        <w:outlineLvl w:val="9"/>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二、服务内容</w:t>
      </w:r>
    </w:p>
    <w:p w14:paraId="3AF9C349">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u w:val="single"/>
          <w:lang w:val="en-US" w:eastAsia="zh-CN"/>
        </w:rPr>
        <w:t xml:space="preserve">                                 </w:t>
      </w:r>
      <w:r>
        <w:rPr>
          <w:rFonts w:hint="eastAsia" w:ascii="宋体" w:hAnsi="宋体" w:eastAsia="宋体" w:cs="宋体"/>
          <w:b w:val="0"/>
          <w:bCs/>
          <w:color w:val="auto"/>
          <w:sz w:val="20"/>
          <w:szCs w:val="20"/>
          <w:highlight w:val="none"/>
          <w:lang w:val="en-US" w:eastAsia="zh-CN"/>
        </w:rPr>
        <w:t>。</w:t>
      </w:r>
    </w:p>
    <w:p w14:paraId="7B064F6B">
      <w:pPr>
        <w:keepNext w:val="0"/>
        <w:keepLines w:val="0"/>
        <w:pageBreakBefore w:val="0"/>
        <w:kinsoku/>
        <w:wordWrap/>
        <w:overflowPunct/>
        <w:topLinePunct w:val="0"/>
        <w:bidi w:val="0"/>
        <w:adjustRightInd/>
        <w:spacing w:line="360" w:lineRule="auto"/>
        <w:ind w:right="0"/>
        <w:jc w:val="left"/>
        <w:rPr>
          <w:rFonts w:hint="eastAsia" w:ascii="宋体" w:hAnsi="宋体" w:eastAsia="宋体" w:cs="宋体"/>
          <w:b/>
          <w:bCs w:val="0"/>
          <w:color w:val="auto"/>
          <w:sz w:val="20"/>
          <w:szCs w:val="20"/>
          <w:highlight w:val="none"/>
          <w:lang w:val="en-US" w:eastAsia="zh-CN"/>
        </w:rPr>
      </w:pPr>
      <w:r>
        <w:rPr>
          <w:rFonts w:hint="eastAsia" w:ascii="宋体" w:hAnsi="宋体" w:eastAsia="宋体" w:cs="宋体"/>
          <w:b/>
          <w:bCs w:val="0"/>
          <w:color w:val="auto"/>
          <w:sz w:val="20"/>
          <w:szCs w:val="20"/>
          <w:highlight w:val="none"/>
          <w:lang w:val="en-US" w:eastAsia="zh-CN"/>
        </w:rPr>
        <w:t>四、服务要求</w:t>
      </w:r>
    </w:p>
    <w:p w14:paraId="7DB3FDC2">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u w:val="single"/>
          <w:lang w:val="en-US" w:eastAsia="zh-CN"/>
        </w:rPr>
        <w:t xml:space="preserve">                                 </w:t>
      </w:r>
      <w:r>
        <w:rPr>
          <w:rFonts w:hint="eastAsia" w:ascii="宋体" w:hAnsi="宋体" w:eastAsia="宋体" w:cs="宋体"/>
          <w:b w:val="0"/>
          <w:bCs/>
          <w:color w:val="auto"/>
          <w:sz w:val="20"/>
          <w:szCs w:val="20"/>
          <w:highlight w:val="none"/>
          <w:lang w:val="en-US" w:eastAsia="zh-CN"/>
        </w:rPr>
        <w:t>。</w:t>
      </w:r>
    </w:p>
    <w:p w14:paraId="5A700F11">
      <w:pPr>
        <w:keepNext w:val="0"/>
        <w:keepLines w:val="0"/>
        <w:pageBreakBefore w:val="0"/>
        <w:kinsoku/>
        <w:wordWrap/>
        <w:overflowPunct/>
        <w:topLinePunct w:val="0"/>
        <w:bidi w:val="0"/>
        <w:adjustRightInd/>
        <w:spacing w:line="360" w:lineRule="auto"/>
        <w:ind w:right="0"/>
        <w:outlineLvl w:val="9"/>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三、服务时间及服务费用</w:t>
      </w:r>
    </w:p>
    <w:p w14:paraId="17A9FB13">
      <w:pPr>
        <w:keepNext w:val="0"/>
        <w:keepLines w:val="0"/>
        <w:pageBreakBefore w:val="0"/>
        <w:kinsoku/>
        <w:wordWrap/>
        <w:overflowPunct/>
        <w:topLinePunct w:val="0"/>
        <w:bidi w:val="0"/>
        <w:adjustRightInd/>
        <w:spacing w:line="360" w:lineRule="auto"/>
        <w:ind w:right="0" w:firstLine="402" w:firstLineChars="200"/>
        <w:outlineLvl w:val="9"/>
        <w:rPr>
          <w:rFonts w:hint="eastAsia" w:ascii="宋体" w:hAnsi="宋体" w:eastAsia="宋体" w:cs="宋体"/>
          <w:b/>
          <w:color w:val="auto"/>
          <w:sz w:val="20"/>
          <w:szCs w:val="20"/>
          <w:highlight w:val="none"/>
          <w:lang w:eastAsia="zh-CN"/>
        </w:rPr>
      </w:pPr>
      <w:r>
        <w:rPr>
          <w:rFonts w:hint="eastAsia" w:ascii="宋体" w:hAnsi="宋体" w:eastAsia="宋体" w:cs="宋体"/>
          <w:b/>
          <w:bCs/>
          <w:color w:val="auto"/>
          <w:sz w:val="20"/>
          <w:szCs w:val="20"/>
          <w:highlight w:val="none"/>
        </w:rPr>
        <w:t>服务期限</w:t>
      </w:r>
      <w:r>
        <w:rPr>
          <w:rFonts w:hint="eastAsia" w:ascii="宋体" w:hAnsi="宋体" w:eastAsia="宋体" w:cs="宋体"/>
          <w:b w:val="0"/>
          <w:bCs/>
          <w:color w:val="auto"/>
          <w:sz w:val="20"/>
          <w:szCs w:val="20"/>
          <w:highlight w:val="none"/>
        </w:rPr>
        <w:t>：</w:t>
      </w:r>
      <w:r>
        <w:rPr>
          <w:rFonts w:hint="eastAsia" w:ascii="宋体" w:hAnsi="宋体" w:eastAsia="宋体" w:cs="宋体"/>
          <w:b w:val="0"/>
          <w:bCs/>
          <w:color w:val="auto"/>
          <w:sz w:val="20"/>
          <w:szCs w:val="20"/>
          <w:highlight w:val="none"/>
          <w:lang w:val="en-US" w:eastAsia="zh-CN"/>
        </w:rPr>
        <w:t>自合同签订之日起</w:t>
      </w:r>
      <w:r>
        <w:rPr>
          <w:rFonts w:hint="eastAsia" w:ascii="宋体" w:hAnsi="宋体" w:eastAsia="宋体" w:cs="宋体"/>
          <w:color w:val="auto"/>
          <w:sz w:val="20"/>
          <w:szCs w:val="20"/>
          <w:highlight w:val="none"/>
          <w:lang w:val="en-US" w:eastAsia="zh-CN"/>
        </w:rPr>
        <w:t>一年。</w:t>
      </w:r>
    </w:p>
    <w:p w14:paraId="6CC18E8E">
      <w:pPr>
        <w:keepNext w:val="0"/>
        <w:keepLines w:val="0"/>
        <w:pageBreakBefore w:val="0"/>
        <w:kinsoku/>
        <w:wordWrap/>
        <w:overflowPunct/>
        <w:topLinePunct w:val="0"/>
        <w:bidi w:val="0"/>
        <w:adjustRightInd/>
        <w:spacing w:line="360" w:lineRule="auto"/>
        <w:ind w:right="0" w:firstLine="402" w:firstLineChars="200"/>
        <w:outlineLvl w:val="9"/>
        <w:rPr>
          <w:rFonts w:hint="eastAsia" w:ascii="宋体" w:hAnsi="宋体" w:eastAsia="宋体" w:cs="宋体"/>
          <w:b/>
          <w:bCs/>
          <w:color w:val="auto"/>
          <w:sz w:val="20"/>
          <w:szCs w:val="20"/>
          <w:highlight w:val="none"/>
          <w:lang w:val="en-US" w:eastAsia="zh-CN"/>
        </w:rPr>
      </w:pPr>
      <w:r>
        <w:rPr>
          <w:rFonts w:hint="eastAsia" w:ascii="宋体" w:hAnsi="宋体" w:eastAsia="宋体" w:cs="宋体"/>
          <w:b/>
          <w:bCs/>
          <w:color w:val="auto"/>
          <w:sz w:val="20"/>
          <w:szCs w:val="20"/>
          <w:highlight w:val="none"/>
          <w:lang w:val="en-US" w:eastAsia="zh-CN"/>
        </w:rPr>
        <w:t>服务费用</w:t>
      </w:r>
    </w:p>
    <w:p w14:paraId="28D1A08F">
      <w:pPr>
        <w:keepNext w:val="0"/>
        <w:keepLines w:val="0"/>
        <w:pageBreakBefore w:val="0"/>
        <w:kinsoku/>
        <w:wordWrap/>
        <w:overflowPunct/>
        <w:topLinePunct w:val="0"/>
        <w:bidi w:val="0"/>
        <w:adjustRightInd/>
        <w:spacing w:line="360" w:lineRule="auto"/>
        <w:ind w:right="0" w:firstLine="400" w:firstLineChars="200"/>
        <w:jc w:val="left"/>
        <w:rPr>
          <w:rFonts w:hint="default" w:ascii="宋体" w:hAnsi="宋体" w:eastAsia="宋体" w:cs="宋体"/>
          <w:b w:val="0"/>
          <w:bCs/>
          <w:color w:val="auto"/>
          <w:sz w:val="20"/>
          <w:szCs w:val="20"/>
          <w:highlight w:val="none"/>
          <w:u w:val="single"/>
          <w:lang w:val="en-US" w:eastAsia="zh-CN"/>
        </w:rPr>
      </w:pPr>
      <w:r>
        <w:rPr>
          <w:rFonts w:hint="eastAsia" w:ascii="宋体" w:hAnsi="宋体" w:eastAsia="宋体" w:cs="宋体"/>
          <w:b w:val="0"/>
          <w:bCs/>
          <w:color w:val="auto"/>
          <w:sz w:val="20"/>
          <w:szCs w:val="20"/>
          <w:highlight w:val="none"/>
          <w:u w:val="single"/>
          <w:lang w:val="en-US" w:eastAsia="zh-CN"/>
        </w:rPr>
        <w:t>人民币：             （￥       ）</w:t>
      </w:r>
    </w:p>
    <w:p w14:paraId="161BF287">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备注：1、服务期内服务对象因自身原因中途放弃享受本项目服务时，乙方需及时报备甲方，经甲方同意后安排其他符合条件服务对象接受剩余次数的服务。</w:t>
      </w:r>
    </w:p>
    <w:p w14:paraId="79C7350C">
      <w:pPr>
        <w:keepNext w:val="0"/>
        <w:keepLines w:val="0"/>
        <w:pageBreakBefore w:val="0"/>
        <w:kinsoku/>
        <w:wordWrap/>
        <w:overflowPunct/>
        <w:topLinePunct w:val="0"/>
        <w:bidi w:val="0"/>
        <w:adjustRightInd/>
        <w:spacing w:line="360" w:lineRule="auto"/>
        <w:ind w:right="0" w:firstLine="400" w:firstLineChars="200"/>
        <w:jc w:val="left"/>
        <w:rPr>
          <w:rFonts w:hint="default"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2、最终结算金额不超过采购预算金额。</w:t>
      </w:r>
    </w:p>
    <w:p w14:paraId="04251726">
      <w:pPr>
        <w:keepNext w:val="0"/>
        <w:keepLines w:val="0"/>
        <w:pageBreakBefore w:val="0"/>
        <w:kinsoku/>
        <w:wordWrap/>
        <w:overflowPunct/>
        <w:topLinePunct w:val="0"/>
        <w:bidi w:val="0"/>
        <w:adjustRightInd/>
        <w:spacing w:line="360" w:lineRule="auto"/>
        <w:ind w:right="0"/>
        <w:outlineLvl w:val="9"/>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lang w:val="en-US" w:eastAsia="zh-CN"/>
        </w:rPr>
        <w:t>四</w:t>
      </w:r>
      <w:r>
        <w:rPr>
          <w:rFonts w:hint="eastAsia" w:ascii="宋体" w:hAnsi="宋体" w:eastAsia="宋体" w:cs="宋体"/>
          <w:b/>
          <w:bCs/>
          <w:color w:val="auto"/>
          <w:sz w:val="20"/>
          <w:szCs w:val="20"/>
          <w:highlight w:val="none"/>
        </w:rPr>
        <w:t>、双方的权利和义务</w:t>
      </w:r>
    </w:p>
    <w:p w14:paraId="64C11697">
      <w:pPr>
        <w:keepNext w:val="0"/>
        <w:keepLines w:val="0"/>
        <w:pageBreakBefore w:val="0"/>
        <w:kinsoku/>
        <w:wordWrap/>
        <w:overflowPunct/>
        <w:topLinePunct w:val="0"/>
        <w:bidi w:val="0"/>
        <w:adjustRightInd/>
        <w:spacing w:line="360" w:lineRule="auto"/>
        <w:ind w:right="0"/>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（一）甲方的权力和义务：</w:t>
      </w:r>
    </w:p>
    <w:p w14:paraId="1D164FE2">
      <w:pPr>
        <w:keepNext w:val="0"/>
        <w:keepLines w:val="0"/>
        <w:pageBreakBefore w:val="0"/>
        <w:kinsoku/>
        <w:wordWrap/>
        <w:overflowPunct/>
        <w:topLinePunct w:val="0"/>
        <w:bidi w:val="0"/>
        <w:adjustRightInd/>
        <w:spacing w:line="360" w:lineRule="auto"/>
        <w:ind w:right="0" w:firstLine="400" w:firstLineChars="200"/>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1、向乙方提供辖区内享受服务对象的基本情况；</w:t>
      </w:r>
    </w:p>
    <w:p w14:paraId="26B5D702">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2、协调各街道办事处、社区、村委会做好服务员与服务对象的对接工作；</w:t>
      </w:r>
    </w:p>
    <w:p w14:paraId="70EB66B7">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3、指派专人对乙方服务情况进行跟踪检查和监督，保证服务质量，保证居家安养服务对象满意。</w:t>
      </w:r>
    </w:p>
    <w:p w14:paraId="34A8FB4C">
      <w:pPr>
        <w:keepNext w:val="0"/>
        <w:keepLines w:val="0"/>
        <w:pageBreakBefore w:val="0"/>
        <w:kinsoku/>
        <w:wordWrap/>
        <w:overflowPunct/>
        <w:topLinePunct w:val="0"/>
        <w:bidi w:val="0"/>
        <w:adjustRightInd/>
        <w:spacing w:line="360" w:lineRule="auto"/>
        <w:ind w:right="0"/>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（二）乙方的权力和义务：</w:t>
      </w:r>
    </w:p>
    <w:p w14:paraId="2C593A33">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1、按照甲方要求，选拔优秀服务员，为甲方提供的服务对象进行服务；</w:t>
      </w:r>
    </w:p>
    <w:p w14:paraId="16621916">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2、教育服务员，树立正确的服务观念，要增强服务意识，要用爱心和专业的技能为居家安养服务对象服好务；</w:t>
      </w:r>
    </w:p>
    <w:p w14:paraId="086AE95F">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3、在协议履行期间，要及时向甲方汇报服务工作的开展情况，积极认真征求甲方对居家安养服务的建议和意见，不断总结完善提高服务水平，做到：服务对象有需求，服务在身边；</w:t>
      </w:r>
    </w:p>
    <w:p w14:paraId="38CAEDF1">
      <w:pPr>
        <w:keepNext w:val="0"/>
        <w:keepLines w:val="0"/>
        <w:pageBreakBefore w:val="0"/>
        <w:kinsoku/>
        <w:wordWrap/>
        <w:overflowPunct/>
        <w:topLinePunct w:val="0"/>
        <w:bidi w:val="0"/>
        <w:adjustRightInd/>
        <w:spacing w:line="360" w:lineRule="auto"/>
        <w:ind w:right="0" w:firstLine="400" w:firstLineChars="200"/>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4、服务</w:t>
      </w:r>
      <w:r>
        <w:rPr>
          <w:rFonts w:hint="eastAsia" w:ascii="宋体" w:hAnsi="宋体" w:eastAsia="宋体" w:cs="宋体"/>
          <w:color w:val="auto"/>
          <w:sz w:val="20"/>
          <w:szCs w:val="20"/>
          <w:highlight w:val="none"/>
          <w:lang w:val="en-US" w:eastAsia="zh-CN"/>
        </w:rPr>
        <w:t>人</w:t>
      </w:r>
      <w:r>
        <w:rPr>
          <w:rFonts w:hint="eastAsia" w:ascii="宋体" w:hAnsi="宋体" w:eastAsia="宋体" w:cs="宋体"/>
          <w:color w:val="auto"/>
          <w:sz w:val="20"/>
          <w:szCs w:val="20"/>
          <w:highlight w:val="none"/>
        </w:rPr>
        <w:t>员标准：</w:t>
      </w:r>
    </w:p>
    <w:p w14:paraId="6DD733A1">
      <w:pPr>
        <w:keepNext w:val="0"/>
        <w:keepLines w:val="0"/>
        <w:pageBreakBefore w:val="0"/>
        <w:kinsoku/>
        <w:wordWrap/>
        <w:overflowPunct/>
        <w:topLinePunct w:val="0"/>
        <w:bidi w:val="0"/>
        <w:adjustRightInd/>
        <w:spacing w:line="360" w:lineRule="auto"/>
        <w:ind w:right="0" w:firstLine="400" w:firstLineChars="200"/>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--热爱服务工作，遵守职业道德，讲文明、讲礼貌；</w:t>
      </w:r>
    </w:p>
    <w:p w14:paraId="39297D65">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--诚实守信，不怕苦、不怕脏、不怕累，对残疾人有爱心、有耐心，奉献精神强；</w:t>
      </w:r>
    </w:p>
    <w:p w14:paraId="61D0888D">
      <w:pPr>
        <w:keepNext w:val="0"/>
        <w:keepLines w:val="0"/>
        <w:pageBreakBefore w:val="0"/>
        <w:kinsoku/>
        <w:wordWrap/>
        <w:overflowPunct/>
        <w:topLinePunct w:val="0"/>
        <w:bidi w:val="0"/>
        <w:adjustRightInd/>
        <w:spacing w:line="360" w:lineRule="auto"/>
        <w:ind w:right="0" w:firstLine="400" w:firstLineChars="200"/>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--性格温和、善良贤惠、心胸豁达、善解人意、勤俭节约、沟通能力强；</w:t>
      </w:r>
    </w:p>
    <w:p w14:paraId="6392D415">
      <w:pPr>
        <w:keepNext w:val="0"/>
        <w:keepLines w:val="0"/>
        <w:pageBreakBefore w:val="0"/>
        <w:kinsoku/>
        <w:wordWrap/>
        <w:overflowPunct/>
        <w:topLinePunct w:val="0"/>
        <w:bidi w:val="0"/>
        <w:adjustRightInd/>
        <w:spacing w:line="360" w:lineRule="auto"/>
        <w:ind w:right="0" w:firstLine="400" w:firstLineChars="200"/>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--尊重残疾人的生活习惯和饮食习惯，尊重残疾人的隐私权、名誉权；</w:t>
      </w:r>
    </w:p>
    <w:p w14:paraId="7210288C">
      <w:pPr>
        <w:keepNext w:val="0"/>
        <w:keepLines w:val="0"/>
        <w:pageBreakBefore w:val="0"/>
        <w:kinsoku/>
        <w:wordWrap/>
        <w:overflowPunct/>
        <w:topLinePunct w:val="0"/>
        <w:bidi w:val="0"/>
        <w:adjustRightInd/>
        <w:spacing w:line="360" w:lineRule="auto"/>
        <w:ind w:right="0" w:firstLine="400" w:firstLineChars="200"/>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--勤奋敬业、善于学习、技能精湛、服务意识强、服务能力强； </w:t>
      </w:r>
    </w:p>
    <w:p w14:paraId="09584C54">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--女性年龄在18至52周岁，男性年龄在18至56周岁，初中以上文化程度，持身份证、资格证、健康证、上岗证；--服从安排，服从分配，积极热情地开展为残疾人服务的各项工作。</w:t>
      </w:r>
    </w:p>
    <w:p w14:paraId="065AE5A1">
      <w:pPr>
        <w:keepNext w:val="0"/>
        <w:keepLines w:val="0"/>
        <w:pageBreakBefore w:val="0"/>
        <w:kinsoku/>
        <w:wordWrap/>
        <w:overflowPunct/>
        <w:topLinePunct w:val="0"/>
        <w:bidi w:val="0"/>
        <w:adjustRightInd/>
        <w:spacing w:line="360" w:lineRule="auto"/>
        <w:ind w:right="0"/>
        <w:outlineLvl w:val="9"/>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lang w:val="en-US" w:eastAsia="zh-CN"/>
        </w:rPr>
        <w:t>五</w:t>
      </w:r>
      <w:r>
        <w:rPr>
          <w:rFonts w:hint="eastAsia" w:ascii="宋体" w:hAnsi="宋体" w:eastAsia="宋体" w:cs="宋体"/>
          <w:b/>
          <w:bCs/>
          <w:color w:val="auto"/>
          <w:sz w:val="20"/>
          <w:szCs w:val="20"/>
          <w:highlight w:val="none"/>
        </w:rPr>
        <w:t>、结算办法和服务费支付方式</w:t>
      </w:r>
    </w:p>
    <w:p w14:paraId="1336870C">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1.</w:t>
      </w:r>
      <w:r>
        <w:rPr>
          <w:rFonts w:hint="eastAsia" w:ascii="宋体" w:hAnsi="宋体" w:eastAsia="宋体" w:cs="宋体"/>
          <w:color w:val="000000" w:themeColor="text1"/>
          <w:sz w:val="20"/>
          <w:szCs w:val="20"/>
          <w:highlight w:val="none"/>
          <w14:textFill>
            <w14:solidFill>
              <w14:schemeClr w14:val="tx1"/>
            </w14:solidFill>
          </w14:textFill>
        </w:rPr>
        <w:t>项目实施结束后，经甲方验收合格一次性付清全部服务费。乙方向甲方开具正式发票。</w:t>
      </w:r>
    </w:p>
    <w:p w14:paraId="26FA9C2C">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1）结算方式：银行转账。</w:t>
      </w:r>
    </w:p>
    <w:p w14:paraId="3B995D20">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2）结算单位：由甲方负责结算，乙方开具合同总价数的全额发票交甲方。</w:t>
      </w:r>
    </w:p>
    <w:p w14:paraId="4D9A518A">
      <w:pPr>
        <w:keepNext w:val="0"/>
        <w:keepLines w:val="0"/>
        <w:pageBreakBefore w:val="0"/>
        <w:kinsoku/>
        <w:wordWrap/>
        <w:overflowPunct/>
        <w:topLinePunct w:val="0"/>
        <w:bidi w:val="0"/>
        <w:adjustRightInd/>
        <w:spacing w:line="360" w:lineRule="auto"/>
        <w:ind w:right="0"/>
        <w:outlineLvl w:val="9"/>
        <w:rPr>
          <w:rFonts w:hint="eastAsia" w:ascii="宋体" w:hAnsi="宋体" w:eastAsia="宋体" w:cs="宋体"/>
          <w:b/>
          <w:bCs/>
          <w:color w:val="auto"/>
          <w:sz w:val="20"/>
          <w:szCs w:val="20"/>
          <w:highlight w:val="none"/>
          <w:lang w:val="en-US" w:eastAsia="zh-CN"/>
        </w:rPr>
      </w:pPr>
      <w:r>
        <w:rPr>
          <w:rFonts w:hint="eastAsia" w:ascii="宋体" w:hAnsi="宋体" w:eastAsia="宋体" w:cs="宋体"/>
          <w:b/>
          <w:bCs/>
          <w:color w:val="auto"/>
          <w:sz w:val="20"/>
          <w:szCs w:val="20"/>
          <w:highlight w:val="none"/>
          <w:lang w:val="en-US" w:eastAsia="zh-CN"/>
        </w:rPr>
        <w:t>六、验收标准和依据</w:t>
      </w:r>
    </w:p>
    <w:p w14:paraId="06375FFD">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1.验收依据</w:t>
      </w:r>
    </w:p>
    <w:p w14:paraId="2634DED1">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000000" w:themeColor="text1"/>
          <w:sz w:val="20"/>
          <w:szCs w:val="20"/>
          <w:highlight w:val="none"/>
          <w:lang w:eastAsia="zh-CN"/>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依据《西安市残疾人托养服务工作实施方案》（市残联发〔202</w:t>
      </w:r>
      <w:r>
        <w:rPr>
          <w:rFonts w:hint="eastAsia" w:ascii="宋体" w:hAnsi="宋体" w:eastAsia="宋体" w:cs="宋体"/>
          <w:color w:val="000000" w:themeColor="text1"/>
          <w:sz w:val="20"/>
          <w:szCs w:val="20"/>
          <w:highlight w:val="none"/>
          <w:lang w:val="en-US" w:eastAsia="zh-CN"/>
          <w14:textFill>
            <w14:solidFill>
              <w14:schemeClr w14:val="tx1"/>
            </w14:solidFill>
          </w14:textFill>
        </w:rPr>
        <w:t>6</w:t>
      </w:r>
      <w:r>
        <w:rPr>
          <w:rFonts w:hint="eastAsia" w:ascii="宋体" w:hAnsi="宋体" w:eastAsia="宋体" w:cs="宋体"/>
          <w:color w:val="000000" w:themeColor="text1"/>
          <w:sz w:val="20"/>
          <w:szCs w:val="20"/>
          <w:highlight w:val="none"/>
          <w14:textFill>
            <w14:solidFill>
              <w14:schemeClr w14:val="tx1"/>
            </w14:solidFill>
          </w14:textFill>
        </w:rPr>
        <w:t>〕</w:t>
      </w:r>
      <w:r>
        <w:rPr>
          <w:rFonts w:hint="eastAsia" w:ascii="宋体" w:hAnsi="宋体" w:eastAsia="宋体" w:cs="宋体"/>
          <w:color w:val="000000" w:themeColor="text1"/>
          <w:sz w:val="20"/>
          <w:szCs w:val="20"/>
          <w:highlight w:val="none"/>
          <w:lang w:val="en-US" w:eastAsia="zh-CN"/>
          <w14:textFill>
            <w14:solidFill>
              <w14:schemeClr w14:val="tx1"/>
            </w14:solidFill>
          </w14:textFill>
        </w:rPr>
        <w:t>55</w:t>
      </w:r>
      <w:r>
        <w:rPr>
          <w:rFonts w:hint="eastAsia" w:ascii="宋体" w:hAnsi="宋体" w:eastAsia="宋体" w:cs="宋体"/>
          <w:color w:val="000000" w:themeColor="text1"/>
          <w:sz w:val="20"/>
          <w:szCs w:val="20"/>
          <w:highlight w:val="none"/>
          <w14:textFill>
            <w14:solidFill>
              <w14:schemeClr w14:val="tx1"/>
            </w14:solidFill>
          </w14:textFill>
        </w:rPr>
        <w:t>号）、《西安市残疾人托养服务工作实施细则》（市残联发〔202</w:t>
      </w:r>
      <w:r>
        <w:rPr>
          <w:rFonts w:hint="eastAsia" w:ascii="宋体" w:hAnsi="宋体" w:eastAsia="宋体" w:cs="宋体"/>
          <w:color w:val="000000" w:themeColor="text1"/>
          <w:sz w:val="20"/>
          <w:szCs w:val="20"/>
          <w:highlight w:val="none"/>
          <w:lang w:val="en-US" w:eastAsia="zh-CN"/>
          <w14:textFill>
            <w14:solidFill>
              <w14:schemeClr w14:val="tx1"/>
            </w14:solidFill>
          </w14:textFill>
        </w:rPr>
        <w:t>6</w:t>
      </w:r>
      <w:r>
        <w:rPr>
          <w:rFonts w:hint="eastAsia" w:ascii="宋体" w:hAnsi="宋体" w:eastAsia="宋体" w:cs="宋体"/>
          <w:color w:val="000000" w:themeColor="text1"/>
          <w:sz w:val="20"/>
          <w:szCs w:val="20"/>
          <w:highlight w:val="none"/>
          <w14:textFill>
            <w14:solidFill>
              <w14:schemeClr w14:val="tx1"/>
            </w14:solidFill>
          </w14:textFill>
        </w:rPr>
        <w:t>〕</w:t>
      </w:r>
      <w:r>
        <w:rPr>
          <w:rFonts w:hint="eastAsia" w:ascii="宋体" w:hAnsi="宋体" w:eastAsia="宋体" w:cs="宋体"/>
          <w:color w:val="000000" w:themeColor="text1"/>
          <w:sz w:val="20"/>
          <w:szCs w:val="20"/>
          <w:highlight w:val="none"/>
          <w:lang w:val="en-US" w:eastAsia="zh-CN"/>
          <w14:textFill>
            <w14:solidFill>
              <w14:schemeClr w14:val="tx1"/>
            </w14:solidFill>
          </w14:textFill>
        </w:rPr>
        <w:t>57</w:t>
      </w:r>
      <w:r>
        <w:rPr>
          <w:rFonts w:hint="eastAsia" w:ascii="宋体" w:hAnsi="宋体" w:eastAsia="宋体" w:cs="宋体"/>
          <w:color w:val="000000" w:themeColor="text1"/>
          <w:sz w:val="20"/>
          <w:szCs w:val="20"/>
          <w:highlight w:val="none"/>
          <w14:textFill>
            <w14:solidFill>
              <w14:schemeClr w14:val="tx1"/>
            </w14:solidFill>
          </w14:textFill>
        </w:rPr>
        <w:t>号）等文件要求</w:t>
      </w:r>
      <w:r>
        <w:rPr>
          <w:rFonts w:hint="eastAsia" w:ascii="宋体" w:hAnsi="宋体" w:eastAsia="宋体" w:cs="宋体"/>
          <w:color w:val="000000" w:themeColor="text1"/>
          <w:sz w:val="20"/>
          <w:szCs w:val="20"/>
          <w:highlight w:val="none"/>
          <w:lang w:eastAsia="zh-CN"/>
          <w14:textFill>
            <w14:solidFill>
              <w14:schemeClr w14:val="tx1"/>
            </w14:solidFill>
          </w14:textFill>
        </w:rPr>
        <w:t>。</w:t>
      </w:r>
    </w:p>
    <w:p w14:paraId="1090ADC3">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项目合同资料</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项目采购文件、成交供应商响应文件、正式服务采购合同、补充协议、服务实施方案。</w:t>
      </w:r>
    </w:p>
    <w:p w14:paraId="0F79FA16">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日常运营台账</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服务记录、人员排班、康复护理档案、安全巡查、财务耗材、应急处置、回访记录等全过程台账</w:t>
      </w:r>
    </w:p>
    <w:p w14:paraId="3B606F79">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2.验收标准</w:t>
      </w:r>
    </w:p>
    <w:p w14:paraId="779317AC">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供应商须完整履行合同全部服务条款，具备合规场地、齐全资质、稳定专业队伍，24小时常态化服务规范、安全无事故，残疾人照护、康复、医疗、心理服务全覆盖，服务对象及家属满意度达标，运营管理体系完整可持续。</w:t>
      </w:r>
    </w:p>
    <w:p w14:paraId="7933A466">
      <w:pPr>
        <w:keepNext w:val="0"/>
        <w:keepLines w:val="0"/>
        <w:pageBreakBefore w:val="0"/>
        <w:kinsoku/>
        <w:wordWrap/>
        <w:overflowPunct/>
        <w:topLinePunct w:val="0"/>
        <w:bidi w:val="0"/>
        <w:adjustRightInd/>
        <w:spacing w:line="360" w:lineRule="auto"/>
        <w:ind w:right="0"/>
        <w:outlineLvl w:val="9"/>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lang w:val="en-US" w:eastAsia="zh-CN"/>
        </w:rPr>
        <w:t>七</w:t>
      </w:r>
      <w:r>
        <w:rPr>
          <w:rFonts w:hint="eastAsia" w:ascii="宋体" w:hAnsi="宋体" w:eastAsia="宋体" w:cs="宋体"/>
          <w:b/>
          <w:bCs/>
          <w:color w:val="auto"/>
          <w:sz w:val="20"/>
          <w:szCs w:val="20"/>
          <w:highlight w:val="none"/>
        </w:rPr>
        <w:t>、相关责任</w:t>
      </w:r>
    </w:p>
    <w:p w14:paraId="53DE1253">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1、乙方提供服务期间，与服务对象发生涉及法律等方面的纠纷，如服务人员或服务对象发生人身意外伤害、财产丢失等相关责任，均由乙方承担，甲方不承担法律责任。</w:t>
      </w:r>
    </w:p>
    <w:p w14:paraId="3DC29424">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2、乙方派出的服务人员不符合服务标准，甲方有权要求其予以整改，整改仍达不到甲方要求的服务标准时，甲方有权要求其更换服务员，因此产生的相应损失由乙方自行承担。</w:t>
      </w:r>
    </w:p>
    <w:p w14:paraId="250C2A45">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3、如乙方有未如期进行服务，服务严重达不到服务标准，影响本合同继续履行的，甲方有权解除合同，并要求其承担应付服务费用20%的违约金。</w:t>
      </w:r>
    </w:p>
    <w:p w14:paraId="24098478">
      <w:pPr>
        <w:keepNext w:val="0"/>
        <w:keepLines w:val="0"/>
        <w:pageBreakBefore w:val="0"/>
        <w:kinsoku/>
        <w:wordWrap/>
        <w:overflowPunct/>
        <w:topLinePunct w:val="0"/>
        <w:bidi w:val="0"/>
        <w:adjustRightInd/>
        <w:spacing w:line="360" w:lineRule="auto"/>
        <w:ind w:right="0"/>
        <w:outlineLvl w:val="9"/>
        <w:rPr>
          <w:rFonts w:hint="eastAsia" w:ascii="宋体" w:hAnsi="宋体" w:eastAsia="宋体" w:cs="宋体"/>
          <w:b/>
          <w:bCs/>
          <w:color w:val="auto"/>
          <w:sz w:val="20"/>
          <w:szCs w:val="20"/>
          <w:highlight w:val="none"/>
          <w:lang w:val="en-US" w:eastAsia="zh-CN"/>
        </w:rPr>
      </w:pPr>
      <w:r>
        <w:rPr>
          <w:rFonts w:hint="eastAsia" w:ascii="宋体" w:hAnsi="宋体" w:eastAsia="宋体" w:cs="宋体"/>
          <w:b/>
          <w:bCs/>
          <w:color w:val="auto"/>
          <w:sz w:val="20"/>
          <w:szCs w:val="20"/>
          <w:highlight w:val="none"/>
          <w:lang w:val="en-US" w:eastAsia="zh-CN"/>
        </w:rPr>
        <w:t>八、合同生效及其他</w:t>
      </w:r>
    </w:p>
    <w:p w14:paraId="3AB139E5">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1、合同未尽事宜由甲、乙双方协商，作为合同补充，与原合同具有同等法律效力。</w:t>
      </w:r>
    </w:p>
    <w:p w14:paraId="04AF5449">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2、合同正本一式</w:t>
      </w:r>
      <w:r>
        <w:rPr>
          <w:rFonts w:hint="eastAsia" w:ascii="宋体" w:hAnsi="宋体" w:eastAsia="宋体" w:cs="宋体"/>
          <w:color w:val="auto"/>
          <w:sz w:val="20"/>
          <w:szCs w:val="20"/>
          <w:highlight w:val="none"/>
          <w:u w:val="single"/>
          <w:lang w:val="en-US" w:eastAsia="zh-CN"/>
        </w:rPr>
        <w:t xml:space="preserve"> 4 </w:t>
      </w:r>
      <w:r>
        <w:rPr>
          <w:rFonts w:hint="eastAsia" w:ascii="宋体" w:hAnsi="宋体" w:eastAsia="宋体" w:cs="宋体"/>
          <w:color w:val="auto"/>
          <w:sz w:val="20"/>
          <w:szCs w:val="20"/>
          <w:highlight w:val="none"/>
          <w:lang w:val="en-US" w:eastAsia="zh-CN"/>
        </w:rPr>
        <w:t>份</w:t>
      </w:r>
      <w:r>
        <w:rPr>
          <w:rFonts w:hint="eastAsia" w:ascii="宋体" w:hAnsi="宋体" w:eastAsia="宋体" w:cs="宋体"/>
          <w:color w:val="000000" w:themeColor="text1"/>
          <w:sz w:val="20"/>
          <w:szCs w:val="20"/>
          <w:highlight w:val="none"/>
          <w:lang w:val="en-US" w:eastAsia="zh-CN"/>
          <w14:textFill>
            <w14:solidFill>
              <w14:schemeClr w14:val="tx1"/>
            </w14:solidFill>
          </w14:textFill>
        </w:rPr>
        <w:t>，甲方</w:t>
      </w:r>
      <w:r>
        <w:rPr>
          <w:rFonts w:hint="eastAsia" w:ascii="宋体" w:hAnsi="宋体" w:eastAsia="宋体" w:cs="宋体"/>
          <w:color w:val="auto"/>
          <w:sz w:val="20"/>
          <w:szCs w:val="20"/>
          <w:highlight w:val="none"/>
          <w:lang w:val="en-US" w:eastAsia="zh-CN"/>
        </w:rPr>
        <w:t>乙方双方各执</w:t>
      </w:r>
      <w:r>
        <w:rPr>
          <w:rFonts w:hint="eastAsia" w:ascii="宋体" w:hAnsi="宋体" w:eastAsia="宋体" w:cs="宋体"/>
          <w:color w:val="auto"/>
          <w:sz w:val="20"/>
          <w:szCs w:val="20"/>
          <w:highlight w:val="none"/>
          <w:u w:val="single"/>
          <w:lang w:val="en-US" w:eastAsia="zh-CN"/>
        </w:rPr>
        <w:t xml:space="preserve"> 2 </w:t>
      </w:r>
      <w:r>
        <w:rPr>
          <w:rFonts w:hint="eastAsia" w:ascii="宋体" w:hAnsi="宋体" w:eastAsia="宋体" w:cs="宋体"/>
          <w:color w:val="auto"/>
          <w:sz w:val="20"/>
          <w:szCs w:val="20"/>
          <w:highlight w:val="none"/>
          <w:lang w:val="en-US" w:eastAsia="zh-CN"/>
        </w:rPr>
        <w:t>份。</w:t>
      </w:r>
    </w:p>
    <w:p w14:paraId="3A86AEEF">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3、合同经甲乙双方盖章、签字后生效。</w:t>
      </w:r>
    </w:p>
    <w:p w14:paraId="5FCDD0F0">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4、合同签订地点为：</w:t>
      </w:r>
      <w:r>
        <w:rPr>
          <w:rFonts w:hint="eastAsia" w:ascii="宋体" w:hAnsi="宋体" w:eastAsia="宋体" w:cs="宋体"/>
          <w:color w:val="auto"/>
          <w:sz w:val="20"/>
          <w:szCs w:val="20"/>
          <w:highlight w:val="none"/>
          <w:u w:val="single"/>
          <w:lang w:val="en-US" w:eastAsia="zh-CN"/>
        </w:rPr>
        <w:t xml:space="preserve"> 西安市蓝田县残疾人联合会 </w:t>
      </w:r>
      <w:r>
        <w:rPr>
          <w:rFonts w:hint="eastAsia" w:ascii="宋体" w:hAnsi="宋体" w:eastAsia="宋体" w:cs="宋体"/>
          <w:color w:val="auto"/>
          <w:sz w:val="20"/>
          <w:szCs w:val="20"/>
          <w:highlight w:val="none"/>
          <w:lang w:val="en-US" w:eastAsia="zh-CN"/>
        </w:rPr>
        <w:t>。</w:t>
      </w:r>
    </w:p>
    <w:p w14:paraId="2C9077DF">
      <w:pPr>
        <w:keepNext w:val="0"/>
        <w:keepLines w:val="0"/>
        <w:pageBreakBefore w:val="0"/>
        <w:kinsoku/>
        <w:wordWrap/>
        <w:overflowPunct/>
        <w:topLinePunct w:val="0"/>
        <w:bidi w:val="0"/>
        <w:adjustRightInd/>
        <w:spacing w:line="360" w:lineRule="auto"/>
        <w:ind w:right="0"/>
        <w:outlineLvl w:val="9"/>
        <w:rPr>
          <w:rFonts w:hint="eastAsia" w:ascii="宋体" w:hAnsi="宋体" w:eastAsia="宋体" w:cs="宋体"/>
          <w:b/>
          <w:bCs/>
          <w:color w:val="auto"/>
          <w:sz w:val="20"/>
          <w:szCs w:val="20"/>
          <w:highlight w:val="none"/>
          <w:lang w:val="en-US" w:eastAsia="zh-CN"/>
        </w:rPr>
      </w:pPr>
      <w:r>
        <w:rPr>
          <w:rFonts w:hint="eastAsia" w:ascii="宋体" w:hAnsi="宋体" w:eastAsia="宋体" w:cs="宋体"/>
          <w:b/>
          <w:bCs/>
          <w:color w:val="auto"/>
          <w:sz w:val="20"/>
          <w:szCs w:val="20"/>
          <w:highlight w:val="none"/>
          <w:lang w:val="en-US" w:eastAsia="zh-CN"/>
        </w:rPr>
        <w:t>九、争议与解决途径</w:t>
      </w:r>
    </w:p>
    <w:p w14:paraId="52B9B9B6">
      <w:pPr>
        <w:keepNext w:val="0"/>
        <w:keepLines w:val="0"/>
        <w:pageBreakBefore w:val="0"/>
        <w:kinsoku/>
        <w:wordWrap/>
        <w:overflowPunct/>
        <w:topLinePunct w:val="0"/>
        <w:bidi w:val="0"/>
        <w:adjustRightInd/>
        <w:spacing w:line="360" w:lineRule="auto"/>
        <w:ind w:right="0" w:firstLine="400" w:firstLineChars="200"/>
        <w:outlineLvl w:val="9"/>
        <w:rPr>
          <w:rFonts w:hint="eastAsia" w:ascii="宋体" w:hAnsi="宋体" w:eastAsia="宋体" w:cs="宋体"/>
          <w:color w:val="auto"/>
          <w:sz w:val="20"/>
          <w:szCs w:val="20"/>
          <w:highlight w:val="none"/>
          <w:lang w:val="en-US" w:eastAsia="zh-CN"/>
        </w:rPr>
      </w:pPr>
      <w:r>
        <w:rPr>
          <w:rFonts w:hint="default" w:ascii="宋体" w:hAnsi="宋体" w:eastAsia="宋体" w:cs="宋体"/>
          <w:color w:val="auto"/>
          <w:sz w:val="20"/>
          <w:szCs w:val="20"/>
          <w:highlight w:val="none"/>
          <w:lang w:val="en-US" w:eastAsia="zh-CN"/>
        </w:rPr>
        <w:t>向有管辖权的人民法院提起诉讼</w:t>
      </w:r>
      <w:r>
        <w:rPr>
          <w:rFonts w:hint="eastAsia" w:ascii="宋体" w:hAnsi="宋体" w:eastAsia="宋体" w:cs="宋体"/>
          <w:color w:val="auto"/>
          <w:sz w:val="20"/>
          <w:szCs w:val="20"/>
          <w:highlight w:val="none"/>
          <w:lang w:val="en-US" w:eastAsia="zh-CN"/>
        </w:rPr>
        <w:t>。</w:t>
      </w:r>
    </w:p>
    <w:p w14:paraId="51262AD7">
      <w:pPr>
        <w:keepNext w:val="0"/>
        <w:keepLines w:val="0"/>
        <w:pageBreakBefore w:val="0"/>
        <w:kinsoku/>
        <w:wordWrap/>
        <w:overflowPunct/>
        <w:topLinePunct w:val="0"/>
        <w:bidi w:val="0"/>
        <w:adjustRightInd/>
        <w:spacing w:line="360" w:lineRule="auto"/>
        <w:ind w:right="0"/>
        <w:outlineLvl w:val="9"/>
        <w:rPr>
          <w:rFonts w:hint="default" w:ascii="宋体" w:hAnsi="宋体" w:eastAsia="宋体" w:cs="宋体"/>
          <w:color w:val="auto"/>
          <w:sz w:val="20"/>
          <w:szCs w:val="20"/>
          <w:highlight w:val="none"/>
          <w:lang w:val="en-US" w:eastAsia="zh-CN"/>
        </w:rPr>
      </w:pPr>
    </w:p>
    <w:p w14:paraId="17A8C78B">
      <w:pPr>
        <w:keepNext w:val="0"/>
        <w:keepLines w:val="0"/>
        <w:pageBreakBefore w:val="0"/>
        <w:kinsoku/>
        <w:wordWrap/>
        <w:overflowPunct/>
        <w:topLinePunct w:val="0"/>
        <w:bidi w:val="0"/>
        <w:adjustRightInd/>
        <w:spacing w:line="360" w:lineRule="auto"/>
        <w:ind w:right="0"/>
        <w:outlineLvl w:val="9"/>
        <w:rPr>
          <w:rFonts w:hint="default" w:ascii="宋体" w:hAnsi="宋体" w:eastAsia="宋体" w:cs="宋体"/>
          <w:color w:val="auto"/>
          <w:sz w:val="20"/>
          <w:szCs w:val="20"/>
          <w:highlight w:val="none"/>
          <w:lang w:val="en-US" w:eastAsia="zh-CN"/>
        </w:rPr>
      </w:pPr>
    </w:p>
    <w:p w14:paraId="1B0D6F21">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甲方：                   （盖章）             乙方：          （盖章）</w:t>
      </w:r>
    </w:p>
    <w:p w14:paraId="2D075BDA">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 xml:space="preserve">地址：                                        地址：                  </w:t>
      </w:r>
    </w:p>
    <w:p w14:paraId="5C9AA84A">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法人或授权代表签字或盖章：                    法人或授权代表签字或盖章：</w:t>
      </w:r>
    </w:p>
    <w:p w14:paraId="4BB0137B">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电话：                                        电话：</w:t>
      </w:r>
      <w:bookmarkStart w:id="16" w:name="_GoBack"/>
      <w:bookmarkEnd w:id="16"/>
    </w:p>
    <w:p w14:paraId="64F8B141">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开户银行：                                    开户银行：</w:t>
      </w:r>
    </w:p>
    <w:p w14:paraId="5F8A9680">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 xml:space="preserve">帐号：                                        帐号： </w:t>
      </w:r>
    </w:p>
    <w:p w14:paraId="1F541374">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项目联系人：                                  项目联系人：</w:t>
      </w:r>
    </w:p>
    <w:p w14:paraId="3B011467">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联系电话：                                    联系电话：</w:t>
      </w:r>
    </w:p>
    <w:p w14:paraId="2683AC71">
      <w:pPr>
        <w:keepNext w:val="0"/>
        <w:keepLines w:val="0"/>
        <w:pageBreakBefore w:val="0"/>
        <w:kinsoku/>
        <w:wordWrap/>
        <w:overflowPunct/>
        <w:topLinePunct w:val="0"/>
        <w:bidi w:val="0"/>
        <w:adjustRightInd/>
        <w:spacing w:line="360" w:lineRule="auto"/>
        <w:ind w:right="0" w:firstLine="400" w:firstLineChars="200"/>
        <w:jc w:val="left"/>
        <w:outlineLvl w:val="9"/>
      </w:pPr>
      <w:r>
        <w:rPr>
          <w:rFonts w:hint="eastAsia" w:ascii="宋体" w:hAnsi="宋体" w:eastAsia="宋体" w:cs="宋体"/>
          <w:color w:val="auto"/>
          <w:sz w:val="20"/>
          <w:szCs w:val="20"/>
          <w:highlight w:val="none"/>
          <w:lang w:val="en-US" w:eastAsia="zh-CN"/>
        </w:rPr>
        <w:t>签订日期：                                    签订日期：</w:t>
      </w: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649DA822-2E23-4DAD-B888-B1949E1E70FA}"/>
  </w:font>
  <w:font w:name="方正小标宋简体">
    <w:panose1 w:val="02000000000000000000"/>
    <w:charset w:val="86"/>
    <w:family w:val="auto"/>
    <w:pitch w:val="default"/>
    <w:sig w:usb0="00000001" w:usb1="08000000" w:usb2="00000000" w:usb3="00000000" w:csb0="00040000" w:csb1="00000000"/>
    <w:embedRegular r:id="rId2" w:fontKey="{E11CC1E0-AF3B-4F5E-B725-94F8034C3DC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1EA4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90D08E">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990D08E">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6CCD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BAF4BA">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0BAF4BA">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4BE5568"/>
    <w:rsid w:val="65AE5108"/>
    <w:rsid w:val="69C017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 w:val="21"/>
    </w:rPr>
  </w:style>
  <w:style w:type="paragraph" w:styleId="3">
    <w:name w:val="Body Text"/>
    <w:basedOn w:val="1"/>
    <w:next w:val="1"/>
    <w:qFormat/>
    <w:uiPriority w:val="0"/>
    <w:pPr>
      <w:spacing w:after="120"/>
    </w:pPr>
    <w:rPr>
      <w:kern w:val="0"/>
      <w:sz w:val="20"/>
      <w:szCs w:val="24"/>
    </w:rPr>
  </w:style>
  <w:style w:type="paragraph" w:styleId="4">
    <w:name w:val="footer"/>
    <w:basedOn w:val="1"/>
    <w:next w:val="3"/>
    <w:qFormat/>
    <w:uiPriority w:val="0"/>
    <w:pPr>
      <w:tabs>
        <w:tab w:val="center" w:pos="4153"/>
        <w:tab w:val="right" w:pos="8306"/>
      </w:tabs>
      <w:snapToGrid w:val="0"/>
      <w:jc w:val="left"/>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2056</Words>
  <Characters>2106</Characters>
  <Lines>0</Lines>
  <Paragraphs>0</Paragraphs>
  <TotalTime>0</TotalTime>
  <ScaleCrop>false</ScaleCrop>
  <LinksUpToDate>false</LinksUpToDate>
  <CharactersWithSpaces>2757</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2026-07-22T14:46:00Z</dcterms:created>
  <dc:creator>pc</dc:creator>
  <cp:lastModifiedBy>向风而行</cp:lastModifiedBy>
  <dcterms:modified xsi:type="dcterms:W3CDTF">2026-07-22T15:14:14Z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KSOTemplateDocerSaveRecord">
    <vt:lpwstr>eyJoZGlkIjoiMWQyYWRiNTUyZWUyNGUzY2JhOTg0NzhkOGM3YjczYWEiLCJ1c2VySWQiOiIzNzk1NzM3ODkifQ==</vt:lpwstr>
  </property>
  <property fmtid="{D5CDD505-2E9C-101B-9397-08002B2CF9AE}" pid="4" name="ICV">
    <vt:lpwstr>9DE9A0DD746744E7A0A9F72FEA918286_12</vt:lpwstr>
  </property>
</Properties>
</file>