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25517">
      <w:pPr>
        <w:pStyle w:val="2"/>
        <w:rPr>
          <w:rFonts w:hint="eastAsia"/>
          <w:highlight w:val="none"/>
        </w:rPr>
      </w:pPr>
      <w:r>
        <w:rPr>
          <w:rFonts w:hint="eastAsia"/>
          <w:highlight w:val="none"/>
        </w:rPr>
        <w:t>拟签订采购合同文本</w:t>
      </w:r>
    </w:p>
    <w:p w14:paraId="2DF1D95F">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3296BDF8">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06AE223E">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cs="宋体"/>
          <w:b/>
          <w:bCs/>
          <w:snapToGrid w:val="0"/>
          <w:color w:val="auto"/>
          <w:kern w:val="0"/>
          <w:sz w:val="28"/>
          <w:szCs w:val="28"/>
          <w:highlight w:val="none"/>
          <w:lang w:val="en-US" w:eastAsia="zh-CN"/>
        </w:rPr>
        <w:t xml:space="preserve">政府采购项目        </w:t>
      </w:r>
      <w:r>
        <w:rPr>
          <w:rFonts w:hint="eastAsia" w:ascii="宋体" w:hAnsi="宋体" w:eastAsia="宋体" w:cs="宋体"/>
          <w:b/>
          <w:bCs/>
          <w:snapToGrid w:val="0"/>
          <w:color w:val="auto"/>
          <w:kern w:val="0"/>
          <w:sz w:val="28"/>
          <w:szCs w:val="28"/>
          <w:highlight w:val="none"/>
          <w:lang w:eastAsia="en-US"/>
        </w:rPr>
        <w:t xml:space="preserve">             合同编号：</w:t>
      </w:r>
      <w:r>
        <w:rPr>
          <w:rFonts w:hint="eastAsia" w:ascii="宋体" w:hAnsi="宋体" w:eastAsia="宋体" w:cs="宋体"/>
          <w:b/>
          <w:bCs/>
          <w:color w:val="auto"/>
          <w:sz w:val="28"/>
          <w:szCs w:val="28"/>
          <w:highlight w:val="none"/>
          <w:u w:val="single"/>
          <w:lang w:val="en-US" w:eastAsia="zh-CN"/>
        </w:rPr>
        <w:t xml:space="preserve">              </w:t>
      </w:r>
    </w:p>
    <w:p w14:paraId="0215D191">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7D4877F9">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240430E7">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291A46EF">
      <w:pPr>
        <w:pStyle w:val="3"/>
        <w:rPr>
          <w:rFonts w:hint="eastAsia" w:ascii="Times New Roman" w:hAnsi="Times New Roman" w:eastAsia="宋体" w:cs="Times New Roman"/>
          <w:color w:val="auto"/>
          <w:kern w:val="2"/>
          <w:sz w:val="20"/>
          <w:szCs w:val="20"/>
          <w:highlight w:val="none"/>
          <w:lang w:val="en-US" w:eastAsia="zh-CN" w:bidi="ar-SA"/>
        </w:rPr>
      </w:pPr>
    </w:p>
    <w:p w14:paraId="7F0BBD1A">
      <w:pPr>
        <w:rPr>
          <w:rFonts w:hint="eastAsia"/>
          <w:sz w:val="20"/>
          <w:szCs w:val="22"/>
          <w:highlight w:val="none"/>
          <w:lang w:val="en-US" w:eastAsia="zh-CN"/>
        </w:rPr>
      </w:pPr>
    </w:p>
    <w:p w14:paraId="5EEEDE65">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5FB5595B">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63CFA0DA">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zh-CN"/>
        </w:rPr>
      </w:pPr>
      <w:r>
        <w:rPr>
          <w:rFonts w:hint="eastAsia" w:ascii="宋体" w:hAnsi="宋体" w:eastAsia="宋体" w:cs="宋体"/>
          <w:b/>
          <w:bCs/>
          <w:color w:val="auto"/>
          <w:kern w:val="0"/>
          <w:sz w:val="40"/>
          <w:szCs w:val="40"/>
          <w:highlight w:val="none"/>
          <w:u w:val="none"/>
          <w:lang w:val="en-US" w:eastAsia="zh-CN"/>
        </w:rPr>
        <w:t>（全省农村公路路况抽检）</w:t>
      </w:r>
    </w:p>
    <w:p w14:paraId="00E8592C">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07131BF8">
      <w:pPr>
        <w:spacing w:line="324" w:lineRule="auto"/>
        <w:rPr>
          <w:rFonts w:hint="eastAsia" w:ascii="Times New Roman" w:hAnsi="宋体" w:eastAsia="宋体" w:cs="宋体"/>
          <w:color w:val="auto"/>
          <w:sz w:val="16"/>
          <w:szCs w:val="20"/>
          <w:highlight w:val="none"/>
        </w:rPr>
      </w:pPr>
    </w:p>
    <w:p w14:paraId="27260F69">
      <w:pPr>
        <w:spacing w:line="324" w:lineRule="auto"/>
        <w:rPr>
          <w:rFonts w:hint="eastAsia" w:ascii="Times New Roman" w:hAnsi="宋体" w:eastAsia="宋体" w:cs="宋体"/>
          <w:color w:val="auto"/>
          <w:sz w:val="16"/>
          <w:szCs w:val="20"/>
          <w:highlight w:val="none"/>
        </w:rPr>
      </w:pPr>
    </w:p>
    <w:p w14:paraId="1916984A">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282EE90F">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302B469C">
      <w:pPr>
        <w:spacing w:line="324" w:lineRule="auto"/>
        <w:rPr>
          <w:rFonts w:hint="eastAsia" w:ascii="Times New Roman" w:hAnsi="宋体" w:eastAsia="宋体" w:cs="宋体"/>
          <w:color w:val="auto"/>
          <w:sz w:val="16"/>
          <w:szCs w:val="20"/>
          <w:highlight w:val="none"/>
        </w:rPr>
      </w:pPr>
    </w:p>
    <w:p w14:paraId="7ACB390D">
      <w:pPr>
        <w:spacing w:line="324" w:lineRule="auto"/>
        <w:rPr>
          <w:rFonts w:hint="eastAsia" w:ascii="Times New Roman" w:hAnsi="宋体" w:eastAsia="宋体" w:cs="宋体"/>
          <w:color w:val="auto"/>
          <w:sz w:val="16"/>
          <w:szCs w:val="20"/>
          <w:highlight w:val="none"/>
        </w:rPr>
      </w:pPr>
    </w:p>
    <w:p w14:paraId="391F37FC">
      <w:pPr>
        <w:spacing w:line="324" w:lineRule="auto"/>
        <w:jc w:val="center"/>
        <w:rPr>
          <w:rFonts w:hint="eastAsia" w:ascii="Times New Roman" w:hAnsi="宋体" w:eastAsia="宋体" w:cs="宋体"/>
          <w:b/>
          <w:color w:val="auto"/>
          <w:sz w:val="24"/>
          <w:szCs w:val="24"/>
          <w:highlight w:val="none"/>
        </w:rPr>
      </w:pPr>
    </w:p>
    <w:p w14:paraId="634EE084">
      <w:pPr>
        <w:spacing w:before="163" w:beforeLines="50" w:line="360" w:lineRule="auto"/>
        <w:jc w:val="center"/>
        <w:rPr>
          <w:rFonts w:hint="eastAsia" w:ascii="Times New Roman" w:hAnsi="宋体" w:eastAsia="宋体" w:cs="宋体"/>
          <w:b/>
          <w:bCs/>
          <w:color w:val="auto"/>
          <w:sz w:val="24"/>
          <w:szCs w:val="24"/>
          <w:highlight w:val="none"/>
        </w:rPr>
      </w:pPr>
    </w:p>
    <w:p w14:paraId="436D04EF">
      <w:pPr>
        <w:widowControl/>
        <w:kinsoku w:val="0"/>
        <w:autoSpaceDE w:val="0"/>
        <w:autoSpaceDN w:val="0"/>
        <w:adjustRightInd w:val="0"/>
        <w:snapToGrid w:val="0"/>
        <w:spacing w:before="0" w:beforeLines="0" w:line="360" w:lineRule="auto"/>
        <w:ind w:firstLine="2788" w:firstLineChars="992"/>
        <w:jc w:val="left"/>
        <w:textAlignment w:val="baseline"/>
        <w:rPr>
          <w:rFonts w:hint="eastAsia"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采购人：</w:t>
      </w:r>
      <w:r>
        <w:rPr>
          <w:rFonts w:hint="eastAsia" w:ascii="宋体" w:hAnsi="宋体" w:eastAsia="宋体" w:cs="宋体"/>
          <w:b/>
          <w:bCs/>
          <w:snapToGrid w:val="0"/>
          <w:color w:val="auto"/>
          <w:kern w:val="0"/>
          <w:sz w:val="28"/>
          <w:szCs w:val="28"/>
          <w:highlight w:val="none"/>
          <w:u w:val="single"/>
          <w:lang w:val="en-US" w:eastAsia="zh-CN"/>
        </w:rPr>
        <w:t>陕西省公路局</w:t>
      </w:r>
    </w:p>
    <w:p w14:paraId="3C632019">
      <w:pPr>
        <w:widowControl/>
        <w:kinsoku w:val="0"/>
        <w:autoSpaceDE w:val="0"/>
        <w:autoSpaceDN w:val="0"/>
        <w:adjustRightInd w:val="0"/>
        <w:snapToGrid w:val="0"/>
        <w:spacing w:before="0" w:beforeLines="0" w:line="360" w:lineRule="auto"/>
        <w:ind w:firstLine="2788" w:firstLineChars="992"/>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供应商：</w:t>
      </w:r>
      <w:r>
        <w:rPr>
          <w:rFonts w:hint="eastAsia" w:ascii="宋体" w:hAnsi="宋体" w:eastAsia="宋体" w:cs="宋体"/>
          <w:b/>
          <w:bCs/>
          <w:snapToGrid w:val="0"/>
          <w:color w:val="auto"/>
          <w:kern w:val="0"/>
          <w:sz w:val="28"/>
          <w:szCs w:val="28"/>
          <w:highlight w:val="none"/>
          <w:u w:val="single"/>
          <w:lang w:val="en-US" w:eastAsia="zh-CN"/>
        </w:rPr>
        <w:t xml:space="preserve">            </w:t>
      </w:r>
    </w:p>
    <w:p w14:paraId="16B695C6">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宋体" w:hAnsi="宋体" w:eastAsia="宋体" w:cs="宋体"/>
          <w:b/>
          <w:bCs/>
          <w:snapToGrid w:val="0"/>
          <w:color w:val="auto"/>
          <w:kern w:val="0"/>
          <w:sz w:val="28"/>
          <w:szCs w:val="28"/>
          <w:highlight w:val="none"/>
          <w:lang w:val="en-US" w:eastAsia="zh-CN"/>
        </w:rPr>
      </w:pPr>
    </w:p>
    <w:p w14:paraId="134FB6F4">
      <w:pPr>
        <w:widowControl/>
        <w:kinsoku w:val="0"/>
        <w:autoSpaceDE w:val="0"/>
        <w:autoSpaceDN w:val="0"/>
        <w:adjustRightInd w:val="0"/>
        <w:snapToGrid w:val="0"/>
        <w:spacing w:before="0" w:beforeLines="0" w:line="360" w:lineRule="auto"/>
        <w:ind w:firstLine="3351" w:firstLineChars="1192"/>
        <w:jc w:val="center"/>
        <w:textAlignment w:val="baseline"/>
        <w:rPr>
          <w:rFonts w:ascii="仿宋" w:hAnsi="仿宋" w:eastAsia="仿宋" w:cs="仿宋"/>
          <w:b/>
          <w:bCs/>
          <w:color w:val="auto"/>
          <w:sz w:val="36"/>
          <w:szCs w:val="36"/>
          <w:highlight w:val="none"/>
          <w:lang w:eastAsia="zh-CN"/>
        </w:rPr>
      </w:pPr>
      <w:r>
        <w:rPr>
          <w:rFonts w:hint="eastAsia" w:ascii="宋体" w:hAnsi="宋体" w:eastAsia="宋体" w:cs="宋体"/>
          <w:b/>
          <w:bCs/>
          <w:snapToGrid w:val="0"/>
          <w:color w:val="auto"/>
          <w:kern w:val="0"/>
          <w:sz w:val="28"/>
          <w:szCs w:val="28"/>
          <w:highlight w:val="none"/>
          <w:lang w:val="en-US" w:eastAsia="zh-CN"/>
        </w:rPr>
        <w:t>二〇二六年  月</w:t>
      </w:r>
      <w:r>
        <w:rPr>
          <w:rFonts w:hint="eastAsia" w:ascii="Times New Roman" w:hAnsi="宋体" w:eastAsia="宋体" w:cs="宋体"/>
          <w:b/>
          <w:bCs/>
          <w:color w:val="auto"/>
          <w:sz w:val="24"/>
          <w:szCs w:val="24"/>
          <w:highlight w:val="none"/>
        </w:rPr>
        <w:br w:type="page"/>
      </w:r>
      <w:r>
        <w:rPr>
          <w:rFonts w:hint="eastAsia" w:ascii="宋体" w:hAnsi="宋体" w:eastAsia="宋体" w:cs="宋体"/>
          <w:b/>
          <w:bCs/>
          <w:color w:val="auto"/>
          <w:sz w:val="36"/>
          <w:szCs w:val="36"/>
          <w:highlight w:val="none"/>
          <w:lang w:eastAsia="zh-CN"/>
        </w:rPr>
        <w:t>合同协议书</w:t>
      </w:r>
    </w:p>
    <w:p w14:paraId="0C79172F">
      <w:pPr>
        <w:spacing w:line="360" w:lineRule="auto"/>
        <w:ind w:firstLine="482" w:firstLineChars="200"/>
        <w:rPr>
          <w:rFonts w:hint="eastAsia" w:ascii="宋体" w:hAnsi="宋体" w:eastAsia="宋体" w:cs="宋体"/>
          <w:b/>
          <w:bCs/>
          <w:color w:val="auto"/>
          <w:sz w:val="24"/>
          <w:szCs w:val="24"/>
          <w:highlight w:val="none"/>
          <w:u w:val="none"/>
        </w:rPr>
      </w:pPr>
    </w:p>
    <w:p w14:paraId="5FBEC726">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甲方（采购人）：</w:t>
      </w:r>
      <w:r>
        <w:rPr>
          <w:rFonts w:hint="eastAsia" w:ascii="宋体" w:hAnsi="宋体" w:eastAsia="宋体" w:cs="宋体"/>
          <w:b/>
          <w:bCs/>
          <w:color w:val="auto"/>
          <w:sz w:val="24"/>
          <w:szCs w:val="24"/>
          <w:highlight w:val="none"/>
          <w:u w:val="single"/>
        </w:rPr>
        <w:t>陕西省公路局</w:t>
      </w:r>
    </w:p>
    <w:p w14:paraId="6538FCD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乙方（供应商）：</w:t>
      </w:r>
      <w:r>
        <w:rPr>
          <w:rFonts w:hint="eastAsia" w:ascii="宋体" w:hAnsi="宋体" w:eastAsia="宋体" w:cs="宋体"/>
          <w:b/>
          <w:bCs/>
          <w:color w:val="auto"/>
          <w:sz w:val="24"/>
          <w:szCs w:val="24"/>
          <w:highlight w:val="none"/>
          <w:u w:val="single"/>
          <w:lang w:val="en-US" w:eastAsia="zh-CN"/>
        </w:rPr>
        <w:t xml:space="preserve">            </w:t>
      </w:r>
    </w:p>
    <w:p w14:paraId="1DE1172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及其他有关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 遵循平等、自愿、公平和诚信的原则， 双方就下述项目范围与相关服务事项协商一致， 订立本合同。</w:t>
      </w:r>
    </w:p>
    <w:p w14:paraId="503CA59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73B8444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全省农村公路路况抽检</w:t>
      </w:r>
    </w:p>
    <w:p w14:paraId="4FE176F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（二）项目地点：</w:t>
      </w:r>
      <w:r>
        <w:rPr>
          <w:rFonts w:hint="eastAsia" w:ascii="宋体" w:hAnsi="宋体" w:eastAsia="宋体" w:cs="宋体"/>
          <w:color w:val="auto"/>
          <w:sz w:val="24"/>
          <w:szCs w:val="24"/>
          <w:highlight w:val="none"/>
          <w:u w:val="single"/>
          <w:lang w:val="en-US" w:eastAsia="zh-CN"/>
        </w:rPr>
        <w:t>甲方指定的陕西省内各农村公路路段（含县、乡、村道）</w:t>
      </w:r>
    </w:p>
    <w:p w14:paraId="67C302AB">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三）服务内容：采用自动化快速检测综合设备，拟对2026年全省农村公路技术状况进行抽检评定，包含路面技术状况检测评定、交安设施技术状况检测评定以及相关评定数据处理和报告编制。本项目共划分1个标段，路面技术状况检测评定里程不少于7000车道公里，交安设施技术状况评定不少于200公里。</w:t>
      </w:r>
      <w:r>
        <w:rPr>
          <w:rFonts w:hint="eastAsia" w:ascii="宋体" w:hAnsi="宋体" w:eastAsia="宋体" w:cs="宋体"/>
          <w:color w:val="auto"/>
          <w:sz w:val="24"/>
          <w:szCs w:val="24"/>
          <w:highlight w:val="none"/>
          <w:lang w:eastAsia="zh-CN"/>
        </w:rPr>
        <w:t>具体</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lang w:eastAsia="zh-CN"/>
        </w:rPr>
        <w:t>内容及要求详见竞争性磋商文件。</w:t>
      </w:r>
    </w:p>
    <w:p w14:paraId="1E1A9253">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、合同金额</w:t>
      </w:r>
    </w:p>
    <w:p w14:paraId="47EC7941">
      <w:pPr>
        <w:pageBreakBefore w:val="0"/>
        <w:wordWrap/>
        <w:overflowPunct/>
        <w:topLinePunct w:val="0"/>
        <w:autoSpaceDE/>
        <w:autoSpaceDN/>
        <w:bidi w:val="0"/>
        <w:spacing w:line="520" w:lineRule="exact"/>
        <w:ind w:left="799" w:leftChars="266" w:hanging="240" w:hanging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含税价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p>
    <w:p w14:paraId="58330F3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价格为含税价，乙方报价已包含完成本项目所需全部费用，包括但不限于劳务费、税费、设备使用费、耗材费、差旅费、安全保畅费、交通管制费、报告编制费、数据复核费、技术服务费等一切相关费用，甲方无需额外支付任何费用，合同履行期间总价不作调整。</w:t>
      </w:r>
    </w:p>
    <w:p w14:paraId="6FB5270A">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期限</w:t>
      </w:r>
    </w:p>
    <w:p w14:paraId="5C979C51">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合同服务期为</w:t>
      </w:r>
      <w:r>
        <w:rPr>
          <w:rFonts w:hint="eastAsia" w:ascii="宋体" w:hAnsi="宋体" w:eastAsia="宋体" w:cs="宋体"/>
          <w:color w:val="auto"/>
          <w:sz w:val="24"/>
          <w:szCs w:val="24"/>
          <w:highlight w:val="none"/>
          <w:lang w:eastAsia="zh-CN"/>
        </w:rPr>
        <w:t>自合同签订之日起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552F237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或合同起止日期</w:t>
      </w:r>
      <w:r>
        <w:rPr>
          <w:rFonts w:hint="eastAsia" w:ascii="宋体" w:hAnsi="宋体" w:eastAsia="宋体" w:cs="宋体"/>
          <w:color w:val="auto"/>
          <w:sz w:val="24"/>
          <w:szCs w:val="24"/>
          <w:highlight w:val="none"/>
          <w:u w:val="single"/>
          <w:lang w:val="en-US" w:eastAsia="zh-CN"/>
        </w:rPr>
        <w:t>（    年    月    日 ----    年    月    日）</w:t>
      </w:r>
      <w:r>
        <w:rPr>
          <w:rFonts w:hint="eastAsia" w:ascii="宋体" w:hAnsi="宋体" w:eastAsia="宋体" w:cs="宋体"/>
          <w:color w:val="auto"/>
          <w:sz w:val="24"/>
          <w:szCs w:val="24"/>
          <w:highlight w:val="none"/>
          <w:u w:val="single"/>
        </w:rPr>
        <w:t>。</w:t>
      </w:r>
    </w:p>
    <w:p w14:paraId="7AC28944">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四、结算方式</w:t>
      </w:r>
    </w:p>
    <w:p w14:paraId="07C8A71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结算单位:</w:t>
      </w:r>
    </w:p>
    <w:p w14:paraId="206E0CE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由甲方负责结算。</w:t>
      </w:r>
      <w:r>
        <w:rPr>
          <w:rFonts w:hint="eastAsia" w:ascii="宋体" w:hAnsi="宋体" w:eastAsia="宋体" w:cs="宋体"/>
          <w:color w:val="auto"/>
          <w:sz w:val="24"/>
          <w:szCs w:val="24"/>
          <w:highlight w:val="none"/>
          <w:lang w:val="en-US" w:eastAsia="zh-CN"/>
        </w:rPr>
        <w:t>费用结算采用银行转账方式，分期付款。</w:t>
      </w:r>
    </w:p>
    <w:p w14:paraId="7AAC41C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乙方应在甲方每次付款前，按照甲方要求的发票类型和金额，向甲方开具合法有效的发票，税费由乙方承担。否则，甲方有权拒绝付款且不承担迟延支付的违约责任。</w:t>
      </w:r>
    </w:p>
    <w:p w14:paraId="57CE1A49">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p>
    <w:p w14:paraId="2160F19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甲方收到乙方提交的履约保证金及合规有效的增值税普通发票之日起 15 日内，甲方向乙方支付合同总金额的 60%；</w:t>
      </w:r>
    </w:p>
    <w:p w14:paraId="2548921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项目完成外业检测工作，乙方出具完成相应工作说明并经甲方确认之日起 15 日内，甲方向乙方支付合同总金额的 30%；</w:t>
      </w:r>
    </w:p>
    <w:p w14:paraId="385748E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乙方提交项目全部成果，并通过甲方组织的技术审查之日起 15 日内，甲方向乙方支付合同总金额的 10%。</w:t>
      </w:r>
    </w:p>
    <w:p w14:paraId="169C59A4">
      <w:pPr>
        <w:spacing w:line="520" w:lineRule="exact"/>
        <w:ind w:firstLine="48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乙方超出任务范围的成果，检测费实际金额大于合同金额，应视为乙方可预见风险，按合同总价款支付乙方检测费。</w:t>
      </w:r>
    </w:p>
    <w:p w14:paraId="749EB2EA">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、主要工作内容</w:t>
      </w:r>
    </w:p>
    <w:p w14:paraId="6297DFDF">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路面技术状况抽检部分</w:t>
      </w:r>
    </w:p>
    <w:p w14:paraId="526FAA8A">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一、安全保畅</w:t>
      </w:r>
    </w:p>
    <w:p w14:paraId="6AF502EC">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1.安全保畅措施</w:t>
      </w:r>
    </w:p>
    <w:p w14:paraId="0B302B29">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为实施本合同项目需采取的安全保畅措施，应在现场设专职安全员，该专职安全员应熟悉本项目的工作类型。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监督检测人员身穿统一工作服，佩戴橘黄色工作帽、着反光背心，摆放锥筒。</w:t>
      </w:r>
    </w:p>
    <w:p w14:paraId="6A9E1D4C">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2.交通管制、标志及安全设施</w:t>
      </w:r>
    </w:p>
    <w:p w14:paraId="09F1C098">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为交通安全、保证畅通所需采取的交通管制相关费用和配置临时交通安全设施费用，以及在业主的协助下到交警部门、路政执法部门、业主养护管理部门办理相关手续等费用，由中标单位承担。中标单位应按照《公路工程施工安全技术规程》（JTG F90-2015）、《公路养护安全作业规程》（JTG H30-2015）的有关规定摆放标志设施并保管使用，在检测过程中须在自动化检测设备前后配备引导及安全保障车辆。为此所发生的全部费用（人员、管理、设施、紧急预案等）均由中标单位自行承担。</w:t>
      </w:r>
    </w:p>
    <w:p w14:paraId="720312DB">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二、公路路面技术状况检测与调查</w:t>
      </w:r>
    </w:p>
    <w:p w14:paraId="7B3B6CAE">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根据交通运输部颁布实施的《公路技术状况评定标准》（JTG 5210-2018），公路技术状况评定应由路基、路面、桥隧构造物、沿线设施等指标构成，其中路面指标是道路使用者直接接触的部分，路面技术状况的好坏直接影响道路使用者的利益和道路本身的使用寿命。因此，必须加强对路面的系统性、预防性养护管理，确保高速公路的安全性、舒适性、快捷性。</w:t>
      </w:r>
    </w:p>
    <w:p w14:paraId="0DD6AED5">
      <w:pPr>
        <w:pStyle w:val="7"/>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结合陕西省农村公路路面技术状况实际，检测具体线路路段涉及陕西省内全境，具体路段抽取方案为：选取全省各市50%的县（区），每个县（区）平均抽检线路里程140公里，其中县乡公路拟抽取130公里，抽检村道10公里；抽检线路根据养护年报剔除各县（区）未铺装路段、水毁未修复路段和在建路段；抽取方式为在各备选路段内随机抽取。具体检测路段明细由招标人另行提供。本次检测工作的内容及要求必须满足《公路技术状况评定标准》（JTG 5210-2018）以及《农村公路技术状况评定标准》（JTG 5211-2024）的相关规定，采集到的检测数据及图片格式应与交通运输部公路路面监测要求的数据连续、一致、匹配。</w:t>
      </w:r>
    </w:p>
    <w:p w14:paraId="69E4E843">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1.路面损坏调查</w:t>
      </w:r>
    </w:p>
    <w:p w14:paraId="30F6A6E1">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1.1.范围</w:t>
      </w:r>
    </w:p>
    <w:p w14:paraId="1FA115BC">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农村公路技术状况检测评定工作原则上按照《公路技术状况评定标准》（JTG 5210-2018）开展，对于技术等级三级及以下的农村公路可按照《农村公路技术状况评定标准》（JTG 5211-2024）执行。</w:t>
      </w:r>
    </w:p>
    <w:p w14:paraId="35E4460C">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1.2.要求</w:t>
      </w:r>
    </w:p>
    <w:p w14:paraId="59A2E2FE">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1.2.1技术规范</w:t>
      </w:r>
    </w:p>
    <w:p w14:paraId="7AEB5E69">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现场测试和数据处理评价依据以下现行标准、规范：</w:t>
      </w:r>
    </w:p>
    <w:p w14:paraId="7A62BB37">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《公路养护技术标准》（JTG 5110-2023）</w:t>
      </w:r>
    </w:p>
    <w:p w14:paraId="68AFACA3">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《公路技术状况评定标准》（JTG 5210- 2018）</w:t>
      </w:r>
    </w:p>
    <w:p w14:paraId="0F9E6AEA">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《公路沥青路面养护技术规范》（JTG 5142-2019）</w:t>
      </w:r>
    </w:p>
    <w:p w14:paraId="76BCEEAC">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《公路水泥混凝土路面养护技术规范》（JTJ 073.1—2001）</w:t>
      </w:r>
    </w:p>
    <w:p w14:paraId="05257D89">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b w:val="0"/>
          <w:bCs w:val="0"/>
          <w:color w:val="0000FF"/>
          <w:kern w:val="0"/>
          <w:sz w:val="24"/>
          <w:szCs w:val="24"/>
          <w:highlight w:val="none"/>
          <w:lang w:val="en-US" w:eastAsia="zh-CN" w:bidi="ar"/>
        </w:rPr>
        <w:t>《</w:t>
      </w:r>
      <w:r>
        <w:rPr>
          <w:rFonts w:hint="eastAsia" w:ascii="宋体" w:hAnsi="宋体" w:eastAsia="宋体" w:cs="宋体"/>
          <w:b w:val="0"/>
          <w:bCs w:val="0"/>
          <w:color w:val="0000FF"/>
          <w:sz w:val="24"/>
          <w:szCs w:val="24"/>
          <w:highlight w:val="none"/>
          <w:lang w:val="en-US" w:eastAsia="zh-CN"/>
        </w:rPr>
        <w:t>公路路面技术状况自动化检测规程》（</w:t>
      </w:r>
      <w:r>
        <w:rPr>
          <w:rFonts w:ascii="宋体" w:hAnsi="宋体" w:eastAsia="宋体" w:cs="宋体"/>
          <w:color w:val="0000FF"/>
          <w:sz w:val="24"/>
          <w:szCs w:val="24"/>
          <w:highlight w:val="none"/>
          <w:lang w:eastAsia="zh-CN"/>
        </w:rPr>
        <w:t>JTG/T E61-2014</w:t>
      </w:r>
      <w:r>
        <w:rPr>
          <w:rFonts w:hint="eastAsia" w:ascii="宋体" w:hAnsi="宋体" w:eastAsia="宋体" w:cs="宋体"/>
          <w:b w:val="0"/>
          <w:bCs w:val="0"/>
          <w:color w:val="0000FF"/>
          <w:sz w:val="24"/>
          <w:szCs w:val="24"/>
          <w:highlight w:val="none"/>
          <w:lang w:val="en-US" w:eastAsia="zh-CN"/>
        </w:rPr>
        <w:t>）</w:t>
      </w:r>
    </w:p>
    <w:p w14:paraId="446A9304">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《农村公路技术状况评定标准》（JTG 5211-2024）</w:t>
      </w:r>
    </w:p>
    <w:p w14:paraId="5ADDC3DA">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1.2.2检测设备要求</w:t>
      </w:r>
    </w:p>
    <w:p w14:paraId="0D913DF5">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1.2.2.1路面损坏检测设备采用技术成熟的路面破损快速检测设备，其主要技术性能应满足相应有关技术标准，检测设备应能够分辨1mm以上的路面裂缝，为保证数据处理速度，</w:t>
      </w:r>
      <w:r>
        <w:rPr>
          <w:rFonts w:hint="eastAsia" w:ascii="宋体" w:hAnsi="宋体" w:eastAsia="宋体" w:cs="宋体"/>
          <w:b/>
          <w:bCs/>
          <w:color w:val="0000FF"/>
          <w:sz w:val="24"/>
          <w:szCs w:val="24"/>
          <w:highlight w:val="none"/>
          <w:lang w:val="en-US" w:eastAsia="zh-CN"/>
        </w:rPr>
        <w:t>检测结果应采用计算机自动识别，识别准确率达到90%以上，</w:t>
      </w:r>
      <w:r>
        <w:rPr>
          <w:rFonts w:hint="eastAsia" w:ascii="宋体" w:hAnsi="宋体" w:eastAsia="宋体" w:cs="宋体"/>
          <w:color w:val="0000FF"/>
          <w:sz w:val="24"/>
          <w:szCs w:val="24"/>
          <w:highlight w:val="none"/>
          <w:lang w:val="en-US" w:eastAsia="zh-CN"/>
        </w:rPr>
        <w:t>检测时同时采集公路前方图像。</w:t>
      </w:r>
    </w:p>
    <w:p w14:paraId="471E3C45">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1.2.2.2 检测设备已经过标定，并在有效期内。</w:t>
      </w:r>
    </w:p>
    <w:p w14:paraId="2C9C9B7D">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1.2.3 服务要求</w:t>
      </w:r>
    </w:p>
    <w:p w14:paraId="0AC3DE6D">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纵向连续检测，横向检测宽度不得小于车道宽度的70%。路面损坏检测数据以10米为单位，检测数据图片采用专用软件程序配合人工校核予以处理，以满足辅助决策分析使用。</w:t>
      </w:r>
    </w:p>
    <w:p w14:paraId="39C1C72F">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2.路面平整度检测</w:t>
      </w:r>
    </w:p>
    <w:p w14:paraId="155E9F46">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2.1.范围</w:t>
      </w:r>
    </w:p>
    <w:p w14:paraId="78C61C32">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二、三、四级公路检测不分上下行，四车道一级公路分别检测上下行的行车道。</w:t>
      </w:r>
    </w:p>
    <w:p w14:paraId="7A313CA1">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2.2.要求</w:t>
      </w:r>
    </w:p>
    <w:p w14:paraId="40AF3DA1">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2.2.1技术规范</w:t>
      </w:r>
    </w:p>
    <w:p w14:paraId="0CE9EC0A">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现场测试和数据处理评价依据以下现行标准、规范：</w:t>
      </w:r>
    </w:p>
    <w:p w14:paraId="5B62B126">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《公路养护技术标准》（JTG 5110-2023）</w:t>
      </w:r>
    </w:p>
    <w:p w14:paraId="541D964D">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《公路路基路面现场测试规程》（JTG 3450-2019）</w:t>
      </w:r>
    </w:p>
    <w:p w14:paraId="0AF7205A">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《公路技术状况评定标准》（JTG 5210-2018）</w:t>
      </w:r>
    </w:p>
    <w:p w14:paraId="74EE2386">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《公路沥青路面养护技术规范》（JTG 5142-2019）</w:t>
      </w:r>
    </w:p>
    <w:p w14:paraId="1CFBDD83">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《公路水泥混凝土路面养护技术规范》（JTJ 073.1-2001）</w:t>
      </w:r>
    </w:p>
    <w:p w14:paraId="6C70875F">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b w:val="0"/>
          <w:bCs w:val="0"/>
          <w:color w:val="0000FF"/>
          <w:kern w:val="0"/>
          <w:sz w:val="24"/>
          <w:szCs w:val="24"/>
          <w:highlight w:val="none"/>
          <w:lang w:val="en-US" w:eastAsia="zh-CN" w:bidi="ar"/>
        </w:rPr>
        <w:t>《</w:t>
      </w:r>
      <w:r>
        <w:rPr>
          <w:rFonts w:hint="eastAsia" w:ascii="宋体" w:hAnsi="宋体" w:eastAsia="宋体" w:cs="宋体"/>
          <w:b w:val="0"/>
          <w:bCs w:val="0"/>
          <w:color w:val="0000FF"/>
          <w:sz w:val="24"/>
          <w:szCs w:val="24"/>
          <w:highlight w:val="none"/>
          <w:lang w:val="en-US" w:eastAsia="zh-CN"/>
        </w:rPr>
        <w:t>公路路面技术状况自动化检测规程》（</w:t>
      </w:r>
      <w:r>
        <w:rPr>
          <w:rFonts w:ascii="宋体" w:hAnsi="宋体" w:eastAsia="宋体" w:cs="宋体"/>
          <w:color w:val="0000FF"/>
          <w:sz w:val="24"/>
          <w:szCs w:val="24"/>
          <w:highlight w:val="none"/>
          <w:lang w:eastAsia="zh-CN"/>
        </w:rPr>
        <w:t>JTG/T E61-2014</w:t>
      </w:r>
      <w:r>
        <w:rPr>
          <w:rFonts w:hint="eastAsia" w:ascii="宋体" w:hAnsi="宋体" w:eastAsia="宋体" w:cs="宋体"/>
          <w:b w:val="0"/>
          <w:bCs w:val="0"/>
          <w:color w:val="0000FF"/>
          <w:sz w:val="24"/>
          <w:szCs w:val="24"/>
          <w:highlight w:val="none"/>
          <w:lang w:val="en-US" w:eastAsia="zh-CN"/>
        </w:rPr>
        <w:t>）</w:t>
      </w:r>
    </w:p>
    <w:p w14:paraId="35CE4582">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《农村公路技术状况评定标准》（JTG 5211-2024）</w:t>
      </w:r>
    </w:p>
    <w:p w14:paraId="4B4DDCD7">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2.2.2检测设备要求</w:t>
      </w:r>
    </w:p>
    <w:p w14:paraId="5F6F5AF9">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2.2.2.1路面平整度检测设备须满足交通部干线公路路网监测项目要求，采用车载式激光平整度仪，其主要技术性能应满足《公路路基路面现场测试规程》（JTG 3450-2019）中的相应要求，能在正常车流速度下采集有关数据。</w:t>
      </w:r>
    </w:p>
    <w:p w14:paraId="493429FE">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2.2.2.2检测设备已经过标定，标定的相关系数应大于0.99，并在有效期内。</w:t>
      </w:r>
    </w:p>
    <w:p w14:paraId="00C5D75C">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2.2.3服务要求</w:t>
      </w:r>
    </w:p>
    <w:p w14:paraId="04CA93BA">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检测频率：连续检测，路面平整度检测数据以20米为单位，并能够支持后续导入路面养护辅助决策信息化系统等信息化系统，以满足辅助决策分析使用。</w:t>
      </w:r>
    </w:p>
    <w:p w14:paraId="6C4AFAC4">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3.其他技术要求</w:t>
      </w:r>
    </w:p>
    <w:p w14:paraId="41D19AD4">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3.1 范围</w:t>
      </w:r>
    </w:p>
    <w:p w14:paraId="50EB788B">
      <w:pPr>
        <w:pStyle w:val="7"/>
        <w:spacing w:line="360" w:lineRule="auto"/>
        <w:ind w:firstLine="480"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所有检测路段</w:t>
      </w:r>
    </w:p>
    <w:p w14:paraId="17843E2E">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3.2 工作衔接</w:t>
      </w:r>
    </w:p>
    <w:p w14:paraId="562D601E">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考虑到农村公路路网复杂，专业检测单位应在检测前充分沟通，弄清和核对路线分界桩号、道路等级、路面类型等基础数据，以及路线长短链、重复路段等基本情况，确保路况数据采集准确性。</w:t>
      </w:r>
    </w:p>
    <w:p w14:paraId="63176FB7">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3.3 路线重合路段的处理</w:t>
      </w:r>
    </w:p>
    <w:p w14:paraId="3AF404CE">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按照道路编号由大到小的原则进行采集，只检测和统计一次，不能重复检测和统计计算。如X101与X208在某一路段重合时，该重合路段须归入X101进行检测和统计计算，X208该路段不再检测和统计计算，但要求在检测X101、X208时分别记录该重复路段的起讫桩号。</w:t>
      </w:r>
    </w:p>
    <w:p w14:paraId="374CC360">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3.4检测过程要求</w:t>
      </w:r>
    </w:p>
    <w:p w14:paraId="109FB9A5">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（1）核实记录各路线起讫桩号；</w:t>
      </w:r>
    </w:p>
    <w:p w14:paraId="2BE27D5B">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（2）校核记录桩号传递断链情况（不超过5公里校核1次桩号）、路面类型（沥青、水泥混凝土、砂石）变化分界桩号；</w:t>
      </w:r>
    </w:p>
    <w:p w14:paraId="3EAB922A">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（3）其它问题及时与农村公路处联系后确定。</w:t>
      </w:r>
    </w:p>
    <w:p w14:paraId="4928AA69">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3.5其他要求</w:t>
      </w:r>
    </w:p>
    <w:p w14:paraId="45A97670">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对于路况太差，无法达到检测设备所需速度影响检测结果的路段，经与采购人沟通后可仅对前方图像进行检测，并准确记录起讫桩号，校核桩号传递情况。</w:t>
      </w:r>
    </w:p>
    <w:p w14:paraId="45B2228D">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三、检测数据处理</w:t>
      </w:r>
    </w:p>
    <w:p w14:paraId="5F48481A">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kern w:val="0"/>
          <w:sz w:val="24"/>
          <w:szCs w:val="24"/>
          <w:highlight w:val="none"/>
          <w:lang w:val="en-US" w:eastAsia="zh-CN" w:bidi="ar"/>
        </w:rPr>
        <w:t>本次试验检测数据处理优先使用自动化识别检测，相关工作符合《</w:t>
      </w:r>
      <w:r>
        <w:rPr>
          <w:rFonts w:hint="eastAsia" w:ascii="宋体" w:hAnsi="宋体" w:eastAsia="宋体" w:cs="宋体"/>
          <w:b w:val="0"/>
          <w:bCs w:val="0"/>
          <w:color w:val="0000FF"/>
          <w:sz w:val="24"/>
          <w:szCs w:val="24"/>
          <w:highlight w:val="none"/>
          <w:lang w:val="en-US" w:eastAsia="zh-CN"/>
        </w:rPr>
        <w:t>公路路面技术状况自动化检测规程》（</w:t>
      </w:r>
      <w:r>
        <w:rPr>
          <w:rFonts w:ascii="宋体" w:hAnsi="宋体" w:eastAsia="宋体" w:cs="宋体"/>
          <w:color w:val="0000FF"/>
          <w:sz w:val="24"/>
          <w:szCs w:val="24"/>
          <w:highlight w:val="none"/>
          <w:lang w:eastAsia="zh-CN"/>
        </w:rPr>
        <w:t>JTG/T E61-2014</w:t>
      </w:r>
      <w:r>
        <w:rPr>
          <w:rFonts w:hint="eastAsia" w:ascii="宋体" w:hAnsi="宋体" w:eastAsia="宋体" w:cs="宋体"/>
          <w:b w:val="0"/>
          <w:bCs w:val="0"/>
          <w:color w:val="0000FF"/>
          <w:sz w:val="24"/>
          <w:szCs w:val="24"/>
          <w:highlight w:val="none"/>
          <w:lang w:val="en-US" w:eastAsia="zh-CN"/>
        </w:rPr>
        <w:t>）相关要求，推荐采用</w:t>
      </w:r>
      <w:r>
        <w:rPr>
          <w:rFonts w:hint="eastAsia" w:ascii="宋体" w:hAnsi="宋体" w:eastAsia="宋体" w:cs="宋体"/>
          <w:b w:val="0"/>
          <w:bCs w:val="0"/>
          <w:color w:val="0000FF"/>
          <w:sz w:val="24"/>
          <w:szCs w:val="24"/>
          <w:highlight w:val="none"/>
          <w:lang w:val="en-US" w:eastAsia="zh-CN" w:bidi="ar"/>
        </w:rPr>
        <w:t>《</w:t>
      </w:r>
      <w:r>
        <w:rPr>
          <w:rFonts w:hint="eastAsia" w:ascii="宋体" w:hAnsi="宋体" w:eastAsia="宋体" w:cs="宋体"/>
          <w:color w:val="0000FF"/>
          <w:kern w:val="0"/>
          <w:sz w:val="24"/>
          <w:szCs w:val="24"/>
          <w:highlight w:val="none"/>
          <w:lang w:val="en-US" w:eastAsia="zh-CN" w:bidi="ar"/>
        </w:rPr>
        <w:t>公路路面病害自动化识别技术指南</w:t>
      </w:r>
      <w:r>
        <w:rPr>
          <w:rFonts w:hint="eastAsia" w:ascii="宋体" w:hAnsi="宋体" w:eastAsia="宋体" w:cs="宋体"/>
          <w:b w:val="0"/>
          <w:bCs w:val="0"/>
          <w:color w:val="0000FF"/>
          <w:sz w:val="24"/>
          <w:szCs w:val="24"/>
          <w:highlight w:val="none"/>
          <w:lang w:val="en-US" w:eastAsia="zh-CN"/>
        </w:rPr>
        <w:t>》（</w:t>
      </w:r>
      <w:r>
        <w:rPr>
          <w:rFonts w:ascii="宋体" w:hAnsi="宋体" w:eastAsia="宋体" w:cs="宋体"/>
          <w:color w:val="0000FF"/>
          <w:sz w:val="24"/>
          <w:szCs w:val="24"/>
          <w:highlight w:val="none"/>
          <w:lang w:eastAsia="zh-CN"/>
        </w:rPr>
        <w:t>T/CCTAS 80-2023</w:t>
      </w:r>
      <w:r>
        <w:rPr>
          <w:rFonts w:hint="eastAsia" w:ascii="宋体" w:hAnsi="宋体" w:eastAsia="宋体" w:cs="宋体"/>
          <w:b w:val="0"/>
          <w:bCs w:val="0"/>
          <w:color w:val="0000FF"/>
          <w:sz w:val="24"/>
          <w:szCs w:val="24"/>
          <w:highlight w:val="none"/>
          <w:lang w:val="en-US" w:eastAsia="zh-CN"/>
        </w:rPr>
        <w:t>）确定的相关测试规程。</w:t>
      </w:r>
    </w:p>
    <w:p w14:paraId="3A628C5F">
      <w:pPr>
        <w:pStyle w:val="7"/>
        <w:spacing w:line="360" w:lineRule="auto"/>
        <w:ind w:firstLine="480" w:firstLineChars="200"/>
        <w:jc w:val="left"/>
        <w:rPr>
          <w:rFonts w:ascii="宋体" w:hAnsi="宋体" w:eastAsia="宋体" w:cs="宋体"/>
          <w:b w:val="0"/>
          <w:bCs w:val="0"/>
          <w:color w:val="0000FF"/>
          <w:sz w:val="24"/>
          <w:szCs w:val="24"/>
          <w:highlight w:val="none"/>
          <w:lang w:eastAsia="zh-CN" w:bidi="ar"/>
        </w:rPr>
      </w:pPr>
      <w:r>
        <w:rPr>
          <w:rFonts w:hint="eastAsia" w:ascii="宋体" w:hAnsi="宋体" w:eastAsia="宋体" w:cs="宋体"/>
          <w:b w:val="0"/>
          <w:bCs w:val="0"/>
          <w:color w:val="0000FF"/>
          <w:kern w:val="0"/>
          <w:sz w:val="24"/>
          <w:szCs w:val="24"/>
          <w:highlight w:val="none"/>
          <w:lang w:val="en-US" w:eastAsia="zh-CN" w:bidi="ar"/>
        </w:rPr>
        <w:t>首先</w:t>
      </w:r>
      <w:r>
        <w:rPr>
          <w:rFonts w:ascii="宋体" w:hAnsi="宋体" w:eastAsia="宋体" w:cs="宋体"/>
          <w:b w:val="0"/>
          <w:bCs w:val="0"/>
          <w:color w:val="0000FF"/>
          <w:kern w:val="0"/>
          <w:sz w:val="24"/>
          <w:szCs w:val="24"/>
          <w:highlight w:val="none"/>
          <w:lang w:val="en-US" w:eastAsia="zh-CN" w:bidi="ar"/>
        </w:rPr>
        <w:t>应检查原始数据、现场检测工作记录、路线编码、桩号范围、上下行、检测里</w:t>
      </w:r>
      <w:r>
        <w:rPr>
          <w:rFonts w:hint="eastAsia" w:ascii="宋体" w:hAnsi="宋体" w:eastAsia="宋体" w:cs="宋体"/>
          <w:b w:val="0"/>
          <w:bCs w:val="0"/>
          <w:color w:val="0000FF"/>
          <w:kern w:val="0"/>
          <w:sz w:val="24"/>
          <w:szCs w:val="24"/>
          <w:highlight w:val="none"/>
          <w:lang w:val="en-US" w:eastAsia="zh-CN" w:bidi="ar"/>
        </w:rPr>
        <w:t xml:space="preserve">程是否一致。不一致时应核实查找原因，结合现场检测记录进行修正。 </w:t>
      </w:r>
    </w:p>
    <w:p w14:paraId="41C6225B">
      <w:pPr>
        <w:pStyle w:val="7"/>
        <w:spacing w:line="360" w:lineRule="auto"/>
        <w:ind w:firstLine="480"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val="0"/>
          <w:bCs w:val="0"/>
          <w:color w:val="0000FF"/>
          <w:kern w:val="0"/>
          <w:sz w:val="24"/>
          <w:szCs w:val="24"/>
          <w:highlight w:val="none"/>
          <w:lang w:val="en-US" w:eastAsia="zh-CN" w:bidi="ar"/>
        </w:rPr>
        <w:t>其次</w:t>
      </w:r>
      <w:r>
        <w:rPr>
          <w:rFonts w:ascii="宋体" w:hAnsi="宋体" w:eastAsia="宋体" w:cs="宋体"/>
          <w:b w:val="0"/>
          <w:bCs w:val="0"/>
          <w:color w:val="0000FF"/>
          <w:kern w:val="0"/>
          <w:sz w:val="24"/>
          <w:szCs w:val="24"/>
          <w:highlight w:val="none"/>
          <w:lang w:val="en-US" w:eastAsia="zh-CN" w:bidi="ar"/>
        </w:rPr>
        <w:t>应随机抽取4%～5%的路段实施人工识别作为基准值，根据基准值和路面裂缝</w:t>
      </w:r>
      <w:r>
        <w:rPr>
          <w:rFonts w:hint="eastAsia" w:ascii="宋体" w:hAnsi="宋体" w:eastAsia="宋体" w:cs="宋体"/>
          <w:b w:val="0"/>
          <w:bCs w:val="0"/>
          <w:color w:val="0000FF"/>
          <w:kern w:val="0"/>
          <w:sz w:val="24"/>
          <w:szCs w:val="24"/>
          <w:highlight w:val="none"/>
          <w:lang w:val="en-US" w:eastAsia="zh-CN" w:bidi="ar"/>
        </w:rPr>
        <w:t>自动识别结果确定路面裂缝识别准确率。路面裂缝识别准确率低于90%的路段，应重新自动识别，直至自动识别准确率满足90%的要求。对路面裂缝率较大的路段，抽样比例宜采用5%～10%。</w:t>
      </w:r>
    </w:p>
    <w:p w14:paraId="1548B153">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1.路面检测</w:t>
      </w:r>
    </w:p>
    <w:p w14:paraId="7A1F15F5">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农村公路沥青路面使用性能评价包含路面损坏、平整度两项技术指标，水泥路面使用性能评价包含路面损坏、平整度两项技术内容。对指定检测路段检测数据进行整理分析，确定公路路面技术状况指数PQI及各级分项指标，以县区为单元分别提供检测结果，以市为单元分别编制检测报告。</w:t>
      </w:r>
    </w:p>
    <w:p w14:paraId="5BB5B524">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1.1路面损坏</w:t>
      </w:r>
    </w:p>
    <w:p w14:paraId="0F478EE6">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按县（区）分别进行汇总分析提出检测报告，其内容包含：各路段路面破损率，以及经计算求得的路面损坏状况指数（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14:paraId="1DA6F414">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1.2路面平整度</w:t>
      </w:r>
    </w:p>
    <w:p w14:paraId="3536DBBB">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按县（区）分别进行汇总分析提出检测报告，其内容应包含：各路段平整度指标的平均值，以及经计算求得的道路行驶质量指数RQI。</w:t>
      </w:r>
    </w:p>
    <w:p w14:paraId="2156D57F">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经计算求得各路段的道路行驶质量指数RQI。</w:t>
      </w:r>
    </w:p>
    <w:p w14:paraId="6A5FE7DE">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综上所述，求出路面使用性能指数（PQI）。</w:t>
      </w:r>
    </w:p>
    <w:p w14:paraId="673F0CD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1.3有效修补率分析</w:t>
      </w:r>
    </w:p>
    <w:p w14:paraId="06839417">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检测单位需</w:t>
      </w:r>
      <w:r>
        <w:rPr>
          <w:rFonts w:hint="eastAsia" w:ascii="宋体" w:hAnsi="宋体" w:eastAsia="宋体" w:cs="宋体"/>
          <w:b w:val="0"/>
          <w:bCs w:val="0"/>
          <w:color w:val="0000FF"/>
          <w:sz w:val="24"/>
          <w:szCs w:val="24"/>
          <w:highlight w:val="none"/>
          <w:lang w:val="en-US" w:eastAsia="zh-CN"/>
        </w:rPr>
        <w:t>参照《公路技术状况评定标准》（JTG 5210- 2018）中关于路面病害中条状、块状修补病害的面积换算方法，</w:t>
      </w:r>
      <w:r>
        <w:rPr>
          <w:rFonts w:hint="eastAsia" w:ascii="宋体" w:hAnsi="宋体" w:eastAsia="宋体" w:cs="宋体"/>
          <w:color w:val="0000FF"/>
          <w:sz w:val="24"/>
          <w:szCs w:val="24"/>
          <w:highlight w:val="none"/>
          <w:lang w:val="en-US" w:eastAsia="zh-CN"/>
        </w:rPr>
        <w:t>计算农村公路路面养护有效修补率。</w:t>
      </w:r>
    </w:p>
    <w:p w14:paraId="6535D607">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2.交安设施评价</w:t>
      </w:r>
    </w:p>
    <w:p w14:paraId="37B77E18">
      <w:pPr>
        <w:pStyle w:val="7"/>
        <w:spacing w:line="360" w:lineRule="auto"/>
        <w:ind w:firstLine="480" w:firstLineChars="200"/>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检测单位需参照</w:t>
      </w:r>
      <w:r>
        <w:rPr>
          <w:rFonts w:hint="eastAsia" w:ascii="宋体" w:hAnsi="宋体" w:eastAsia="宋体" w:cs="宋体"/>
          <w:b w:val="0"/>
          <w:bCs w:val="0"/>
          <w:color w:val="0000FF"/>
          <w:sz w:val="24"/>
          <w:szCs w:val="24"/>
          <w:highlight w:val="none"/>
          <w:lang w:val="en-US" w:eastAsia="zh-CN"/>
        </w:rPr>
        <w:t>《公路技术状况评定标准》（JTG 5210- 2018）</w:t>
      </w:r>
      <w:r>
        <w:rPr>
          <w:rFonts w:hint="eastAsia" w:ascii="宋体" w:hAnsi="宋体" w:eastAsia="宋体" w:cs="宋体"/>
          <w:color w:val="0000FF"/>
          <w:sz w:val="24"/>
          <w:szCs w:val="24"/>
          <w:highlight w:val="none"/>
          <w:lang w:val="en-US" w:eastAsia="zh-CN"/>
        </w:rPr>
        <w:t>《农村公路技术状况评定标准》（JTG 5211-2024），对所检测县道计算评定沿线设施技术状况指数TCI（经由采集的前方景观图像重点评价路面标线、标志缺损情况）。计划每市抽取2个县区，每县区抽取10公里，全省累计不少于200公里。</w:t>
      </w:r>
    </w:p>
    <w:p w14:paraId="06175282">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四、检测报告编制</w:t>
      </w:r>
    </w:p>
    <w:p w14:paraId="620C692D">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1.每日现场检测结束后，及时向项目负责人及相关带队领导汇报每日检测结果。</w:t>
      </w:r>
    </w:p>
    <w:p w14:paraId="1641B516">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检测结束后，由项目负责人根据检测原始记录、统计表进行汇总整理、分析，形成所承担路段的检测报告以及地市分报告，同时，负责汇总检测数据，并形成全省总报告。主要内容包含但不限于：检测检查工作概述；全省路况抽检总体评价（分管养单位、分指标、分县乡村等级、分路面类型、分病害类型等）；路面病害存在的问题及原因（分管养单位、分指标、分县乡村等级、分路面类型、分病害类型等）的横向对比分析；各市检测结果及历史数据纵向对比分析等，并在地市分报告和总报告中详细附录检测评价为次差的路段明细表及相应养护对策建议。相关年度历史数据由甲方单位负责提供。</w:t>
      </w:r>
    </w:p>
    <w:p w14:paraId="6E03BC1F">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书面报告一式4份，同时提交电子文档。报告内容应满足甲方要求。</w:t>
      </w:r>
    </w:p>
    <w:p w14:paraId="2061D4E1">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五、检测复核验证工作</w:t>
      </w:r>
    </w:p>
    <w:p w14:paraId="6D586E08">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成交供应商需同步做好检测数据复核验证工作。为有效提升检测质量水平，成交供应商应对地市自行组织的检测数据开展相应复核验证。应严格遵循相关技术规范要求，做好以下工作：</w:t>
      </w:r>
    </w:p>
    <w:p w14:paraId="2ADD1332">
      <w:pPr>
        <w:pStyle w:val="7"/>
        <w:spacing w:line="360" w:lineRule="auto"/>
        <w:ind w:firstLine="480" w:firstLineChars="200"/>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按照省交通运输厅年度工作开展惯例，全省各地市均自行组织开展农村公路自动化检测。检测单位需同步对各县区自行组织实施的检测数据同本次检测数据进行比对分析，每个地市累计抽取检测农村公路检测数据100公里（县道、乡道、村道抽选比例大致为6:3:1）。各县区检测数据由采购人协调提供。</w:t>
      </w:r>
    </w:p>
    <w:p w14:paraId="03AC451D">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六、人员配置及设施设备要求</w:t>
      </w:r>
    </w:p>
    <w:p w14:paraId="03727355">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1.人员配置基本要求</w:t>
      </w:r>
    </w:p>
    <w:tbl>
      <w:tblPr>
        <w:tblStyle w:val="5"/>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427"/>
        <w:gridCol w:w="3854"/>
      </w:tblGrid>
      <w:tr w14:paraId="107259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64" w:hRule="atLeast"/>
          <w:jc w:val="center"/>
        </w:trPr>
        <w:tc>
          <w:tcPr>
            <w:tcW w:w="2427"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E8B7CCB">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人  员</w:t>
            </w:r>
          </w:p>
        </w:tc>
        <w:tc>
          <w:tcPr>
            <w:tcW w:w="3854"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F16D310">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数量要求</w:t>
            </w:r>
          </w:p>
        </w:tc>
      </w:tr>
      <w:tr w14:paraId="277460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242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A7DD412">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项目负责人</w:t>
            </w:r>
          </w:p>
        </w:tc>
        <w:tc>
          <w:tcPr>
            <w:tcW w:w="3854"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D1AE367">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w:t>
            </w:r>
          </w:p>
        </w:tc>
      </w:tr>
      <w:tr w14:paraId="3D00B2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242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570E6C4">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技术负责人</w:t>
            </w:r>
          </w:p>
        </w:tc>
        <w:tc>
          <w:tcPr>
            <w:tcW w:w="3854"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18969E4">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w:t>
            </w:r>
          </w:p>
        </w:tc>
      </w:tr>
      <w:tr w14:paraId="244C59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96" w:hRule="atLeast"/>
          <w:jc w:val="center"/>
        </w:trPr>
        <w:tc>
          <w:tcPr>
            <w:tcW w:w="242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73F4CC4">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试验检测工程师</w:t>
            </w:r>
          </w:p>
        </w:tc>
        <w:tc>
          <w:tcPr>
            <w:tcW w:w="3854"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BB12145">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w:t>
            </w:r>
          </w:p>
        </w:tc>
      </w:tr>
      <w:tr w14:paraId="38155D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427" w:type="dxa"/>
            <w:tcBorders>
              <w:top w:val="nil"/>
              <w:left w:val="single" w:color="000000" w:sz="4" w:space="0"/>
              <w:bottom w:val="nil"/>
              <w:right w:val="single" w:color="000000" w:sz="4" w:space="0"/>
            </w:tcBorders>
            <w:noWrap w:val="0"/>
            <w:tcMar>
              <w:top w:w="0" w:type="dxa"/>
              <w:left w:w="105" w:type="dxa"/>
              <w:bottom w:w="0" w:type="dxa"/>
              <w:right w:w="105" w:type="dxa"/>
            </w:tcMar>
            <w:vAlign w:val="center"/>
          </w:tcPr>
          <w:p w14:paraId="1D29F7B5">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试验检测员</w:t>
            </w:r>
          </w:p>
        </w:tc>
        <w:tc>
          <w:tcPr>
            <w:tcW w:w="3854" w:type="dxa"/>
            <w:tcBorders>
              <w:top w:val="nil"/>
              <w:left w:val="single" w:color="000000" w:sz="4" w:space="0"/>
              <w:bottom w:val="nil"/>
              <w:right w:val="single" w:color="000000" w:sz="4" w:space="0"/>
            </w:tcBorders>
            <w:noWrap w:val="0"/>
            <w:tcMar>
              <w:top w:w="0" w:type="dxa"/>
              <w:left w:w="105" w:type="dxa"/>
              <w:bottom w:w="0" w:type="dxa"/>
              <w:right w:w="105" w:type="dxa"/>
            </w:tcMar>
            <w:vAlign w:val="center"/>
          </w:tcPr>
          <w:p w14:paraId="38EFC957">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w:t>
            </w:r>
          </w:p>
        </w:tc>
      </w:tr>
    </w:tbl>
    <w:p w14:paraId="3044EC52">
      <w:pPr>
        <w:pStyle w:val="7"/>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2.设施设备基本要求</w:t>
      </w:r>
    </w:p>
    <w:tbl>
      <w:tblPr>
        <w:tblStyle w:val="5"/>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15"/>
        <w:gridCol w:w="2509"/>
        <w:gridCol w:w="2455"/>
      </w:tblGrid>
      <w:tr w14:paraId="268868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96" w:hRule="atLeast"/>
          <w:jc w:val="center"/>
        </w:trPr>
        <w:tc>
          <w:tcPr>
            <w:tcW w:w="1415"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687088D">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设备名称</w:t>
            </w:r>
          </w:p>
        </w:tc>
        <w:tc>
          <w:tcPr>
            <w:tcW w:w="250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4814E4A">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要求</w:t>
            </w:r>
          </w:p>
        </w:tc>
        <w:tc>
          <w:tcPr>
            <w:tcW w:w="2455"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EDE7278">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最低数量要求</w:t>
            </w:r>
          </w:p>
        </w:tc>
      </w:tr>
      <w:tr w14:paraId="3F5F7F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716" w:hRule="atLeast"/>
          <w:jc w:val="center"/>
        </w:trPr>
        <w:tc>
          <w:tcPr>
            <w:tcW w:w="1415" w:type="dxa"/>
            <w:tcBorders>
              <w:top w:val="nil"/>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759766">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多功能快速检测综合设备</w:t>
            </w:r>
          </w:p>
        </w:tc>
        <w:tc>
          <w:tcPr>
            <w:tcW w:w="2509" w:type="dxa"/>
            <w:tcBorders>
              <w:top w:val="nil"/>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CC2D77A">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车载集成综合检测车，能够同时采集路面平整度、破损、车辙指标、前方景观，具有GPS定位功能</w:t>
            </w:r>
          </w:p>
        </w:tc>
        <w:tc>
          <w:tcPr>
            <w:tcW w:w="2455" w:type="dxa"/>
            <w:tcBorders>
              <w:top w:val="nil"/>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B61178F">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2台</w:t>
            </w:r>
          </w:p>
        </w:tc>
      </w:tr>
    </w:tbl>
    <w:p w14:paraId="0C95D28E">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其他</w:t>
      </w:r>
      <w:r>
        <w:rPr>
          <w:rFonts w:hint="eastAsia" w:ascii="宋体" w:hAnsi="宋体" w:eastAsia="宋体" w:cs="宋体"/>
          <w:b/>
          <w:bCs/>
          <w:color w:val="auto"/>
          <w:sz w:val="24"/>
          <w:szCs w:val="24"/>
          <w:highlight w:val="none"/>
        </w:rPr>
        <w:t>要求</w:t>
      </w:r>
    </w:p>
    <w:p w14:paraId="1EBF39B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（一）乙方须满足交通运输部、陕西省交通运输主管部门规范性文件及竞争性磋商文件、本合同相关技术要求，提交的检测报告须通过咨询单位技术审查。</w:t>
      </w:r>
    </w:p>
    <w:p w14:paraId="3C94643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（二）检测前乙方须核对路线桩号、道路等级等基础数据，处理长短链、重复路段等问题，确保数据准确；路况太差无法正常检测的路段，经甲方确认后仅采集前方图像并记录桩号。</w:t>
      </w:r>
    </w:p>
    <w:p w14:paraId="0E4E31E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（三）乙方须配合甲方及相关部门的监督检查，及时提供所需资料及说明。</w:t>
      </w:r>
    </w:p>
    <w:p w14:paraId="2140647D">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、售后服务</w:t>
      </w:r>
    </w:p>
    <w:p w14:paraId="34D9906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技术支持和售后服务由乙方严格按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及有关承诺执行，提供7*24小时电话咨询服务，出现问题时，</w:t>
      </w:r>
      <w:r>
        <w:rPr>
          <w:rFonts w:hint="eastAsia" w:ascii="宋体" w:hAnsi="宋体" w:eastAsia="宋体" w:cs="宋体"/>
          <w:color w:val="auto"/>
          <w:sz w:val="24"/>
          <w:szCs w:val="24"/>
          <w:highlight w:val="none"/>
          <w:u w:val="single"/>
          <w:lang w:val="en-US" w:eastAsia="zh-CN"/>
        </w:rPr>
        <w:t xml:space="preserve"> 0.5 </w:t>
      </w:r>
      <w:r>
        <w:rPr>
          <w:rFonts w:hint="eastAsia" w:ascii="宋体" w:hAnsi="宋体" w:eastAsia="宋体" w:cs="宋体"/>
          <w:color w:val="auto"/>
          <w:sz w:val="24"/>
          <w:szCs w:val="24"/>
          <w:highlight w:val="none"/>
        </w:rPr>
        <w:t>小时内电话响应，</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小时内电话解决问题，如有需要</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小时内到达故障现场解决问题。</w:t>
      </w:r>
    </w:p>
    <w:p w14:paraId="5A5BE35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售后服务联系方式: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4AD9838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乙方自身原因或不能履行售后服务义务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甲方有权委托第三方处理，由此产生的费用和风险由乙方承担</w:t>
      </w:r>
      <w:r>
        <w:rPr>
          <w:rFonts w:hint="eastAsia" w:ascii="宋体" w:hAnsi="宋体" w:eastAsia="宋体" w:cs="宋体"/>
          <w:color w:val="auto"/>
          <w:sz w:val="24"/>
          <w:szCs w:val="24"/>
          <w:highlight w:val="none"/>
          <w:lang w:eastAsia="zh-CN"/>
        </w:rPr>
        <w:t>。</w:t>
      </w:r>
    </w:p>
    <w:p w14:paraId="1A294E1D">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验收</w:t>
      </w:r>
    </w:p>
    <w:p w14:paraId="50EC5A3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乙方完成全部工作后，提交书面验收申请、服务成果报告、履约总结报告及项目全部资料；甲方收到申请后，组织乙方开展验收，对照以下标准核查：</w:t>
      </w:r>
    </w:p>
    <w:p w14:paraId="3763D46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检测里程≥7000车道公里，抽检范围、比例符合约定；</w:t>
      </w:r>
    </w:p>
    <w:p w14:paraId="620152A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检测设备、人员配置符合要求，无擅自更换；</w:t>
      </w:r>
    </w:p>
    <w:p w14:paraId="441BD1D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检测数据100%真实，报告完整准确，通过技术审查；</w:t>
      </w:r>
    </w:p>
    <w:p w14:paraId="3B0FBF6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按约定完成数据复核及阶段性、整体服务情况；</w:t>
      </w:r>
    </w:p>
    <w:p w14:paraId="740B13A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安全保畅、检测流程符合规范。</w:t>
      </w:r>
    </w:p>
    <w:p w14:paraId="3920671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验收依据：本合同及附件、竞争性磋商文件、响应文件、澄清表（函）及相关行业规范。核查合格的，双方签署验收单；不合格的，乙方无偿整改（不超过2次），整改费用及损失由乙方承担；仍不合格的，甲方有权解除合同，乙方退还全部已收款项、赔偿损失，并支付合同总金额10%的违约金。</w:t>
      </w:r>
    </w:p>
    <w:p w14:paraId="738C2FF4">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 xml:space="preserve">    </w:t>
      </w:r>
      <w:r>
        <w:rPr>
          <w:rFonts w:hint="eastAsia" w:ascii="宋体" w:hAnsi="宋体" w:eastAsia="宋体" w:cs="宋体"/>
          <w:b/>
          <w:bCs/>
          <w:color w:val="auto"/>
          <w:sz w:val="24"/>
          <w:szCs w:val="24"/>
          <w:highlight w:val="none"/>
          <w:lang w:val="en-US" w:eastAsia="zh-CN"/>
        </w:rPr>
        <w:t>九、保密</w:t>
      </w:r>
    </w:p>
    <w:p w14:paraId="0DC62BD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乙方对工作中了解到的甲方的技术、数据、机密等进行严格保密，不得向他人泄露。本合同的解除或终止不免除乙方应承担的保密义务。</w:t>
      </w:r>
    </w:p>
    <w:p w14:paraId="339A6E9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乙方违反保密规定的，除承担法律责任外，还应向甲方支付合同总金额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%的违约金，给甲方造成损失的，乙方还应予以赔偿。</w:t>
      </w:r>
    </w:p>
    <w:p w14:paraId="6F318FF1">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    十、知识产权</w:t>
      </w:r>
    </w:p>
    <w:p w14:paraId="2C5D64A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对所供服务具有或已取得合法知识产权，乙方应保证所供服务不会出现因第三方提出侵犯其专利权、商标权或其他知识产权而引发法律或经济纠纷，否则由乙方负责解决并承担全部责任；如因此影响到甲方的正常使用，甲方有权单方解除本合同，乙方应无条件向甲方退回已收取的全部合同价款，并向甲方承担合同总金额 5 %的违约金，给甲方造成损失的，乙方应予以赔偿。</w:t>
      </w:r>
    </w:p>
    <w:p w14:paraId="300B71D7">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     十一、违约责任</w:t>
      </w:r>
    </w:p>
    <w:p w14:paraId="40AE6B6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（一）甲、乙双方必须遵守本合同并执行合同中的各项规定，保证本合同的正常履行。</w:t>
      </w:r>
    </w:p>
    <w:p w14:paraId="1698A54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ED7467B">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292214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6C65FDF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0F1CEE9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（六）乙方在为甲方提供服务过程中所产生的所有成果，包括但不限于报告、方案、设计、软件等，其知识产权归甲方所有。未经甲方书面同意，乙方</w:t>
      </w:r>
      <w:r>
        <w:rPr>
          <w:rFonts w:hint="eastAsia" w:ascii="宋体" w:hAnsi="宋体" w:eastAsia="宋体" w:cs="宋体"/>
          <w:color w:val="auto"/>
          <w:sz w:val="24"/>
          <w:highlight w:val="none"/>
          <w:lang w:val="en-US" w:eastAsia="zh-CN"/>
        </w:rPr>
        <w:t>不得将本项目成果给予与本项目无关的第三方使用</w:t>
      </w:r>
      <w:r>
        <w:rPr>
          <w:rFonts w:hint="eastAsia" w:ascii="宋体" w:hAnsi="宋体" w:eastAsia="宋体" w:cs="宋体"/>
          <w:color w:val="auto"/>
          <w:sz w:val="24"/>
          <w:szCs w:val="24"/>
          <w:highlight w:val="none"/>
          <w:lang w:val="en-US" w:eastAsia="zh-CN"/>
        </w:rPr>
        <w:t>。乙方对于甲方提供的一切信息及资料负有严格的保密义务，不得以任何名义以此进行牟利活动，不得发表，也不得向任何第三方透露，否则应赔偿由此给甲方造成的损失。</w:t>
      </w:r>
    </w:p>
    <w:p w14:paraId="26F7DC1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b w:val="0"/>
          <w:bCs w:val="0"/>
          <w:color w:val="auto"/>
          <w:sz w:val="24"/>
          <w:szCs w:val="24"/>
          <w:highlight w:val="none"/>
        </w:rPr>
        <w:t>乙方未按合同约定或甲 方要求提供服务的，每出现一次应承担合同总价款【</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】%的违约金，出现【</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】次的，甲方有权单方解除本合同，给甲方造成损失的，乙方还应予以赔偿</w:t>
      </w:r>
      <w:r>
        <w:rPr>
          <w:rFonts w:hint="eastAsia" w:ascii="宋体" w:hAnsi="宋体" w:eastAsia="宋体" w:cs="宋体"/>
          <w:b w:val="0"/>
          <w:bCs w:val="0"/>
          <w:color w:val="auto"/>
          <w:sz w:val="24"/>
          <w:szCs w:val="24"/>
          <w:highlight w:val="none"/>
          <w:lang w:eastAsia="zh-CN"/>
        </w:rPr>
        <w:t>。</w:t>
      </w:r>
    </w:p>
    <w:p w14:paraId="7CAC7DE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46C23F3F">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十二、合同争议的解决</w:t>
      </w:r>
    </w:p>
    <w:p w14:paraId="714140B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在执行本合同中发生的或与本合同有关的争端，双方应通过友好协商解决，经协商无法解决的，应向甲方所在地有管辖权的人民法院提起诉讼。</w:t>
      </w:r>
    </w:p>
    <w:p w14:paraId="4B356E5B">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十三、不可抗力情况下的免责约定</w:t>
      </w:r>
    </w:p>
    <w:p w14:paraId="45D1E25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157221F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（一）在合同有效期内，任何一方因不可抗力事件导致不能履行合同，则合同履行期可延长，其延长期与不可抗力影响期相同。</w:t>
      </w:r>
    </w:p>
    <w:p w14:paraId="4B2F0D7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（二）不可抗力事件发生后，应立即通知对方，并寄送有关权威机构出具的证明。</w:t>
      </w:r>
    </w:p>
    <w:p w14:paraId="129F380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（三）不可抗力事件延续60天以上，双方应通过友好协商，确定是否继续履行合同。</w:t>
      </w:r>
    </w:p>
    <w:p w14:paraId="1CB2EE8B">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十四、合同订立</w:t>
      </w:r>
    </w:p>
    <w:p w14:paraId="78D93BA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29FEA15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（二）本合同签订后，双方依法签订的补充协议也是本合同文件的组成部分，上述文件如有不明确或不一致之处，以合同约定次序在先者为准。</w:t>
      </w:r>
    </w:p>
    <w:p w14:paraId="7A8636A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（三）本合同自双方的法定代表人（负责人）或授权代表签字并加盖单位公章之日起生效。</w:t>
      </w:r>
    </w:p>
    <w:p w14:paraId="3EBABA4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（四）本合同一式</w:t>
      </w:r>
      <w:r>
        <w:rPr>
          <w:rFonts w:hint="eastAsia" w:ascii="宋体" w:hAnsi="宋体" w:eastAsia="宋体" w:cs="宋体"/>
          <w:color w:val="auto"/>
          <w:sz w:val="24"/>
          <w:szCs w:val="24"/>
          <w:highlight w:val="none"/>
          <w:u w:val="single"/>
          <w:lang w:val="en-US" w:eastAsia="zh-CN"/>
        </w:rPr>
        <w:t xml:space="preserve"> 捌 </w:t>
      </w:r>
      <w:r>
        <w:rPr>
          <w:rFonts w:hint="eastAsia" w:ascii="宋体" w:hAnsi="宋体" w:eastAsia="宋体" w:cs="宋体"/>
          <w:color w:val="auto"/>
          <w:sz w:val="24"/>
          <w:szCs w:val="24"/>
          <w:highlight w:val="none"/>
          <w:lang w:val="en-US" w:eastAsia="zh-CN"/>
        </w:rPr>
        <w:t>份，其中，甲方执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份，乙方执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份，具有同等法律效力。</w:t>
      </w:r>
    </w:p>
    <w:p w14:paraId="39A875C2">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4"/>
          <w:szCs w:val="24"/>
          <w:highlight w:val="none"/>
          <w:lang w:val="en-US" w:eastAsia="zh-CN" w:bidi="ar-SA"/>
        </w:rPr>
      </w:pPr>
    </w:p>
    <w:p w14:paraId="5D99A98B">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u w:val="single"/>
          <w:lang w:val="en-US" w:eastAsia="zh-CN"/>
        </w:rPr>
        <w:t>陕西省公路局（盖章）</w:t>
      </w:r>
      <w:r>
        <w:rPr>
          <w:rFonts w:hint="eastAsia" w:ascii="宋体" w:hAnsi="宋体" w:eastAsia="宋体" w:cs="宋体"/>
          <w:color w:val="auto"/>
          <w:sz w:val="24"/>
          <w:szCs w:val="24"/>
          <w:highlight w:val="none"/>
          <w:lang w:val="en-US" w:eastAsia="zh-CN"/>
        </w:rPr>
        <w:t xml:space="preserve">                  </w:t>
      </w:r>
    </w:p>
    <w:p w14:paraId="159E558B">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eastAsia="宋体" w:cs="宋体"/>
          <w:color w:val="auto"/>
          <w:sz w:val="24"/>
          <w:szCs w:val="24"/>
          <w:highlight w:val="none"/>
          <w:u w:val="single"/>
          <w:lang w:val="en-US" w:eastAsia="zh-CN"/>
        </w:rPr>
        <w:t>陕西省西安市碑林区含光北路110号</w:t>
      </w:r>
      <w:r>
        <w:rPr>
          <w:rFonts w:hint="eastAsia" w:ascii="宋体" w:hAnsi="宋体" w:eastAsia="宋体" w:cs="宋体"/>
          <w:color w:val="auto"/>
          <w:sz w:val="24"/>
          <w:szCs w:val="24"/>
          <w:highlight w:val="none"/>
          <w:lang w:val="en-US" w:eastAsia="zh-CN"/>
        </w:rPr>
        <w:t xml:space="preserve"> </w:t>
      </w:r>
    </w:p>
    <w:p w14:paraId="7C4B3AD2">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color w:val="auto"/>
          <w:sz w:val="24"/>
          <w:szCs w:val="24"/>
          <w:highlight w:val="none"/>
          <w:u w:val="single"/>
          <w:lang w:val="en-US" w:eastAsia="zh-CN"/>
        </w:rPr>
        <w:t>交通银行西安城南支行</w:t>
      </w:r>
    </w:p>
    <w:p w14:paraId="5C4DE65E">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w:t>
      </w:r>
      <w:r>
        <w:rPr>
          <w:rFonts w:hint="eastAsia" w:ascii="宋体" w:hAnsi="宋体" w:eastAsia="宋体" w:cs="宋体"/>
          <w:color w:val="auto"/>
          <w:sz w:val="24"/>
          <w:szCs w:val="24"/>
          <w:highlight w:val="none"/>
          <w:u w:val="single"/>
          <w:lang w:val="en-US" w:eastAsia="zh-CN"/>
        </w:rPr>
        <w:t>611301033018010000003</w:t>
      </w:r>
    </w:p>
    <w:p w14:paraId="55B234D4">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21CA99AB">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540D1C86">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sz w:val="24"/>
          <w:szCs w:val="24"/>
          <w:highlight w:val="none"/>
          <w:lang w:val="en-US" w:eastAsia="zh-CN"/>
        </w:rPr>
        <w:t xml:space="preserve">          </w:t>
      </w:r>
    </w:p>
    <w:p w14:paraId="3FC415B9">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乙  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（盖章）</w:t>
      </w:r>
    </w:p>
    <w:p w14:paraId="4FF3AFEA">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EE56EC8">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bCs/>
          <w:color w:val="auto"/>
          <w:sz w:val="24"/>
          <w:szCs w:val="24"/>
          <w:highlight w:val="none"/>
          <w:u w:val="single"/>
          <w:lang w:val="en-US" w:eastAsia="zh-CN" w:bidi="ar"/>
        </w:rPr>
        <w:t xml:space="preserve">                               </w:t>
      </w:r>
    </w:p>
    <w:p w14:paraId="4361CCD4">
      <w:pPr>
        <w:spacing w:line="48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bidi="ar"/>
        </w:rPr>
        <w:t xml:space="preserve">账 </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lang w:bidi="ar"/>
        </w:rPr>
        <w:t>号：</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rPr>
        <w:t xml:space="preserve">     </w:t>
      </w:r>
    </w:p>
    <w:p w14:paraId="0A834902">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2AC594EA">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11747490">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2B01BFEA">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CE4BC8"/>
    <w:rsid w:val="593F1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7029</Words>
  <Characters>7511</Characters>
  <Lines>0</Lines>
  <Paragraphs>0</Paragraphs>
  <TotalTime>0</TotalTime>
  <ScaleCrop>false</ScaleCrop>
  <LinksUpToDate>false</LinksUpToDate>
  <CharactersWithSpaces>8041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2026-05-09T07:20:00Z</dcterms:created>
  <dc:creator>ADMIN</dc:creator>
  <cp:lastModifiedBy>胡梦婷</cp:lastModifiedBy>
  <dcterms:modified xsi:type="dcterms:W3CDTF">2026-05-09T08:08:42Z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D95DCB6F5AC44FFBA4250665FE9D261B_12</vt:lpwstr>
  </property>
</Properties>
</file>