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59C59F">
      <w:pPr>
        <w:adjustRightInd w:val="0"/>
        <w:snapToGrid w:val="0"/>
        <w:spacing w:line="360" w:lineRule="auto"/>
        <w:ind w:firstLine="480" w:firstLineChars="200"/>
        <w:rPr>
          <w:rFonts w:hint="eastAsia" w:ascii="仿宋" w:hAnsi="仿宋" w:eastAsia="仿宋" w:cs="仿宋"/>
          <w:sz w:val="24"/>
          <w:highlight w:val="none"/>
        </w:rPr>
      </w:pPr>
      <w:bookmarkStart w:id="0" w:name="_Toc19515384"/>
      <w:r>
        <w:rPr>
          <w:rFonts w:hint="eastAsia" w:ascii="仿宋" w:hAnsi="仿宋" w:eastAsia="仿宋" w:cs="仿宋"/>
          <w:sz w:val="24"/>
          <w:highlight w:val="none"/>
        </w:rPr>
        <w:t>一、合同内容（标的、数量、质量等）:</w:t>
      </w:r>
      <w:bookmarkEnd w:id="0"/>
    </w:p>
    <w:p w14:paraId="2AAF49C1">
      <w:pPr>
        <w:adjustRightInd w:val="0"/>
        <w:snapToGrid w:val="0"/>
        <w:spacing w:line="360" w:lineRule="auto"/>
        <w:ind w:firstLine="480" w:firstLineChars="200"/>
        <w:rPr>
          <w:rFonts w:hint="eastAsia" w:ascii="仿宋" w:hAnsi="仿宋" w:eastAsia="仿宋" w:cs="仿宋"/>
          <w:sz w:val="24"/>
          <w:highlight w:val="none"/>
        </w:rPr>
      </w:pPr>
    </w:p>
    <w:p w14:paraId="513161DB">
      <w:pPr>
        <w:adjustRightInd w:val="0"/>
        <w:snapToGrid w:val="0"/>
        <w:spacing w:line="360" w:lineRule="auto"/>
        <w:ind w:firstLine="480" w:firstLineChars="200"/>
        <w:rPr>
          <w:rFonts w:hint="eastAsia" w:ascii="仿宋" w:hAnsi="仿宋" w:eastAsia="仿宋" w:cs="仿宋"/>
          <w:sz w:val="24"/>
          <w:highlight w:val="none"/>
        </w:rPr>
      </w:pPr>
      <w:bookmarkStart w:id="1" w:name="_Toc19515385"/>
      <w:r>
        <w:rPr>
          <w:rFonts w:hint="eastAsia" w:ascii="仿宋" w:hAnsi="仿宋" w:eastAsia="仿宋" w:cs="仿宋"/>
          <w:sz w:val="24"/>
          <w:highlight w:val="none"/>
        </w:rPr>
        <w:t>二、合同价款</w:t>
      </w:r>
      <w:bookmarkEnd w:id="1"/>
    </w:p>
    <w:p w14:paraId="6E35151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1、合同总价：</w:t>
      </w:r>
    </w:p>
    <w:p w14:paraId="5943AC04">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2、合同总价包括：</w:t>
      </w:r>
    </w:p>
    <w:p w14:paraId="06052256">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3、合同为固定总价合同，不受市场价变化的影响。</w:t>
      </w:r>
    </w:p>
    <w:p w14:paraId="6C7D11B1">
      <w:pPr>
        <w:adjustRightInd w:val="0"/>
        <w:snapToGrid w:val="0"/>
        <w:spacing w:line="360" w:lineRule="auto"/>
        <w:ind w:firstLine="480" w:firstLineChars="200"/>
        <w:rPr>
          <w:rFonts w:hint="eastAsia" w:ascii="仿宋" w:hAnsi="仿宋" w:eastAsia="仿宋" w:cs="仿宋"/>
          <w:sz w:val="24"/>
          <w:highlight w:val="none"/>
        </w:rPr>
      </w:pPr>
      <w:bookmarkStart w:id="2" w:name="_Toc19515386"/>
      <w:r>
        <w:rPr>
          <w:rFonts w:hint="eastAsia" w:ascii="仿宋" w:hAnsi="仿宋" w:eastAsia="仿宋" w:cs="仿宋"/>
          <w:sz w:val="24"/>
          <w:highlight w:val="none"/>
        </w:rPr>
        <w:t>三、合同结算</w:t>
      </w:r>
      <w:bookmarkEnd w:id="2"/>
    </w:p>
    <w:p w14:paraId="0B2A8D2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1、付款比例：</w:t>
      </w:r>
    </w:p>
    <w:p w14:paraId="1BD57179">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预付款：合同生效后，达到付款条件起15个工作日内，支付合同总金额的40%；</w:t>
      </w:r>
    </w:p>
    <w:p w14:paraId="54A0EF2E">
      <w:pPr>
        <w:adjustRightInd w:val="0"/>
        <w:snapToGrid w:val="0"/>
        <w:spacing w:line="360" w:lineRule="auto"/>
        <w:ind w:firstLine="480" w:firstLineChars="200"/>
        <w:rPr>
          <w:rFonts w:hint="eastAsia" w:ascii="仿宋" w:hAnsi="仿宋" w:eastAsia="仿宋" w:cs="仿宋"/>
          <w:sz w:val="24"/>
          <w:highlight w:val="none"/>
          <w:lang w:eastAsia="zh-CN"/>
        </w:rPr>
      </w:pPr>
      <w:r>
        <w:rPr>
          <w:rFonts w:hint="eastAsia" w:ascii="仿宋" w:hAnsi="仿宋" w:eastAsia="仿宋" w:cs="仿宋"/>
          <w:sz w:val="24"/>
          <w:highlight w:val="none"/>
        </w:rPr>
        <w:t>进度款：赛事结束后，验收合格完成，经财务部审议无误后,达到付款条件15个工作日内，支付合同总金额的60%。</w:t>
      </w:r>
    </w:p>
    <w:p w14:paraId="2CF02490">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2、结算方式：银行转账。</w:t>
      </w:r>
    </w:p>
    <w:p w14:paraId="4535D8B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3、结算单位：由</w:t>
      </w:r>
      <w:r>
        <w:rPr>
          <w:rFonts w:hint="eastAsia" w:ascii="仿宋" w:hAnsi="仿宋" w:eastAsia="仿宋" w:cs="仿宋"/>
          <w:sz w:val="24"/>
          <w:highlight w:val="none"/>
          <w:u w:val="single"/>
          <w:lang w:eastAsia="zh-CN"/>
        </w:rPr>
        <w:t>筹委会办公室</w:t>
      </w:r>
      <w:r>
        <w:rPr>
          <w:rFonts w:hint="eastAsia" w:ascii="仿宋" w:hAnsi="仿宋" w:eastAsia="仿宋" w:cs="仿宋"/>
          <w:sz w:val="24"/>
          <w:highlight w:val="none"/>
        </w:rPr>
        <w:t>负责结算，乙方开具</w:t>
      </w:r>
      <w:r>
        <w:rPr>
          <w:rFonts w:hint="eastAsia" w:ascii="仿宋" w:hAnsi="仿宋" w:eastAsia="仿宋" w:cs="仿宋"/>
          <w:sz w:val="24"/>
          <w:highlight w:val="none"/>
          <w:lang w:eastAsia="zh-CN"/>
        </w:rPr>
        <w:t>增值税专用发票</w:t>
      </w:r>
      <w:r>
        <w:rPr>
          <w:rFonts w:hint="eastAsia" w:ascii="仿宋" w:hAnsi="仿宋" w:eastAsia="仿宋" w:cs="仿宋"/>
          <w:sz w:val="24"/>
          <w:highlight w:val="none"/>
        </w:rPr>
        <w:t>交采购人。</w:t>
      </w:r>
    </w:p>
    <w:p w14:paraId="4F3DC971">
      <w:pPr>
        <w:adjustRightInd w:val="0"/>
        <w:snapToGrid w:val="0"/>
        <w:spacing w:line="360" w:lineRule="auto"/>
        <w:ind w:firstLine="480" w:firstLineChars="200"/>
        <w:rPr>
          <w:rFonts w:hint="eastAsia" w:ascii="仿宋" w:hAnsi="仿宋" w:eastAsia="仿宋" w:cs="仿宋"/>
          <w:sz w:val="24"/>
          <w:highlight w:val="none"/>
        </w:rPr>
      </w:pPr>
      <w:bookmarkStart w:id="3" w:name="_Toc19515387"/>
      <w:r>
        <w:rPr>
          <w:rFonts w:hint="eastAsia" w:ascii="仿宋" w:hAnsi="仿宋" w:eastAsia="仿宋" w:cs="仿宋"/>
          <w:sz w:val="24"/>
          <w:highlight w:val="none"/>
        </w:rPr>
        <w:t>四、</w:t>
      </w:r>
      <w:r>
        <w:rPr>
          <w:rFonts w:hint="eastAsia" w:ascii="仿宋" w:hAnsi="仿宋" w:eastAsia="仿宋" w:cs="仿宋"/>
          <w:sz w:val="24"/>
          <w:highlight w:val="none"/>
          <w:lang w:val="en-US" w:eastAsia="zh-CN"/>
        </w:rPr>
        <w:t>服务</w:t>
      </w:r>
      <w:r>
        <w:rPr>
          <w:rFonts w:hint="eastAsia" w:ascii="仿宋" w:hAnsi="仿宋" w:eastAsia="仿宋" w:cs="仿宋"/>
          <w:sz w:val="24"/>
          <w:highlight w:val="none"/>
        </w:rPr>
        <w:t>期限、地点及方式:</w:t>
      </w:r>
      <w:bookmarkEnd w:id="3"/>
    </w:p>
    <w:p w14:paraId="638BDC7E">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w:t>
      </w:r>
      <w:r>
        <w:rPr>
          <w:rFonts w:hint="eastAsia" w:ascii="仿宋" w:hAnsi="仿宋" w:eastAsia="仿宋" w:cs="仿宋"/>
          <w:sz w:val="24"/>
          <w:highlight w:val="none"/>
          <w:lang w:val="en-US" w:eastAsia="zh-CN"/>
        </w:rPr>
        <w:t>服务</w:t>
      </w:r>
      <w:r>
        <w:rPr>
          <w:rFonts w:hint="eastAsia" w:ascii="仿宋" w:hAnsi="仿宋" w:eastAsia="仿宋" w:cs="仿宋"/>
          <w:sz w:val="24"/>
          <w:highlight w:val="none"/>
        </w:rPr>
        <w:t>期限：</w:t>
      </w:r>
    </w:p>
    <w:p w14:paraId="0427A9A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2、地点：</w:t>
      </w:r>
    </w:p>
    <w:p w14:paraId="0B4BF13B">
      <w:pPr>
        <w:adjustRightInd w:val="0"/>
        <w:snapToGrid w:val="0"/>
        <w:spacing w:line="360" w:lineRule="auto"/>
        <w:ind w:firstLine="480" w:firstLineChars="200"/>
        <w:rPr>
          <w:rFonts w:hint="eastAsia" w:ascii="仿宋" w:hAnsi="仿宋" w:eastAsia="仿宋" w:cs="仿宋"/>
          <w:sz w:val="24"/>
          <w:highlight w:val="none"/>
        </w:rPr>
      </w:pPr>
      <w:bookmarkStart w:id="4" w:name="_Toc19515390"/>
      <w:r>
        <w:rPr>
          <w:rFonts w:hint="eastAsia" w:ascii="仿宋" w:hAnsi="仿宋" w:eastAsia="仿宋" w:cs="仿宋"/>
          <w:sz w:val="24"/>
          <w:highlight w:val="none"/>
        </w:rPr>
        <w:t>五、技术服务</w:t>
      </w:r>
      <w:bookmarkEnd w:id="4"/>
    </w:p>
    <w:p w14:paraId="50BAA05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1、对技术服务的要求：</w:t>
      </w:r>
    </w:p>
    <w:p w14:paraId="52AF647B">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2、技术资料：</w:t>
      </w:r>
    </w:p>
    <w:p w14:paraId="11ABE38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3、技术培训：</w:t>
      </w:r>
    </w:p>
    <w:p w14:paraId="58FFDF90">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3-1、培训内容：</w:t>
      </w:r>
    </w:p>
    <w:p w14:paraId="330EED1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3-2、培训地点：</w:t>
      </w:r>
    </w:p>
    <w:p w14:paraId="39CEA70E">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3-3、培训时间：</w:t>
      </w:r>
    </w:p>
    <w:p w14:paraId="79B34069">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3-4、培训人数：</w:t>
      </w:r>
    </w:p>
    <w:p w14:paraId="6083C33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3-5、培训费用：受训人员的食宿费、资料费、培训场地费、耗材（包括水电费等）费等已包含在合同总价中，甲方不再另行支付。</w:t>
      </w:r>
    </w:p>
    <w:p w14:paraId="10B0B289">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4、售后服务</w:t>
      </w:r>
    </w:p>
    <w:p w14:paraId="653CFCCF">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4-1、乙方在接到甲方电话通知后在</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小时内派出合格的服务人员到达现场进行服务，承担相应费用。</w:t>
      </w:r>
    </w:p>
    <w:p w14:paraId="5AE72979">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4-2、如果乙方在收到通知后两天内没有弥补缺陷，甲方可采取必要的补救措施，但其风险和费用将由乙方承担，甲方根据合同规定对乙方行使的其它权力不受影响。</w:t>
      </w:r>
    </w:p>
    <w:p w14:paraId="15EB10AC">
      <w:pPr>
        <w:adjustRightInd w:val="0"/>
        <w:snapToGrid w:val="0"/>
        <w:spacing w:line="360" w:lineRule="auto"/>
        <w:ind w:firstLine="480" w:firstLineChars="200"/>
        <w:rPr>
          <w:rFonts w:hint="eastAsia" w:ascii="仿宋" w:hAnsi="仿宋" w:eastAsia="仿宋" w:cs="仿宋"/>
          <w:sz w:val="24"/>
          <w:highlight w:val="none"/>
        </w:rPr>
      </w:pPr>
      <w:bookmarkStart w:id="5" w:name="_Toc19515391"/>
      <w:r>
        <w:rPr>
          <w:rFonts w:hint="eastAsia" w:ascii="仿宋" w:hAnsi="仿宋" w:eastAsia="仿宋" w:cs="仿宋"/>
          <w:sz w:val="24"/>
          <w:highlight w:val="none"/>
        </w:rPr>
        <w:t>六、验收</w:t>
      </w:r>
      <w:bookmarkEnd w:id="5"/>
    </w:p>
    <w:p w14:paraId="18CDD94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1、验收：乙方完成服务内容后，向甲方提出验收申请，甲方接到乙方验收申请后组织验收（必要时可聘请相应专家或委托相应部门验收），验收合格后，出具使用验收合格证明。</w:t>
      </w:r>
    </w:p>
    <w:p w14:paraId="0AF1F65F">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2、最终验收：最终验收结果作为付款依据，乙方填写验收单，并向甲方提交实施过程中的所有资料，以便甲方日后管理和维护。</w:t>
      </w:r>
    </w:p>
    <w:p w14:paraId="464170CD">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4、验收依据：</w:t>
      </w:r>
    </w:p>
    <w:p w14:paraId="3550E8A1">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4-1、合同文本、合同附件、招标文件、投标文件。</w:t>
      </w:r>
    </w:p>
    <w:p w14:paraId="7D41889B">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4-2、国内相应的标准、规范。</w:t>
      </w:r>
    </w:p>
    <w:p w14:paraId="3E8E2895">
      <w:pPr>
        <w:adjustRightInd w:val="0"/>
        <w:snapToGrid w:val="0"/>
        <w:spacing w:line="360" w:lineRule="auto"/>
        <w:ind w:firstLine="480" w:firstLineChars="200"/>
        <w:rPr>
          <w:rFonts w:hint="eastAsia" w:ascii="仿宋" w:hAnsi="仿宋" w:eastAsia="仿宋" w:cs="仿宋"/>
          <w:sz w:val="24"/>
          <w:highlight w:val="none"/>
        </w:rPr>
      </w:pPr>
      <w:bookmarkStart w:id="6" w:name="_Toc19515392"/>
      <w:r>
        <w:rPr>
          <w:rFonts w:hint="eastAsia" w:ascii="仿宋" w:hAnsi="仿宋" w:eastAsia="仿宋" w:cs="仿宋"/>
          <w:sz w:val="24"/>
          <w:highlight w:val="none"/>
          <w:lang w:val="en-US" w:eastAsia="zh-CN"/>
        </w:rPr>
        <w:t>七</w:t>
      </w:r>
      <w:r>
        <w:rPr>
          <w:rFonts w:hint="eastAsia" w:ascii="仿宋" w:hAnsi="仿宋" w:eastAsia="仿宋" w:cs="仿宋"/>
          <w:sz w:val="24"/>
          <w:highlight w:val="none"/>
        </w:rPr>
        <w:t>、违约责任</w:t>
      </w:r>
      <w:bookmarkEnd w:id="6"/>
    </w:p>
    <w:p w14:paraId="3BFA8B4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1、按《中华人民共和国民法典》中的相关条款执行。</w:t>
      </w:r>
    </w:p>
    <w:p w14:paraId="2EAB3BEF">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2、乙方履约延误</w:t>
      </w:r>
    </w:p>
    <w:p w14:paraId="3B580F30">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2-1、如乙方事先未征得甲方同意并得到甲方的谅解而单方面延迟执行合同，将按违约终止合同。</w:t>
      </w:r>
    </w:p>
    <w:p w14:paraId="306A7EF2">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14A00B59">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3、违约终止合同：未按合同要求提供服务或不能满足技术要求，甲方会同监督机构有权终止合同，对乙方违约行为进行追究，同时按政府采购法的有关规定进行相应的处罚。</w:t>
      </w:r>
    </w:p>
    <w:p w14:paraId="1A5374C9">
      <w:pPr>
        <w:adjustRightInd w:val="0"/>
        <w:snapToGrid w:val="0"/>
        <w:spacing w:line="360" w:lineRule="auto"/>
        <w:ind w:firstLine="480" w:firstLineChars="200"/>
        <w:rPr>
          <w:rFonts w:hint="eastAsia" w:ascii="仿宋" w:hAnsi="仿宋" w:eastAsia="仿宋" w:cs="仿宋"/>
          <w:sz w:val="24"/>
          <w:highlight w:val="none"/>
        </w:rPr>
      </w:pPr>
      <w:bookmarkStart w:id="7" w:name="_Toc19515393"/>
      <w:r>
        <w:rPr>
          <w:rFonts w:hint="eastAsia" w:ascii="仿宋" w:hAnsi="仿宋" w:eastAsia="仿宋" w:cs="仿宋"/>
          <w:sz w:val="24"/>
          <w:highlight w:val="none"/>
          <w:lang w:val="en-US" w:eastAsia="zh-CN"/>
        </w:rPr>
        <w:t>八</w:t>
      </w:r>
      <w:r>
        <w:rPr>
          <w:rFonts w:hint="eastAsia" w:ascii="仿宋" w:hAnsi="仿宋" w:eastAsia="仿宋" w:cs="仿宋"/>
          <w:sz w:val="24"/>
          <w:highlight w:val="none"/>
        </w:rPr>
        <w:t>、合同组成</w:t>
      </w:r>
      <w:bookmarkEnd w:id="7"/>
    </w:p>
    <w:p w14:paraId="0B9FEB79">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1、中标通知书</w:t>
      </w:r>
    </w:p>
    <w:p w14:paraId="6F2773E6">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2、合同文件</w:t>
      </w:r>
    </w:p>
    <w:p w14:paraId="2F41019B">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3、国家相关规范及标准</w:t>
      </w:r>
    </w:p>
    <w:p w14:paraId="59BFCA7B">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4、招标文件</w:t>
      </w:r>
    </w:p>
    <w:p w14:paraId="71B9AFE3">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5、投标文件</w:t>
      </w:r>
    </w:p>
    <w:p w14:paraId="5BE08368">
      <w:pPr>
        <w:adjustRightInd w:val="0"/>
        <w:snapToGrid w:val="0"/>
        <w:spacing w:line="360" w:lineRule="auto"/>
        <w:ind w:firstLine="480" w:firstLineChars="200"/>
        <w:rPr>
          <w:rFonts w:hint="eastAsia" w:ascii="仿宋" w:hAnsi="仿宋" w:eastAsia="仿宋" w:cs="仿宋"/>
          <w:sz w:val="24"/>
          <w:highlight w:val="none"/>
        </w:rPr>
      </w:pPr>
      <w:bookmarkStart w:id="8" w:name="_Toc19515394"/>
      <w:r>
        <w:rPr>
          <w:rFonts w:hint="eastAsia" w:ascii="仿宋" w:hAnsi="仿宋" w:eastAsia="仿宋" w:cs="仿宋"/>
          <w:sz w:val="24"/>
          <w:highlight w:val="none"/>
          <w:lang w:val="en-US" w:eastAsia="zh-CN"/>
        </w:rPr>
        <w:t>九</w:t>
      </w:r>
      <w:r>
        <w:rPr>
          <w:rFonts w:hint="eastAsia" w:ascii="仿宋" w:hAnsi="仿宋" w:eastAsia="仿宋" w:cs="仿宋"/>
          <w:sz w:val="24"/>
          <w:highlight w:val="none"/>
        </w:rPr>
        <w:t>、解决争议的方法</w:t>
      </w:r>
      <w:bookmarkEnd w:id="8"/>
    </w:p>
    <w:p w14:paraId="49FC56BE">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凡因本合同引起的或与本合同有关的争议，双方应友好协商解决。协商不成时，双方均同意采用以下第（  ）种争议解决方式：</w:t>
      </w:r>
    </w:p>
    <w:p w14:paraId="2887D6DD">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1、甲、乙双方均同意向（甲方所在地人民法院）提起诉讼。</w:t>
      </w:r>
    </w:p>
    <w:p w14:paraId="7DE59E47">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2、甲、乙双方均同意向（</w:t>
      </w:r>
      <w:r>
        <w:rPr>
          <w:rFonts w:hint="eastAsia" w:ascii="仿宋" w:hAnsi="仿宋" w:eastAsia="仿宋" w:cs="仿宋"/>
          <w:kern w:val="0"/>
          <w:sz w:val="24"/>
          <w:highlight w:val="none"/>
        </w:rPr>
        <w:fldChar w:fldCharType="begin"/>
      </w:r>
      <w:r>
        <w:rPr>
          <w:rFonts w:hint="eastAsia" w:ascii="仿宋" w:hAnsi="仿宋" w:eastAsia="仿宋" w:cs="仿宋"/>
          <w:kern w:val="0"/>
          <w:sz w:val="24"/>
          <w:highlight w:val="none"/>
        </w:rPr>
        <w:instrText xml:space="preserve"> HYPERLINK "http://www.baidu.com/s?wd=%E4%BB%B2%E8%A3%81%E5%A7%94%E5%91%98%E4%BC%9A&amp;tn=SE_PcZhidaonwhc_ngpagmjz&amp;rsv_dl=gh_pc_zhidao" \t "_blank" </w:instrText>
      </w:r>
      <w:r>
        <w:rPr>
          <w:rFonts w:hint="eastAsia" w:ascii="仿宋" w:hAnsi="仿宋" w:eastAsia="仿宋" w:cs="仿宋"/>
          <w:kern w:val="0"/>
          <w:sz w:val="24"/>
          <w:highlight w:val="none"/>
        </w:rPr>
        <w:fldChar w:fldCharType="separate"/>
      </w:r>
      <w:r>
        <w:rPr>
          <w:rFonts w:hint="eastAsia" w:ascii="仿宋" w:hAnsi="仿宋" w:eastAsia="仿宋" w:cs="仿宋"/>
          <w:kern w:val="0"/>
          <w:sz w:val="24"/>
          <w:highlight w:val="none"/>
        </w:rPr>
        <w:t>仲裁委员会</w:t>
      </w:r>
      <w:r>
        <w:rPr>
          <w:rFonts w:hint="eastAsia" w:ascii="仿宋" w:hAnsi="仿宋" w:eastAsia="仿宋" w:cs="仿宋"/>
          <w:kern w:val="0"/>
          <w:sz w:val="24"/>
          <w:highlight w:val="none"/>
        </w:rPr>
        <w:fldChar w:fldCharType="end"/>
      </w:r>
      <w:r>
        <w:rPr>
          <w:rFonts w:hint="eastAsia" w:ascii="仿宋" w:hAnsi="仿宋" w:eastAsia="仿宋" w:cs="仿宋"/>
          <w:kern w:val="0"/>
          <w:sz w:val="24"/>
          <w:highlight w:val="none"/>
        </w:rPr>
        <w:t>）提起仲裁。</w:t>
      </w:r>
    </w:p>
    <w:p w14:paraId="6C26EB25">
      <w:pPr>
        <w:adjustRightInd w:val="0"/>
        <w:snapToGrid w:val="0"/>
        <w:spacing w:line="360" w:lineRule="auto"/>
        <w:ind w:firstLine="480" w:firstLineChars="200"/>
        <w:rPr>
          <w:rFonts w:hint="eastAsia" w:ascii="仿宋" w:hAnsi="仿宋" w:eastAsia="仿宋" w:cs="仿宋"/>
          <w:sz w:val="24"/>
          <w:highlight w:val="none"/>
        </w:rPr>
      </w:pPr>
      <w:bookmarkStart w:id="9" w:name="_Toc19515395"/>
      <w:r>
        <w:rPr>
          <w:rFonts w:hint="eastAsia" w:ascii="仿宋" w:hAnsi="仿宋" w:eastAsia="仿宋" w:cs="仿宋"/>
          <w:sz w:val="24"/>
          <w:highlight w:val="none"/>
        </w:rPr>
        <w:t>十、合同生效及其它</w:t>
      </w:r>
      <w:bookmarkEnd w:id="9"/>
    </w:p>
    <w:p w14:paraId="583C175B">
      <w:pPr>
        <w:widowControl/>
        <w:autoSpaceDE w:val="0"/>
        <w:autoSpaceDN w:val="0"/>
        <w:snapToGrid w:val="0"/>
        <w:spacing w:line="360" w:lineRule="auto"/>
        <w:ind w:right="-110" w:firstLine="480" w:firstLineChars="200"/>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1、合同未尽事宜、由甲、乙双方协商，作为合同补充，与原合同具有同等法律效力。</w:t>
      </w:r>
    </w:p>
    <w:p w14:paraId="64A8A6B9">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2、 本合同正本一式</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份，甲方、乙方双方分别执</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份。</w:t>
      </w:r>
    </w:p>
    <w:p w14:paraId="2CBBAF48">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3、合同经甲乙双方盖章、签字后生效，合同签订地点为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p>
    <w:p w14:paraId="565B6FA5">
      <w:pPr>
        <w:widowControl/>
        <w:tabs>
          <w:tab w:val="left" w:pos="8391"/>
        </w:tabs>
        <w:autoSpaceDE w:val="0"/>
        <w:autoSpaceDN w:val="0"/>
        <w:snapToGrid w:val="0"/>
        <w:spacing w:line="360" w:lineRule="auto"/>
        <w:ind w:right="-69" w:firstLine="480" w:firstLineChars="200"/>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4、生效时间：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55A018F1">
      <w:pPr>
        <w:widowControl/>
        <w:tabs>
          <w:tab w:val="left" w:pos="8391"/>
        </w:tabs>
        <w:autoSpaceDE w:val="0"/>
        <w:autoSpaceDN w:val="0"/>
        <w:snapToGrid w:val="0"/>
        <w:spacing w:line="360" w:lineRule="auto"/>
        <w:ind w:right="-69" w:firstLine="840" w:firstLineChars="350"/>
        <w:textAlignment w:val="bottom"/>
        <w:rPr>
          <w:rFonts w:hint="eastAsia" w:ascii="仿宋" w:hAnsi="仿宋" w:eastAsia="仿宋" w:cs="仿宋"/>
          <w:kern w:val="0"/>
          <w:sz w:val="24"/>
          <w:highlight w:val="none"/>
        </w:rPr>
      </w:pPr>
    </w:p>
    <w:tbl>
      <w:tblPr>
        <w:tblStyle w:val="2"/>
        <w:tblW w:w="0" w:type="auto"/>
        <w:jc w:val="center"/>
        <w:tblLayout w:type="fixed"/>
        <w:tblCellMar>
          <w:top w:w="0" w:type="dxa"/>
          <w:left w:w="108" w:type="dxa"/>
          <w:bottom w:w="0" w:type="dxa"/>
          <w:right w:w="108" w:type="dxa"/>
        </w:tblCellMar>
      </w:tblPr>
      <w:tblGrid>
        <w:gridCol w:w="4643"/>
        <w:gridCol w:w="4643"/>
      </w:tblGrid>
      <w:tr w14:paraId="3192BA3F">
        <w:tblPrEx>
          <w:tblCellMar>
            <w:top w:w="0" w:type="dxa"/>
            <w:left w:w="108" w:type="dxa"/>
            <w:bottom w:w="0" w:type="dxa"/>
            <w:right w:w="108" w:type="dxa"/>
          </w:tblCellMar>
        </w:tblPrEx>
        <w:trPr>
          <w:jc w:val="center"/>
        </w:trPr>
        <w:tc>
          <w:tcPr>
            <w:tcW w:w="4643" w:type="dxa"/>
          </w:tcPr>
          <w:p w14:paraId="70DBF832">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甲方名称</w:t>
            </w:r>
            <w:r>
              <w:rPr>
                <w:rFonts w:hint="eastAsia" w:ascii="仿宋" w:hAnsi="仿宋" w:eastAsia="仿宋" w:cs="仿宋"/>
                <w:spacing w:val="-20"/>
                <w:kern w:val="0"/>
                <w:sz w:val="24"/>
                <w:highlight w:val="none"/>
              </w:rPr>
              <w:t>（盖章）</w:t>
            </w:r>
            <w:r>
              <w:rPr>
                <w:rFonts w:hint="eastAsia" w:ascii="仿宋" w:hAnsi="仿宋" w:eastAsia="仿宋" w:cs="仿宋"/>
                <w:kern w:val="0"/>
                <w:sz w:val="24"/>
                <w:highlight w:val="none"/>
              </w:rPr>
              <w:t>：</w:t>
            </w:r>
          </w:p>
          <w:p w14:paraId="4C49C0B4">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地址：</w:t>
            </w:r>
          </w:p>
          <w:p w14:paraId="0456030E">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代表人（签字）：</w:t>
            </w:r>
          </w:p>
          <w:p w14:paraId="3876C488">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电话：</w:t>
            </w:r>
          </w:p>
          <w:p w14:paraId="240AF1B1">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开户银行：</w:t>
            </w:r>
          </w:p>
          <w:p w14:paraId="312FC5D9">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账号：</w:t>
            </w:r>
          </w:p>
        </w:tc>
        <w:tc>
          <w:tcPr>
            <w:tcW w:w="4643" w:type="dxa"/>
          </w:tcPr>
          <w:p w14:paraId="0EA0FEBF">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乙方名称</w:t>
            </w:r>
            <w:r>
              <w:rPr>
                <w:rFonts w:hint="eastAsia" w:ascii="仿宋" w:hAnsi="仿宋" w:eastAsia="仿宋" w:cs="仿宋"/>
                <w:spacing w:val="-20"/>
                <w:kern w:val="0"/>
                <w:sz w:val="24"/>
                <w:highlight w:val="none"/>
              </w:rPr>
              <w:t>（盖章）</w:t>
            </w:r>
            <w:r>
              <w:rPr>
                <w:rFonts w:hint="eastAsia" w:ascii="仿宋" w:hAnsi="仿宋" w:eastAsia="仿宋" w:cs="仿宋"/>
                <w:kern w:val="0"/>
                <w:sz w:val="24"/>
                <w:highlight w:val="none"/>
              </w:rPr>
              <w:t>：</w:t>
            </w:r>
          </w:p>
          <w:p w14:paraId="3C8ACFCC">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地址：</w:t>
            </w:r>
          </w:p>
          <w:p w14:paraId="226B6B11">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代表人（签字）：</w:t>
            </w:r>
          </w:p>
          <w:p w14:paraId="637A3D44">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电话：</w:t>
            </w:r>
          </w:p>
          <w:p w14:paraId="5E13F06D">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开户银行：</w:t>
            </w:r>
          </w:p>
          <w:p w14:paraId="3F32D27F">
            <w:pPr>
              <w:widowControl/>
              <w:autoSpaceDE w:val="0"/>
              <w:autoSpaceDN w:val="0"/>
              <w:snapToGrid w:val="0"/>
              <w:spacing w:line="360" w:lineRule="auto"/>
              <w:ind w:right="-154"/>
              <w:textAlignment w:val="bottom"/>
              <w:rPr>
                <w:rFonts w:hint="eastAsia" w:ascii="仿宋" w:hAnsi="仿宋" w:eastAsia="仿宋" w:cs="仿宋"/>
                <w:kern w:val="0"/>
                <w:sz w:val="24"/>
                <w:highlight w:val="none"/>
              </w:rPr>
            </w:pPr>
            <w:r>
              <w:rPr>
                <w:rFonts w:hint="eastAsia" w:ascii="仿宋" w:hAnsi="仿宋" w:eastAsia="仿宋" w:cs="仿宋"/>
                <w:kern w:val="0"/>
                <w:sz w:val="24"/>
                <w:highlight w:val="none"/>
              </w:rPr>
              <w:t>账号：</w:t>
            </w:r>
          </w:p>
        </w:tc>
      </w:tr>
    </w:tbl>
    <w:p w14:paraId="37E48979">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9A72BC"/>
    <w:rsid w:val="0B9A7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2026-07-03T08:56:00Z</dcterms:created>
  <dc:creator>叶子</dc:creator>
  <cp:lastModifiedBy>叶子</cp:lastModifiedBy>
  <dcterms:modified xsi:type="dcterms:W3CDTF">2026-07-03T08:56:11Z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8A30C81588644C6D82166D5C823F6C20_11</vt:lpwstr>
  </property>
  <property fmtid="{D5CDD505-2E9C-101B-9397-08002B2CF9AE}" pid="4" name="KSOTemplateDocerSaveRecord">
    <vt:lpwstr>eyJoZGlkIjoiZjE1YjQ4NWY2MWE2Y2ZiNzE4NTU1MjQ3YTY1ZWQwZjAiLCJ1c2VySWQiOiIzMjkyNDM1OTcifQ==</vt:lpwstr>
  </property>
</Properties>
</file>