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版本号：ZBZB-2026-299320260826001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政务服务效能监测项目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ZBZB-2026-2993</w:t>
      </w:r>
      <w:r>
        <w:br/>
      </w:r>
      <w:r>
        <w:br/>
      </w:r>
      <w:r>
        <w:br/>
      </w:r>
    </w:p>
    <w:p>
      <w:pPr>
        <w:pStyle w:val="null3"/>
        <w:jc w:val="center"/>
        <w:outlineLvl w:val="2"/>
      </w:pPr>
      <w:r>
        <w:rPr>
          <w:rFonts w:ascii="仿宋_GB2312" w:hAnsi="仿宋_GB2312" w:cs="仿宋_GB2312" w:eastAsia="仿宋_GB2312"/>
          <w:sz w:val="28"/>
          <w:b/>
        </w:rPr>
        <w:t>西安市行政审批服务局</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西安市行政审批服务局</w:t>
      </w:r>
      <w:r>
        <w:rPr>
          <w:rFonts w:ascii="仿宋_GB2312" w:hAnsi="仿宋_GB2312" w:cs="仿宋_GB2312" w:eastAsia="仿宋_GB2312"/>
        </w:rPr>
        <w:t>委托，拟对</w:t>
      </w:r>
      <w:r>
        <w:rPr>
          <w:rFonts w:ascii="仿宋_GB2312" w:hAnsi="仿宋_GB2312" w:cs="仿宋_GB2312" w:eastAsia="仿宋_GB2312"/>
        </w:rPr>
        <w:t>政务服务效能监测项目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ZBZB-2026-2993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政务服务效能监测项目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对我市政务服务和营商环境工作效能进行季度监测并出具报告，每季度1份，共4份。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分公司参与投标时，须提供总公司出具的针对本项目的授权书</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3、财务状况报告：提供2024年度或2025年度经审计的财务报告（成立时间至提交 磋商响应文件截止时间不足一年的可提供成立后任意时段的资产负债表），或其开标前六个月内基本存款账户开户银行出具的资信证明。（以上三种形式的资料提供任何一种即可）</w:t>
      </w:r>
    </w:p>
    <w:p>
      <w:pPr>
        <w:pStyle w:val="null3"/>
      </w:pPr>
      <w:r>
        <w:rPr>
          <w:rFonts w:ascii="仿宋_GB2312" w:hAnsi="仿宋_GB2312" w:cs="仿宋_GB2312" w:eastAsia="仿宋_GB2312"/>
        </w:rPr>
        <w:t>4、社会保障资金缴纳证明：提供2025年8月至今已缴存的至少一个月的社会保障资金缴存单据或社保机构开具的社会保险参保缴费情况证明，依法不需要缴纳社会保障资金的单位应提供相关证明材料；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5、税收缴纳证明：供2025年8月至今已缴纳的至少一个月的纳税证明或完税证明，依法免税的单位应提供相关证明材料；</w:t>
      </w:r>
    </w:p>
    <w:p>
      <w:pPr>
        <w:pStyle w:val="null3"/>
      </w:pPr>
      <w:r>
        <w:rPr>
          <w:rFonts w:ascii="仿宋_GB2312" w:hAnsi="仿宋_GB2312" w:cs="仿宋_GB2312" w:eastAsia="仿宋_GB2312"/>
        </w:rPr>
        <w:t>6、信用记录：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pPr>
      <w:r>
        <w:rPr>
          <w:rFonts w:ascii="仿宋_GB2312" w:hAnsi="仿宋_GB2312" w:cs="仿宋_GB2312" w:eastAsia="仿宋_GB2312"/>
        </w:rPr>
        <w:t>8、书面声明：无重大违法记录的书面声明：参加本次政府采购活动前三年内，在经营活动中没有重大违法记录声明。</w:t>
      </w:r>
    </w:p>
    <w:p>
      <w:pPr>
        <w:pStyle w:val="null3"/>
      </w:pPr>
      <w:r>
        <w:rPr>
          <w:rFonts w:ascii="仿宋_GB2312" w:hAnsi="仿宋_GB2312" w:cs="仿宋_GB2312" w:eastAsia="仿宋_GB2312"/>
        </w:rPr>
        <w:t>9、非联合体声明：本项目不接受联合体磋商（须提供声明函）。</w:t>
      </w:r>
    </w:p>
    <w:p>
      <w:pPr>
        <w:pStyle w:val="null3"/>
      </w:pPr>
      <w:r>
        <w:rPr>
          <w:rFonts w:ascii="仿宋_GB2312" w:hAnsi="仿宋_GB2312" w:cs="仿宋_GB2312" w:eastAsia="仿宋_GB2312"/>
        </w:rPr>
        <w:t>10、控股关系：单位负责人为同一人或者存在控股、管理关系的不同单位，不得同时参加本招标项目投标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西安市行政审批服务局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029-86785066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张哲、杨丹、张婷、刘少杰、傅武英、李琳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定额收取4000.00元，在领取《成交通知书》前，成交单位一次性支付给陕西正邦招标有限责任公司。 缴交渠道： 开户名称：陕西正邦招标有限责任公司 开户银行：平安银行西安分行营业部/平安银行西安分行 银行账号：30205380002126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西安市行政审批服务局</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联系电话：029-85578186转834</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对我市政务服务和营商环境工作效能进行季度监测并出具报告，每季度1份，共4份。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政务服务效能监测项目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标的名称：政务服务效能监测项目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一、采购内容</w:t>
            </w:r>
            <w:r>
              <w:rPr>
                <w:rFonts w:ascii="仿宋_GB2312" w:hAnsi="仿宋_GB2312" w:cs="仿宋_GB2312" w:eastAsia="仿宋_GB2312"/>
              </w:rPr>
              <w:t>:</w:t>
            </w:r>
          </w:p>
          <w:p>
            <w:pPr>
              <w:pStyle w:val="null3"/>
            </w:pPr>
            <w:r>
              <w:rPr>
                <w:rFonts w:ascii="仿宋_GB2312" w:hAnsi="仿宋_GB2312" w:cs="仿宋_GB2312" w:eastAsia="仿宋_GB2312"/>
              </w:rPr>
              <w:t xml:space="preserve"> </w:t>
            </w:r>
            <w:r>
              <w:rPr>
                <w:rFonts w:ascii="仿宋_GB2312" w:hAnsi="仿宋_GB2312" w:cs="仿宋_GB2312" w:eastAsia="仿宋_GB2312"/>
              </w:rPr>
              <w:t>对西安市政务服务</w:t>
            </w:r>
            <w:r>
              <w:rPr>
                <w:rFonts w:ascii="仿宋_GB2312" w:hAnsi="仿宋_GB2312" w:cs="仿宋_GB2312" w:eastAsia="仿宋_GB2312"/>
              </w:rPr>
              <w:t>和营商环境</w:t>
            </w:r>
            <w:r>
              <w:rPr>
                <w:rFonts w:ascii="仿宋_GB2312" w:hAnsi="仿宋_GB2312" w:cs="仿宋_GB2312" w:eastAsia="仿宋_GB2312"/>
              </w:rPr>
              <w:t>工作效能进行季度监测并出具报告，每季度一份。</w:t>
            </w:r>
          </w:p>
          <w:p>
            <w:pPr>
              <w:pStyle w:val="null3"/>
            </w:pPr>
            <w:r>
              <w:rPr>
                <w:rFonts w:ascii="仿宋_GB2312" w:hAnsi="仿宋_GB2312" w:cs="仿宋_GB2312" w:eastAsia="仿宋_GB2312"/>
              </w:rPr>
              <w:t xml:space="preserve"> </w:t>
            </w:r>
            <w:r>
              <w:rPr>
                <w:rFonts w:ascii="仿宋_GB2312" w:hAnsi="仿宋_GB2312" w:cs="仿宋_GB2312" w:eastAsia="仿宋_GB2312"/>
              </w:rPr>
              <w:t>二、主要功能或目标</w:t>
            </w:r>
            <w:r>
              <w:rPr>
                <w:rFonts w:ascii="仿宋_GB2312" w:hAnsi="仿宋_GB2312" w:cs="仿宋_GB2312" w:eastAsia="仿宋_GB2312"/>
              </w:rPr>
              <w:t>:</w:t>
            </w:r>
          </w:p>
          <w:p>
            <w:pPr>
              <w:pStyle w:val="null3"/>
              <w:ind w:firstLine="200"/>
            </w:pPr>
            <w:r>
              <w:rPr>
                <w:rFonts w:ascii="仿宋_GB2312" w:hAnsi="仿宋_GB2312" w:cs="仿宋_GB2312" w:eastAsia="仿宋_GB2312"/>
              </w:rPr>
              <w:t>对西安市政务服务</w:t>
            </w:r>
            <w:r>
              <w:rPr>
                <w:rFonts w:ascii="仿宋_GB2312" w:hAnsi="仿宋_GB2312" w:cs="仿宋_GB2312" w:eastAsia="仿宋_GB2312"/>
              </w:rPr>
              <w:t>和营商环境</w:t>
            </w:r>
            <w:r>
              <w:rPr>
                <w:rFonts w:ascii="仿宋_GB2312" w:hAnsi="仿宋_GB2312" w:cs="仿宋_GB2312" w:eastAsia="仿宋_GB2312"/>
              </w:rPr>
              <w:t>工作效能进行季度监测并出具分析报告，针对性提出优化政务服务</w:t>
            </w:r>
            <w:r>
              <w:rPr>
                <w:rFonts w:ascii="仿宋_GB2312" w:hAnsi="仿宋_GB2312" w:cs="仿宋_GB2312" w:eastAsia="仿宋_GB2312"/>
              </w:rPr>
              <w:t>和营商环境</w:t>
            </w:r>
            <w:r>
              <w:rPr>
                <w:rFonts w:ascii="仿宋_GB2312" w:hAnsi="仿宋_GB2312" w:cs="仿宋_GB2312" w:eastAsia="仿宋_GB2312"/>
              </w:rPr>
              <w:t>举措，推动全市政务服务</w:t>
            </w:r>
            <w:r>
              <w:rPr>
                <w:rFonts w:ascii="仿宋_GB2312" w:hAnsi="仿宋_GB2312" w:cs="仿宋_GB2312" w:eastAsia="仿宋_GB2312"/>
              </w:rPr>
              <w:t>和营商环境</w:t>
            </w:r>
            <w:r>
              <w:rPr>
                <w:rFonts w:ascii="仿宋_GB2312" w:hAnsi="仿宋_GB2312" w:cs="仿宋_GB2312" w:eastAsia="仿宋_GB2312"/>
              </w:rPr>
              <w:t>提质增效。</w:t>
            </w:r>
          </w:p>
          <w:p>
            <w:pPr>
              <w:pStyle w:val="null3"/>
            </w:pPr>
            <w:r>
              <w:rPr>
                <w:rFonts w:ascii="仿宋_GB2312" w:hAnsi="仿宋_GB2312" w:cs="仿宋_GB2312" w:eastAsia="仿宋_GB2312"/>
              </w:rPr>
              <w:t xml:space="preserve"> </w:t>
            </w:r>
            <w:r>
              <w:rPr>
                <w:rFonts w:ascii="仿宋_GB2312" w:hAnsi="仿宋_GB2312" w:cs="仿宋_GB2312" w:eastAsia="仿宋_GB2312"/>
              </w:rPr>
              <w:t>三、需满足的要求</w:t>
            </w:r>
            <w:r>
              <w:rPr>
                <w:rFonts w:ascii="仿宋_GB2312" w:hAnsi="仿宋_GB2312" w:cs="仿宋_GB2312" w:eastAsia="仿宋_GB2312"/>
              </w:rPr>
              <w:t>:</w:t>
            </w:r>
          </w:p>
          <w:p>
            <w:pPr>
              <w:pStyle w:val="null3"/>
            </w:pPr>
            <w:r>
              <w:rPr>
                <w:rFonts w:ascii="仿宋_GB2312" w:hAnsi="仿宋_GB2312" w:cs="仿宋_GB2312" w:eastAsia="仿宋_GB2312"/>
              </w:rPr>
              <w:t xml:space="preserve"> </w:t>
            </w:r>
            <w:r>
              <w:rPr>
                <w:rFonts w:ascii="仿宋_GB2312" w:hAnsi="仿宋_GB2312" w:cs="仿宋_GB2312" w:eastAsia="仿宋_GB2312"/>
                <w:sz w:val="21"/>
              </w:rPr>
              <w:t>1.结合国家、省、市优化政务服务提升行政效能和优化营商环境相关文件要求，合理设置监测指标，对我市政务服务和营商环境工作效能进行季度监测并出具报告。2.对我市政务服务和营商环境相关数据进行分析研究，查找政务服务和营商环境领域的薄弱环节，对标先进地区经验做法，提出合理的优化提升意见，推动我市政务服务提质增效、营商环境优化提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能满足本项目采购需求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能满足本项目采购需求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进度款，合同签订后，第一个季度服务期结束后，达到付款条件起10个工作日内，支付合同总金额的25.0%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进度款，第二个季度服务期结束后，达到付款条件起10个工作日内，支付合同总金额的25.0%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进度款，第三个季度服务期结束后，达到付款条件起10个工作日内，支付合同总金额的25.0%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进度款，第四个季度服务期结束后，达到付款条件起10个工作日内，支付合同总金额的25.0%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证项目存档使用供应商须提交纸质响应文件正本壹份、副本贰份。（2）纸质响应文件正、副本分别胶装递交，递交截止时间：开标后2个工作日之内，递交地址：陕西省西安市雁塔区朱雀大街南段69号长丰园三区5号楼9层9006室（3）若电子响应文件与纸质响应文件不一致的，以电子响应文件为准。 （2）根据《西安市关于促进政府采购公平竞争优化营商环境的通知》相关要求，供应商登记免费领取采购文件的，如不参与项目投标，应在递交投标（或响应）文件截止时间一日前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分公司参与投标时，须提供总公司出具的针对本项目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 磋商响应文件截止时间不足一年的可提供成立后任意时段的资产负债表），或其开标前六个月内基本存款账户开户银行出具的资信证明。（以上三种形式的资料提供任何一种即可）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供2025年8月至今已缴纳的至少一个月的纳税证明或完税证明，依法免税的单位应提供相关证明材料；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无重大违法记录的书面声明：参加本次政府采购活动前三年内，在经营活动中没有重大违法记录声明。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本项目不接受联合体磋商（须提供声明函）。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单位负责人为同一人或者存在控股、管理关系的不同单位，不得同时参加本招标项目投标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不存在其它不符合法律法规或招标文件规定的投标无效条款</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 供应商针对本项目提供整体服务工作方案，包括但不限于：①服务内容；②服务目标；③服务标准；④服务过程的重点难点分析及解决措施等。 二、评审标准：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评审内容 供应商针对本项目提供工作实施方案，包括但不限于：①日常数据统计②日常数据整理③日常数据汇报等工作。 二、评审标准：方案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供应商针对本项目配备合理、充足，有相关经验的专项小组以及专门负责此项目的负责人。 1.投⼊本项⽬负责人须为投标单位在职⼈员且具有大专及以上学历，提供近三个月社保及学历证书等证明材料，提供社保或学历证明材料，每提供一项计3分，本项最高计6分，否则不计分。 2.人员分工搭配合理，各岗位职责明确，满足调整需求，专业配置合理，确保本项目顺利实施，提供5人以上团队得9分，提供3-5人（不含5人）服务团队得5分，小于3人团队不得分，提供人员近三个月在本单位缴纳的社保证明及身份证明等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安全及保密承诺</w:t>
            </w:r>
          </w:p>
        </w:tc>
        <w:tc>
          <w:tcPr>
            <w:tcW w:type="dxa" w:w="2492"/>
          </w:tcPr>
          <w:p>
            <w:pPr>
              <w:pStyle w:val="null3"/>
            </w:pPr>
            <w:r>
              <w:rPr>
                <w:rFonts w:ascii="仿宋_GB2312" w:hAnsi="仿宋_GB2312" w:cs="仿宋_GB2312" w:eastAsia="仿宋_GB2312"/>
              </w:rPr>
              <w:t>针对本项目服务内容和要求，提供具有实质性作用的保密承诺 ，按照要求提供承诺得5分，未按要求或未提供不得分。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针对本项目质量保证措施方案，质量保证体系是否完备周全，保障措施及政策建议是否切合实际、协调配套、具有可操作性。 1.有具体可行的质量保证措施方案，方案具体、完整、可操作性强，根据响应情况得10分； 方案在可行性、具体性、完整性和可操作性每缺一项扣2.5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供应商提供2021年至今同类项目业绩，每提供1份得5分，满分 15分，不提供不得分； 注：业绩证明（以签订的合同或网站项目中标公告截图为准，须在磋商响应文件中附合同扫描件完整页或网站项目中标公告截图并加盖单位公章）弄虚作假者，取消其中标资格。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针对本项目中能提出建设性建议。1.方向明确、清晰，建议合理、全面，可行度高得4-6分；2.方向较明确、清晰，建议合理化较弱、可行度一般，得2-4分；3.发展方向和建议考虑欠缺，得0-2分；未提供的不得分。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针对本项目服务内容和要求，提供具有实质性提升的服务承诺及保证措施 。服务承诺及保证措施完善，每提供一项服务承诺得2.5分；最高得5分；每提供一项保证措施得2.5分；最高得5分。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价格评分统一采用低价优先法计算，即满足磋商文件要求且价格最低的磋商报价为评审基准价，其报价分值为满分。其他供应商的价格分统一按照下列公式计算： 价格评分＝(评审基准价/磋商报价)×报价分值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