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6F40B">
      <w:pPr>
        <w:pStyle w:val="3"/>
        <w:jc w:val="center"/>
        <w:rPr>
          <w:rFonts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</w:rPr>
        <w:t>实施方案</w:t>
      </w:r>
    </w:p>
    <w:bookmarkEnd w:id="0"/>
    <w:p w14:paraId="0E5D3333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（各供应商根据第三章招标项目技术、服务、商务及其他要求和第五章的“评审办法”，可自主编写服务方案）</w:t>
      </w:r>
    </w:p>
    <w:p w14:paraId="6CE90B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3FF7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2026-07-03T11:45:32Z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