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版本号：FMY-ZBDL-2026-01120260713001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管委会机关及城管执法大队桶装饮用水配送项目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FMY-ZBDL-2026-011</w:t>
      </w:r>
      <w:r>
        <w:br/>
      </w:r>
      <w:r>
        <w:br/>
      </w:r>
      <w:r>
        <w:br/>
      </w:r>
    </w:p>
    <w:p>
      <w:pPr>
        <w:pStyle w:val="null3"/>
        <w:jc w:val="center"/>
        <w:outlineLvl w:val="2"/>
      </w:pPr>
      <w:r>
        <w:rPr>
          <w:rFonts w:ascii="仿宋_GB2312" w:hAnsi="仿宋_GB2312" w:cs="仿宋_GB2312" w:eastAsia="仿宋_GB2312"/>
          <w:sz w:val="28"/>
          <w:b/>
        </w:rPr>
        <w:t>西安经济技术开发区党政办公室</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西安经济技术开发区党政办公室</w:t>
      </w:r>
      <w:r>
        <w:rPr>
          <w:rFonts w:ascii="仿宋_GB2312" w:hAnsi="仿宋_GB2312" w:cs="仿宋_GB2312" w:eastAsia="仿宋_GB2312"/>
        </w:rPr>
        <w:t>委托，拟对</w:t>
      </w:r>
      <w:r>
        <w:rPr>
          <w:rFonts w:ascii="仿宋_GB2312" w:hAnsi="仿宋_GB2312" w:cs="仿宋_GB2312" w:eastAsia="仿宋_GB2312"/>
        </w:rPr>
        <w:t>管委会机关及城管执法大队桶装饮用水配送项目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FMY-ZBDL-2026-011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管委会机关及城管执法大队桶装饮用水配送项目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管委会机关干部职工及城管执法大队人员饮水安全与办公需求，拟采购桶装饮用矿物质水配送。配送范围涵盖机关内设机构、管理服务机构及城管执法大队等单位，目前日消耗约107桶，月需求约2500桶，本次采购配送期限三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和授权代表：法定代表人（主要负责人）委托代理人参加投标时，应提供法定代表人（主要负责人）委托授权书和授权代表本单位证明（开标前六个月任意一月的个人养老保险缴纳证明）；法定代表人（主要负责人）亲自参加投标时，应提供法定代表人（主要负责人）身份证明书；</w:t>
      </w:r>
    </w:p>
    <w:p>
      <w:pPr>
        <w:pStyle w:val="null3"/>
      </w:pPr>
      <w:r>
        <w:rPr>
          <w:rFonts w:ascii="仿宋_GB2312" w:hAnsi="仿宋_GB2312" w:cs="仿宋_GB2312" w:eastAsia="仿宋_GB2312"/>
        </w:rPr>
        <w:t>2、资格证书：投标人为所投产品生产厂家的提供有效的《食品生产许可证》；投标人为经销商或代理的提供投标人有效的《食品经营许可证》（须包含预包装食品销售）或《仅销售预包装食品经营者备案表》、所投产品生产厂家有效的的《食品生产许可证》；</w:t>
      </w:r>
    </w:p>
    <w:p>
      <w:pPr>
        <w:pStyle w:val="null3"/>
      </w:pPr>
      <w:r>
        <w:rPr>
          <w:rFonts w:ascii="仿宋_GB2312" w:hAnsi="仿宋_GB2312" w:cs="仿宋_GB2312" w:eastAsia="仿宋_GB2312"/>
        </w:rPr>
        <w:t>3、信用记录：投标人不得被“信用中国”（www.creditchina.gov.cn）列入重大税收违法案件当事人名单；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4、控股管理关系：单位负责人为同一人或者存在直接控股、管理关系的不同供应商，不得参加同一合同包下的政府采购活动；</w:t>
      </w:r>
    </w:p>
    <w:p>
      <w:pPr>
        <w:pStyle w:val="null3"/>
      </w:pPr>
      <w:r>
        <w:rPr>
          <w:rFonts w:ascii="仿宋_GB2312" w:hAnsi="仿宋_GB2312" w:cs="仿宋_GB2312" w:eastAsia="仿宋_GB2312"/>
        </w:rPr>
        <w:t>5、联合体：本项目不接受联合体。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西安经济技术开发区党政办公室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西安经济技术开发区明光路与凤城十二路凯瑞F座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029-83661992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陕西省西安市新城区长乐中路38号金花新都汇A座7楼701室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杨海蜂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19371441421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单位支付，参考《国家计委关于印发〈招标代理服务费管理暂行办法〉的通知》（计价格【2002】1980号）、《国家发展和改革委员会办公厅关于招标代理服务收费有关问题的通知》（发改办价格〔2003〕857号）规定按标准收取，不足陆仟元按陆仟元收取。 账户信息： 银行户名:陕西方铭壹工程项目管理有限公司 开户银行:中国邮政储蓄银行股份有限公司西安市电子城支行 账户号码: 961006010012728952 转账事由：项目编号＋代理服务费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西安经济技术开发区党政办公室</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西安经济技术开发区党政办公室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西安经济技术开发区党政办公室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陕西方铭壹工程项目管理有限公司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按照《财政部关于进一步加强政府采购需求和履约脸收管理的指导意见》(财库(2016)205号)的要求进行验收。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联系人：杨海蜂</w:t>
      </w:r>
    </w:p>
    <w:p>
      <w:pPr>
        <w:pStyle w:val="null3"/>
      </w:pPr>
      <w:r>
        <w:rPr>
          <w:rFonts w:ascii="仿宋_GB2312" w:hAnsi="仿宋_GB2312" w:cs="仿宋_GB2312" w:eastAsia="仿宋_GB2312"/>
        </w:rPr>
        <w:t>联系电话：19371441421</w:t>
      </w:r>
    </w:p>
    <w:p>
      <w:pPr>
        <w:pStyle w:val="null3"/>
      </w:pPr>
      <w:r>
        <w:rPr>
          <w:rFonts w:ascii="仿宋_GB2312" w:hAnsi="仿宋_GB2312" w:cs="仿宋_GB2312" w:eastAsia="仿宋_GB2312"/>
        </w:rPr>
        <w:t>地址：陕西省西安市新城区长乐中路38号金花新都汇A座7楼701室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管委会机关干部职工及城管执法大队人员饮水安全与办公需求，拟采购桶装饮用矿物质水配送。配送范围涵盖机关内设机构、管理服务机构及城管执法大队等单位，目前日消耗约107桶，月需求约2500桶，本次采购配送期限三年。</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945,000.00</w:t>
      </w:r>
    </w:p>
    <w:p>
      <w:pPr>
        <w:pStyle w:val="null3"/>
      </w:pPr>
      <w:r>
        <w:rPr>
          <w:rFonts w:ascii="仿宋_GB2312" w:hAnsi="仿宋_GB2312" w:cs="仿宋_GB2312" w:eastAsia="仿宋_GB2312"/>
        </w:rPr>
        <w:t>采购包最高限价（元）: 945,000.00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管委会机关及城管执法大队桶装饮用水配送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标的名称：管委会机关及城管执法大队桶装饮用水配送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本项目核心产品：</w:t>
            </w:r>
            <w:r>
              <w:rPr>
                <w:rFonts w:ascii="仿宋_GB2312" w:hAnsi="仿宋_GB2312" w:cs="仿宋_GB2312" w:eastAsia="仿宋_GB2312"/>
                <w:sz w:val="20"/>
              </w:rPr>
              <w:t>桶装饮用水</w:t>
            </w:r>
          </w:p>
          <w:p>
            <w:pPr>
              <w:pStyle w:val="null3"/>
              <w:jc w:val="both"/>
            </w:pPr>
            <w:r>
              <w:rPr>
                <w:rFonts w:ascii="仿宋_GB2312" w:hAnsi="仿宋_GB2312" w:cs="仿宋_GB2312" w:eastAsia="仿宋_GB2312"/>
                <w:sz w:val="20"/>
              </w:rPr>
              <w:t>一、采购内容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本次采购的桶装饮用水为</w:t>
            </w:r>
            <w:r>
              <w:rPr>
                <w:rFonts w:ascii="仿宋_GB2312" w:hAnsi="仿宋_GB2312" w:cs="仿宋_GB2312" w:eastAsia="仿宋_GB2312"/>
                <w:sz w:val="20"/>
                <w:b/>
              </w:rPr>
              <w:t>矿物质水</w:t>
            </w:r>
            <w:r>
              <w:rPr>
                <w:rFonts w:ascii="仿宋_GB2312" w:hAnsi="仿宋_GB2312" w:cs="仿宋_GB2312" w:eastAsia="仿宋_GB2312"/>
                <w:sz w:val="20"/>
              </w:rPr>
              <w:t>，容量为</w:t>
            </w:r>
            <w:r>
              <w:rPr>
                <w:rFonts w:ascii="仿宋_GB2312" w:hAnsi="仿宋_GB2312" w:cs="仿宋_GB2312" w:eastAsia="仿宋_GB2312"/>
                <w:sz w:val="20"/>
                <w:b/>
              </w:rPr>
              <w:t>18.9L</w:t>
            </w:r>
            <w:r>
              <w:rPr>
                <w:rFonts w:ascii="仿宋_GB2312" w:hAnsi="仿宋_GB2312" w:cs="仿宋_GB2312" w:eastAsia="仿宋_GB2312"/>
                <w:sz w:val="20"/>
              </w:rPr>
              <w:t>；质量</w:t>
            </w:r>
            <w:r>
              <w:rPr>
                <w:rFonts w:ascii="仿宋_GB2312" w:hAnsi="仿宋_GB2312" w:cs="仿宋_GB2312" w:eastAsia="仿宋_GB2312"/>
                <w:sz w:val="20"/>
              </w:rPr>
              <w:t>要求：须符合国家和地方现行规范标准和食品标准。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配送要求：供应商负责供应水并按照采购人要求时限内进行响应，送至各指定办公地点。</w:t>
            </w:r>
          </w:p>
          <w:p>
            <w:pPr>
              <w:pStyle w:val="null3"/>
              <w:jc w:val="both"/>
            </w:pPr>
            <w:r>
              <w:rPr>
                <w:rFonts w:ascii="仿宋_GB2312" w:hAnsi="仿宋_GB2312" w:cs="仿宋_GB2312" w:eastAsia="仿宋_GB2312"/>
                <w:sz w:val="20"/>
              </w:rPr>
              <w:t>3、采购总预算：</w:t>
            </w:r>
            <w:r>
              <w:rPr>
                <w:rFonts w:ascii="仿宋_GB2312" w:hAnsi="仿宋_GB2312" w:cs="仿宋_GB2312" w:eastAsia="仿宋_GB2312"/>
                <w:sz w:val="20"/>
              </w:rPr>
              <w:t>945,000.00</w:t>
            </w:r>
            <w:r>
              <w:rPr>
                <w:rFonts w:ascii="仿宋_GB2312" w:hAnsi="仿宋_GB2312" w:cs="仿宋_GB2312" w:eastAsia="仿宋_GB2312"/>
                <w:sz w:val="20"/>
              </w:rPr>
              <w:t>元，其中：管委会机关预算：</w:t>
            </w:r>
            <w:r>
              <w:rPr>
                <w:rFonts w:ascii="仿宋_GB2312" w:hAnsi="仿宋_GB2312" w:cs="仿宋_GB2312" w:eastAsia="仿宋_GB2312"/>
                <w:sz w:val="20"/>
              </w:rPr>
              <w:t>756</w:t>
            </w:r>
            <w:r>
              <w:rPr>
                <w:rFonts w:ascii="仿宋_GB2312" w:hAnsi="仿宋_GB2312" w:cs="仿宋_GB2312" w:eastAsia="仿宋_GB2312"/>
                <w:sz w:val="20"/>
              </w:rPr>
              <w:t>,000.00</w:t>
            </w:r>
            <w:r>
              <w:rPr>
                <w:rFonts w:ascii="仿宋_GB2312" w:hAnsi="仿宋_GB2312" w:cs="仿宋_GB2312" w:eastAsia="仿宋_GB2312"/>
                <w:sz w:val="20"/>
              </w:rPr>
              <w:t>元；</w:t>
            </w:r>
            <w:r>
              <w:rPr>
                <w:rFonts w:ascii="仿宋_GB2312" w:hAnsi="仿宋_GB2312" w:cs="仿宋_GB2312" w:eastAsia="仿宋_GB2312"/>
                <w:sz w:val="20"/>
              </w:rPr>
              <w:t>城管执法大队</w:t>
            </w:r>
            <w:r>
              <w:rPr>
                <w:rFonts w:ascii="仿宋_GB2312" w:hAnsi="仿宋_GB2312" w:cs="仿宋_GB2312" w:eastAsia="仿宋_GB2312"/>
                <w:sz w:val="20"/>
              </w:rPr>
              <w:t>预算：</w:t>
            </w:r>
            <w:r>
              <w:rPr>
                <w:rFonts w:ascii="仿宋_GB2312" w:hAnsi="仿宋_GB2312" w:cs="仿宋_GB2312" w:eastAsia="仿宋_GB2312"/>
                <w:sz w:val="20"/>
              </w:rPr>
              <w:t>189,000.00元，配送期限三年。</w:t>
            </w:r>
          </w:p>
          <w:p>
            <w:pPr>
              <w:pStyle w:val="null3"/>
              <w:jc w:val="both"/>
            </w:pPr>
            <w:r>
              <w:rPr>
                <w:rFonts w:ascii="仿宋_GB2312" w:hAnsi="仿宋_GB2312" w:cs="仿宋_GB2312" w:eastAsia="仿宋_GB2312"/>
                <w:sz w:val="20"/>
              </w:rPr>
              <w:t>4、桶装饮用水（矿物质水）综合单价上限价：10.50元/桶。</w:t>
            </w:r>
          </w:p>
          <w:p>
            <w:pPr>
              <w:pStyle w:val="null3"/>
              <w:jc w:val="both"/>
            </w:pPr>
            <w:r>
              <w:rPr>
                <w:rFonts w:ascii="仿宋_GB2312" w:hAnsi="仿宋_GB2312" w:cs="仿宋_GB2312" w:eastAsia="仿宋_GB2312"/>
                <w:sz w:val="20"/>
                <w:b/>
              </w:rPr>
              <w:t>注：综合单价包含桶装饮用水（矿物质水）、包装、运输、装卸、配送、税金等全部费用。</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配送</w:t>
            </w:r>
            <w:r>
              <w:rPr>
                <w:rFonts w:ascii="仿宋_GB2312" w:hAnsi="仿宋_GB2312" w:cs="仿宋_GB2312" w:eastAsia="仿宋_GB2312"/>
                <w:sz w:val="20"/>
              </w:rPr>
              <w:t>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送水人员具有有效的健康证；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如相关检查部门更改饮用水的检查指标，供应商也需无条件配合采购人，并提供相关合格资质（以具体检查标准为准）；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供应商须每天检查管委会水的饮用情况，及时做好配送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、本次采购的</w:t>
            </w:r>
            <w:r>
              <w:rPr>
                <w:rFonts w:ascii="仿宋_GB2312" w:hAnsi="仿宋_GB2312" w:cs="仿宋_GB2312" w:eastAsia="仿宋_GB2312"/>
                <w:sz w:val="20"/>
              </w:rPr>
              <w:t>桶装饮用矿物质水</w:t>
            </w:r>
            <w:r>
              <w:rPr>
                <w:rFonts w:ascii="仿宋_GB2312" w:hAnsi="仿宋_GB2312" w:cs="仿宋_GB2312" w:eastAsia="仿宋_GB2312"/>
                <w:sz w:val="20"/>
              </w:rPr>
              <w:t>必须符合《食品安全国家标准包装饮用水》</w:t>
            </w:r>
            <w:r>
              <w:rPr>
                <w:rFonts w:ascii="仿宋_GB2312" w:hAnsi="仿宋_GB2312" w:cs="仿宋_GB2312" w:eastAsia="仿宋_GB2312"/>
                <w:sz w:val="20"/>
              </w:rPr>
              <w:t>GB19298-2014标准要求。</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桶装水桶及桶盖</w:t>
            </w:r>
            <w:r>
              <w:rPr>
                <w:rFonts w:ascii="仿宋_GB2312" w:hAnsi="仿宋_GB2312" w:cs="仿宋_GB2312" w:eastAsia="仿宋_GB2312"/>
                <w:sz w:val="20"/>
              </w:rPr>
              <w:t>须符合《食品安全国家标准食品接触用塑料材料及制品》的规定</w:t>
            </w:r>
            <w:r>
              <w:rPr>
                <w:rFonts w:ascii="仿宋_GB2312" w:hAnsi="仿宋_GB2312" w:cs="仿宋_GB2312" w:eastAsia="仿宋_GB2312"/>
                <w:sz w:val="20"/>
              </w:rPr>
              <w:t>，</w:t>
            </w:r>
            <w:r>
              <w:rPr>
                <w:rFonts w:ascii="仿宋_GB2312" w:hAnsi="仿宋_GB2312" w:cs="仿宋_GB2312" w:eastAsia="仿宋_GB2312"/>
                <w:sz w:val="20"/>
              </w:rPr>
              <w:t>桶装水桶及桶盖表面必须无黑点，无杂质，无斑点，无料渣，无缝隙，无漏水情况。</w:t>
            </w:r>
          </w:p>
          <w:p>
            <w:pPr>
              <w:pStyle w:val="null3"/>
              <w:jc w:val="both"/>
            </w:pPr>
            <w:r>
              <w:rPr>
                <w:rFonts w:ascii="仿宋_GB2312" w:hAnsi="仿宋_GB2312" w:cs="仿宋_GB2312" w:eastAsia="仿宋_GB2312"/>
                <w:sz w:val="20"/>
              </w:rPr>
              <w:t>三、商务要求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配送</w:t>
            </w:r>
            <w:r>
              <w:rPr>
                <w:rFonts w:ascii="仿宋_GB2312" w:hAnsi="仿宋_GB2312" w:cs="仿宋_GB2312" w:eastAsia="仿宋_GB2312"/>
                <w:sz w:val="20"/>
              </w:rPr>
              <w:t>期</w:t>
            </w:r>
            <w:r>
              <w:rPr>
                <w:rFonts w:ascii="仿宋_GB2312" w:hAnsi="仿宋_GB2312" w:cs="仿宋_GB2312" w:eastAsia="仿宋_GB2312"/>
                <w:sz w:val="20"/>
              </w:rPr>
              <w:t>限</w:t>
            </w:r>
            <w:r>
              <w:rPr>
                <w:rFonts w:ascii="仿宋_GB2312" w:hAnsi="仿宋_GB2312" w:cs="仿宋_GB2312" w:eastAsia="仿宋_GB2312"/>
                <w:sz w:val="20"/>
              </w:rPr>
              <w:t>：</w:t>
            </w:r>
            <w:r>
              <w:rPr>
                <w:rFonts w:ascii="仿宋_GB2312" w:hAnsi="仿宋_GB2312" w:cs="仿宋_GB2312" w:eastAsia="仿宋_GB2312"/>
                <w:sz w:val="20"/>
              </w:rPr>
              <w:t>自合同签订之日起</w:t>
            </w:r>
            <w:r>
              <w:rPr>
                <w:rFonts w:ascii="仿宋_GB2312" w:hAnsi="仿宋_GB2312" w:cs="仿宋_GB2312" w:eastAsia="仿宋_GB2312"/>
                <w:sz w:val="20"/>
              </w:rPr>
              <w:t>3 年。</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配送</w:t>
            </w:r>
            <w:r>
              <w:rPr>
                <w:rFonts w:ascii="仿宋_GB2312" w:hAnsi="仿宋_GB2312" w:cs="仿宋_GB2312" w:eastAsia="仿宋_GB2312"/>
                <w:sz w:val="20"/>
              </w:rPr>
              <w:t>地点：采购人指定地点。</w:t>
            </w:r>
          </w:p>
          <w:p>
            <w:pPr>
              <w:pStyle w:val="null3"/>
            </w:pPr>
            <w:r>
              <w:rPr>
                <w:rFonts w:ascii="仿宋_GB2312" w:hAnsi="仿宋_GB2312" w:cs="仿宋_GB2312" w:eastAsia="仿宋_GB2312"/>
                <w:sz w:val="20"/>
              </w:rPr>
              <w:t>3、付款方式：</w:t>
            </w:r>
            <w:r>
              <w:rPr>
                <w:rFonts w:ascii="仿宋_GB2312" w:hAnsi="仿宋_GB2312" w:cs="仿宋_GB2312" w:eastAsia="仿宋_GB2312"/>
                <w:sz w:val="20"/>
              </w:rPr>
              <w:t>每月</w:t>
            </w:r>
            <w:r>
              <w:rPr>
                <w:rFonts w:ascii="仿宋_GB2312" w:hAnsi="仿宋_GB2312" w:cs="仿宋_GB2312" w:eastAsia="仿宋_GB2312"/>
                <w:sz w:val="20"/>
              </w:rPr>
              <w:t>据实结算。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 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进度款，1.合同款的支付:供应商每月月初向采购人提供上月送水原始记录（水票），经核对无误之后，根据实际配送数量与中标单价据实结算。 2.采购人每次付款前，供应商必须开具全额增值税发票给甲方，未按照采购人要求开具发票，采购人可顺延付款时间不承担违约责任，由此造成的损失由供应商承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须达到国家和地方现行规范标准和食品标准。所供饮用矿物质水水质必须符合《食品安全国家标准包装饮用水》GB19298-2014；2.满足招标文件要求； 3.满足采购人的需求。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在保质期内若非由于甲方保存或操作不当所造成的质量问题，乙方对其产品质量负全部责任。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2.若未能在交货期内完成合同规定的义务，由此对招标人造成的延误和一切损失，由中标人承担和赔偿。 3.未按合同要求提供产品质量，不能满足标准，招标人有权终止合同，并对中标单位违约行为进行追究，同时按《中华人民共和国政府采购法》的有关规定进行处罚。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3.5.0、投标人所填报的单价不得超过桶装饮用水（矿物质水）综合单价上限价：10.50元/桶，否则按废标处理。3.5.1、各投标人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投标文件，同时，中标单位领取中标通知书时，应线下提交纸质版投标文件，正本壹份、副本贰套、电子版壹套（U盘）至代理机构。 线上电子投标文件与纸质投标文件一致;若正本和副本不符，以正本为准。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1、在中华人民共和国境内注册，依法取得并有效存续的营业执照（含电子营业执照）\事业单位法人证书\民办非企业单位登记证书\非企业专业服务机构执业许可证等。 2、财务状况报告（任选其一）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（2）提交投标文件截止时间六个月内其基本账户开户银行出具的资信证明（附基本存款账户信息）。 （3）信用担保机构出具的投标担保函。 3、社会保障资金缴纳证明：提交投标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证明文件，证明其依法不需要缴纳社会保障资金） 4、税收缴纳证明：提交投标文件截止时间前六个月内至少一个月的纳税证明或完税证明（增值税、企业所得税至少提供一种），纳税证明或完税证明上应有代收机构或税务机关的公章或业务专用章。（依法免税的供应商，应提供相应证明文件，证明其依法免税） 5、提供具有履行合同所必需的设备和专业技术能力的承诺。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 （1）提供2024年或2025年度经审计的财务会计报告（包括审计报告、资产负债表、利润表、现金流量表、所有者权益变动表及附注，成立时间至提交投标文件截止时间不足一年的可提供成立后任意时段的资产负债表）。 注：根据“财办〔2022〕32号、财会〔2023〕15号”的规定，审计报告须在注册会计师行业统一监管平台进行自动赋码验证，未赋码的视为审计报告无效。 （2）提交投标文件截止时间六个月内其基本账户开户银行出具的资信证明（附基本存款账户信息）。 （3）信用担保机构出具的投标担保函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 供应商承诺书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法定代表人和授权代表</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和授权代表本单位证明（开标前六个月任意一月的个人养老保险缴纳证明）；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投标人为所投产品生产厂家的提供有效的《食品生产许可证》；投标人为经销商或代理的提供投标人有效的《食品经营许可证》（须包含预包装食品销售）或《仅销售预包装食品经营者备案表》、所投产品生产厂家有效的的《食品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被“信用中国”（www.creditchina.gov.cn）列入重大税收违法案件当事人名单；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中小企业声明函 业绩一览表 资格证明文件 分项报价表-附表 投标函 残疾人福利性单位声明函 技术、服务、商务及其他要求应答表 标的清单 关于符合本国产品标准的声明函 投标文件封面 项目实施方案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投标报价不得高于采购预算或最高限价(最高含税完全综合单价限价)，且只能有一个有效报价，不得提交选择性报价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应符合“招标文件要求”规定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应符合招标文件规定的其他实质性要求的</w:t>
            </w:r>
          </w:p>
        </w:tc>
        <w:tc>
          <w:tcPr>
            <w:tcW w:type="dxa" w:w="1661"/>
          </w:tcPr>
          <w:p>
            <w:pPr>
              <w:pStyle w:val="null3"/>
            </w:pPr>
            <w:r>
              <w:rPr>
                <w:rFonts w:ascii="仿宋_GB2312" w:hAnsi="仿宋_GB2312" w:cs="仿宋_GB2312" w:eastAsia="仿宋_GB2312"/>
              </w:rPr>
              <w:t>中小企业声明函 业绩一览表 资格证明文件 分项报价表-附表 投标函 残疾人福利性单位声明函 技术、服务、商务及其他要求应答表 标的清单 关于符合本国产品标准的声明函 投标文件封面 项目实施方案 供应商承诺书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针对本项目提供的质量保证措施内容，包括但不限于：(1)所投产品合法来源渠道证明材料(2)水桶清洗、消毒工作流程(3)质量保障措施及承诺； 以上(1)-(3)项内容齐全且无缺陷的得6分，每有一项内容缺项的扣2分;每存在一项缺陷的扣0.5分，扣完为止。无此项描述的不得分。 注：“缺陷"是指以下任意一种情形:数据、名称、专业术语及符号、文字表述错误或前后矛盾;或存在与招标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针对本项目提供的对服务方案内容，包括但不限于：（1）服务团队构成及职责(2)服务流程规划（3）服务保障措施(4)配送时效承诺; 以上(1)-(4)项内容齐全且无缺陷的得8分，每有一项内容缺项的扣2分;每存在一项缺陷的扣0.5分，扣完为止。无此项描述的不得分。 注：“缺陷'是指以下任意一种情形:数据、名称、专业术语及符号、文字表述错误;或前后矛盾;或存在与招标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针对本项目提供的售后保障措施，包括但不限于：(1)出现质量问题时的补救方案(2)投诉处理的时效性方案(3)售后服务人员配备; 以上(1)-(3)项内容齐全且无缺陷的得 6分，每有一项内容缺项的扣2分;每存在一项缺陷的扣0.5分，扣完为止。无此项描述的不得分。 注：“缺陷”是指以下任意一种情形：数据、名称、专业术语及符号、文字表述错误；或前后矛盾；或存在与招标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所投产品水质检测</w:t>
            </w:r>
          </w:p>
        </w:tc>
        <w:tc>
          <w:tcPr>
            <w:tcW w:type="dxa" w:w="2492"/>
          </w:tcPr>
          <w:p>
            <w:pPr>
              <w:pStyle w:val="null3"/>
            </w:pPr>
            <w:r>
              <w:rPr>
                <w:rFonts w:ascii="仿宋_GB2312" w:hAnsi="仿宋_GB2312" w:cs="仿宋_GB2312" w:eastAsia="仿宋_GB2312"/>
              </w:rPr>
              <w:t>投标人提供投标截止日前18个月内，具备CMA资质的第三方检测机构出具的所投产品有效检测报告，检测指标须涵盖菌落总数、重金属指标，每提供一份有效的检测报告得3分，最高是18分。未提供或提供的报告无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仓储设施</w:t>
            </w:r>
          </w:p>
        </w:tc>
        <w:tc>
          <w:tcPr>
            <w:tcW w:type="dxa" w:w="2492"/>
          </w:tcPr>
          <w:p>
            <w:pPr>
              <w:pStyle w:val="null3"/>
            </w:pPr>
            <w:r>
              <w:rPr>
                <w:rFonts w:ascii="仿宋_GB2312" w:hAnsi="仿宋_GB2312" w:cs="仿宋_GB2312" w:eastAsia="仿宋_GB2312"/>
              </w:rPr>
              <w:t>投标人具备合规专用仓储场所，分区分类存放桶装水，通风干燥、避光防尘、符合饮用水存放卫生规范，可提供真实有效的仓储场所实景照片及场地产权证明材料或租赁合同，各项条件齐全得满分得8分，只提供场所照片、场地产权证明材料或租赁合同中一项得4分。未提供或提供的不符合要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拟投入的配送人员</w:t>
            </w:r>
          </w:p>
        </w:tc>
        <w:tc>
          <w:tcPr>
            <w:tcW w:type="dxa" w:w="2492"/>
          </w:tcPr>
          <w:p>
            <w:pPr>
              <w:pStyle w:val="null3"/>
            </w:pPr>
            <w:r>
              <w:rPr>
                <w:rFonts w:ascii="仿宋_GB2312" w:hAnsi="仿宋_GB2312" w:cs="仿宋_GB2312" w:eastAsia="仿宋_GB2312"/>
              </w:rPr>
              <w:t>针对管委会机关及城管大队的点位多、楼层多、零散换水、响应要求高、工作日集中、节假日值守等特点，投标人拟投入的配送人员不少于1人。提供2名配送人员本单位的养老证明及健康证明材料得3分，3名配送人员本单位的养老证明及及健康证明材料得6分，4名及以上配送人员本单位的养老证明及及健康证明材料得9分。 未提供或提供的不符合要求，不得分。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供应商提供类似项目业绩，每提供一个得3分，满分15分。 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分项报价表-附表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价格分采用低价优先法计算，即满足招标文件要求且报价最低的供应商的价格为评标基准价，其价格分为满分。其他供应商的价格分统一按照下列公式计算：投标报价得分=30×（评标基准价/投标报价） 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分项报价表-附表</w:t>
            </w:r>
          </w:p>
          <w:p>
            <w:pPr>
              <w:pStyle w:val="null3"/>
            </w:pPr>
            <w:r>
              <w:rPr>
                <w:rFonts w:ascii="仿宋_GB2312" w:hAnsi="仿宋_GB2312" w:cs="仿宋_GB2312" w:eastAsia="仿宋_GB2312"/>
              </w:rPr>
              <w:t>供应商承诺书</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详见附件：分项报价表-附表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