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6929BE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2" w:firstLineChars="200"/>
        <w:jc w:val="center"/>
        <w:textAlignment w:val="baseline"/>
        <w:outlineLvl w:val="2"/>
        <w:rPr>
          <w:rFonts w:hint="default" w:ascii="仿宋" w:hAnsi="仿宋" w:eastAsia="仿宋" w:cs="仿宋"/>
          <w:sz w:val="24"/>
          <w:szCs w:val="24"/>
          <w:highlight w:val="none"/>
          <w:lang w:val="en-US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分项报价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表-附表</w:t>
      </w:r>
    </w:p>
    <w:bookmarkEnd w:id="0"/>
    <w:p w14:paraId="08390F6F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采购编号：</w:t>
      </w:r>
    </w:p>
    <w:p w14:paraId="3D8058FD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项目名称： </w:t>
      </w:r>
    </w:p>
    <w:p w14:paraId="60E1B2ED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包号：</w:t>
      </w:r>
    </w:p>
    <w:p w14:paraId="5B76C4A2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名称：</w:t>
      </w:r>
    </w:p>
    <w:tbl>
      <w:tblPr>
        <w:tblStyle w:val="3"/>
        <w:tblW w:w="101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4"/>
        <w:gridCol w:w="2112"/>
        <w:gridCol w:w="1398"/>
        <w:gridCol w:w="1615"/>
        <w:gridCol w:w="2093"/>
        <w:gridCol w:w="975"/>
      </w:tblGrid>
      <w:tr w14:paraId="4E336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  <w:jc w:val="center"/>
        </w:trPr>
        <w:tc>
          <w:tcPr>
            <w:tcW w:w="1964" w:type="dxa"/>
            <w:tcBorders>
              <w:tl2br w:val="single" w:color="auto" w:sz="4" w:space="0"/>
            </w:tcBorders>
            <w:noWrap w:val="0"/>
            <w:vAlign w:val="center"/>
          </w:tcPr>
          <w:p w14:paraId="67CCAC8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内容</w:t>
            </w:r>
          </w:p>
          <w:p w14:paraId="696CB0A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auto"/>
              <w:ind w:left="0" w:right="0"/>
              <w:textAlignment w:val="auto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2112" w:type="dxa"/>
            <w:noWrap w:val="0"/>
            <w:vAlign w:val="center"/>
          </w:tcPr>
          <w:p w14:paraId="7115EB6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桶装饮用水（矿物质水）综合</w:t>
            </w:r>
            <w:r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单价</w:t>
            </w:r>
          </w:p>
        </w:tc>
        <w:tc>
          <w:tcPr>
            <w:tcW w:w="1398" w:type="dxa"/>
            <w:noWrap w:val="0"/>
            <w:vAlign w:val="center"/>
          </w:tcPr>
          <w:p w14:paraId="5035C4F5">
            <w:pPr>
              <w:keepNext w:val="0"/>
              <w:keepLines w:val="0"/>
              <w:widowControl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桶容量</w:t>
            </w:r>
          </w:p>
          <w:p w14:paraId="4A267561">
            <w:pPr>
              <w:keepNext w:val="0"/>
              <w:keepLines w:val="0"/>
              <w:widowControl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（L）</w:t>
            </w:r>
          </w:p>
        </w:tc>
        <w:tc>
          <w:tcPr>
            <w:tcW w:w="1615" w:type="dxa"/>
            <w:noWrap w:val="0"/>
            <w:vAlign w:val="center"/>
          </w:tcPr>
          <w:p w14:paraId="3385619B">
            <w:pPr>
              <w:keepNext w:val="0"/>
              <w:keepLines w:val="0"/>
              <w:widowControl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数量</w:t>
            </w:r>
          </w:p>
          <w:p w14:paraId="425F40FF">
            <w:pPr>
              <w:keepNext w:val="0"/>
              <w:keepLines w:val="0"/>
              <w:widowControl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（暂定）</w:t>
            </w:r>
          </w:p>
        </w:tc>
        <w:tc>
          <w:tcPr>
            <w:tcW w:w="2093" w:type="dxa"/>
            <w:noWrap w:val="0"/>
            <w:vAlign w:val="center"/>
          </w:tcPr>
          <w:p w14:paraId="4637DAF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小计</w:t>
            </w:r>
          </w:p>
          <w:p w14:paraId="1EAB8F4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（元/年）</w:t>
            </w:r>
          </w:p>
        </w:tc>
        <w:tc>
          <w:tcPr>
            <w:tcW w:w="975" w:type="dxa"/>
            <w:noWrap w:val="0"/>
            <w:vAlign w:val="center"/>
          </w:tcPr>
          <w:p w14:paraId="4B7E631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配送</w:t>
            </w:r>
          </w:p>
          <w:p w14:paraId="2974DBB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期限</w:t>
            </w:r>
          </w:p>
        </w:tc>
      </w:tr>
      <w:tr w14:paraId="3E00D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  <w:jc w:val="center"/>
        </w:trPr>
        <w:tc>
          <w:tcPr>
            <w:tcW w:w="1964" w:type="dxa"/>
            <w:noWrap w:val="0"/>
            <w:vAlign w:val="center"/>
          </w:tcPr>
          <w:p w14:paraId="2884E6F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管委会机关</w:t>
            </w:r>
          </w:p>
        </w:tc>
        <w:tc>
          <w:tcPr>
            <w:tcW w:w="2112" w:type="dxa"/>
            <w:vMerge w:val="restart"/>
            <w:noWrap w:val="0"/>
            <w:vAlign w:val="center"/>
          </w:tcPr>
          <w:p w14:paraId="2BF5680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（元/桶）</w:t>
            </w:r>
          </w:p>
        </w:tc>
        <w:tc>
          <w:tcPr>
            <w:tcW w:w="1398" w:type="dxa"/>
            <w:noWrap w:val="0"/>
            <w:vAlign w:val="center"/>
          </w:tcPr>
          <w:p w14:paraId="099413EC">
            <w:pPr>
              <w:keepNext w:val="0"/>
              <w:keepLines w:val="0"/>
              <w:widowControl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baseline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18.9</w:t>
            </w:r>
          </w:p>
        </w:tc>
        <w:tc>
          <w:tcPr>
            <w:tcW w:w="1615" w:type="dxa"/>
            <w:noWrap w:val="0"/>
            <w:vAlign w:val="center"/>
          </w:tcPr>
          <w:p w14:paraId="0060AE9E">
            <w:pPr>
              <w:keepNext w:val="0"/>
              <w:keepLines w:val="0"/>
              <w:widowControl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24000桶/年</w:t>
            </w:r>
          </w:p>
        </w:tc>
        <w:tc>
          <w:tcPr>
            <w:tcW w:w="2093" w:type="dxa"/>
            <w:noWrap w:val="0"/>
            <w:vAlign w:val="center"/>
          </w:tcPr>
          <w:p w14:paraId="5679936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</w:t>
            </w:r>
          </w:p>
        </w:tc>
        <w:tc>
          <w:tcPr>
            <w:tcW w:w="975" w:type="dxa"/>
            <w:noWrap w:val="0"/>
            <w:vAlign w:val="center"/>
          </w:tcPr>
          <w:p w14:paraId="44725A5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3年</w:t>
            </w:r>
          </w:p>
        </w:tc>
      </w:tr>
      <w:tr w14:paraId="5D161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  <w:jc w:val="center"/>
        </w:trPr>
        <w:tc>
          <w:tcPr>
            <w:tcW w:w="1964" w:type="dxa"/>
            <w:noWrap w:val="0"/>
            <w:vAlign w:val="center"/>
          </w:tcPr>
          <w:p w14:paraId="21714F9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城管执法大队</w:t>
            </w:r>
          </w:p>
        </w:tc>
        <w:tc>
          <w:tcPr>
            <w:tcW w:w="2112" w:type="dxa"/>
            <w:vMerge w:val="continue"/>
            <w:noWrap w:val="0"/>
            <w:vAlign w:val="center"/>
          </w:tcPr>
          <w:p w14:paraId="14C237A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u w:val="single"/>
                <w:lang w:val="en-US" w:eastAsia="zh-CN"/>
              </w:rPr>
            </w:pPr>
          </w:p>
        </w:tc>
        <w:tc>
          <w:tcPr>
            <w:tcW w:w="1398" w:type="dxa"/>
            <w:noWrap w:val="0"/>
            <w:vAlign w:val="center"/>
          </w:tcPr>
          <w:p w14:paraId="48731BD5">
            <w:pPr>
              <w:keepNext w:val="0"/>
              <w:keepLines w:val="0"/>
              <w:widowControl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18.9</w:t>
            </w:r>
          </w:p>
        </w:tc>
        <w:tc>
          <w:tcPr>
            <w:tcW w:w="1615" w:type="dxa"/>
            <w:noWrap w:val="0"/>
            <w:vAlign w:val="center"/>
          </w:tcPr>
          <w:p w14:paraId="16C5C8F1">
            <w:pPr>
              <w:keepNext w:val="0"/>
              <w:keepLines w:val="0"/>
              <w:widowControl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6000桶/年</w:t>
            </w:r>
          </w:p>
        </w:tc>
        <w:tc>
          <w:tcPr>
            <w:tcW w:w="2093" w:type="dxa"/>
            <w:noWrap w:val="0"/>
            <w:vAlign w:val="center"/>
          </w:tcPr>
          <w:p w14:paraId="7984E28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</w:t>
            </w:r>
          </w:p>
        </w:tc>
        <w:tc>
          <w:tcPr>
            <w:tcW w:w="975" w:type="dxa"/>
            <w:noWrap w:val="0"/>
            <w:vAlign w:val="center"/>
          </w:tcPr>
          <w:p w14:paraId="2B7B9C1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3年</w:t>
            </w:r>
          </w:p>
        </w:tc>
      </w:tr>
      <w:tr w14:paraId="1221C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  <w:jc w:val="center"/>
        </w:trPr>
        <w:tc>
          <w:tcPr>
            <w:tcW w:w="1964" w:type="dxa"/>
            <w:noWrap w:val="0"/>
            <w:vAlign w:val="center"/>
          </w:tcPr>
          <w:p w14:paraId="24989A7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 xml:space="preserve">总报价（元） </w:t>
            </w:r>
          </w:p>
        </w:tc>
        <w:tc>
          <w:tcPr>
            <w:tcW w:w="8193" w:type="dxa"/>
            <w:gridSpan w:val="5"/>
            <w:noWrap w:val="0"/>
            <w:vAlign w:val="center"/>
          </w:tcPr>
          <w:p w14:paraId="5BD7794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大写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：</w:t>
            </w:r>
          </w:p>
          <w:p w14:paraId="6925177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 xml:space="preserve"> </w:t>
            </w:r>
          </w:p>
        </w:tc>
      </w:tr>
    </w:tbl>
    <w:p w14:paraId="2F1047A9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</w:rPr>
        <w:t>备注：</w:t>
      </w:r>
    </w:p>
    <w:p w14:paraId="79EE092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2" w:firstLineChars="200"/>
        <w:textAlignment w:val="auto"/>
        <w:rPr>
          <w:rFonts w:hint="default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1.小计（元/年）=桶装饮用水（矿物质水）综合单价*暂定数量</w:t>
      </w:r>
    </w:p>
    <w:p w14:paraId="1DF1F99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723" w:firstLineChars="300"/>
        <w:textAlignment w:val="auto"/>
        <w:rPr>
          <w:rFonts w:hint="eastAsia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投标总报价=两项小计之和（元/年）*配送期限3年。</w:t>
      </w:r>
    </w:p>
    <w:p w14:paraId="2975CA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  <w:t>2</w:t>
      </w:r>
      <w:r>
        <w:rPr>
          <w:rFonts w:hint="eastAsia" w:ascii="仿宋" w:hAnsi="仿宋" w:eastAsia="仿宋" w:cs="仿宋"/>
          <w:b/>
          <w:bCs/>
          <w:snapToGrid w:val="0"/>
          <w:color w:val="auto"/>
          <w:kern w:val="2"/>
          <w:sz w:val="24"/>
          <w:szCs w:val="24"/>
          <w:highlight w:val="none"/>
          <w:lang w:val="en-US" w:eastAsia="en-US" w:bidi="ar-SA"/>
        </w:rPr>
        <w:t>.</w:t>
      </w:r>
      <w:r>
        <w:rPr>
          <w:rFonts w:hint="eastAsia" w:ascii="仿宋" w:hAnsi="仿宋" w:eastAsia="仿宋" w:cs="仿宋"/>
          <w:b/>
          <w:bCs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  <w:t xml:space="preserve">投标总报价精确到小数点后两位，大小写不一致时，以大写为准； </w:t>
      </w:r>
    </w:p>
    <w:p w14:paraId="0FBD9A1D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napToGrid w:val="0"/>
          <w:color w:val="auto"/>
          <w:kern w:val="2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  <w:t>3</w:t>
      </w:r>
      <w:r>
        <w:rPr>
          <w:rFonts w:hint="eastAsia" w:ascii="仿宋" w:hAnsi="仿宋" w:eastAsia="仿宋" w:cs="仿宋"/>
          <w:b/>
          <w:bCs/>
          <w:snapToGrid w:val="0"/>
          <w:color w:val="auto"/>
          <w:kern w:val="2"/>
          <w:sz w:val="24"/>
          <w:szCs w:val="24"/>
          <w:highlight w:val="none"/>
          <w:lang w:val="en-US" w:eastAsia="en-US" w:bidi="ar-SA"/>
        </w:rPr>
        <w:t>.</w:t>
      </w:r>
      <w:r>
        <w:rPr>
          <w:rFonts w:hint="eastAsia" w:ascii="仿宋" w:hAnsi="仿宋" w:eastAsia="仿宋" w:cs="仿宋"/>
          <w:b/>
          <w:bCs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  <w:t>各投标单位投标单价如超过采购单价上限价，按废标处理。</w:t>
      </w:r>
    </w:p>
    <w:p w14:paraId="7F4ABB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  <w:t>4.（1）采购总预算：945,000.00元，其中：管委会机关预算：756,000.00元；城管执法大队预算：189,000.00元，配送期限三年。</w:t>
      </w:r>
    </w:p>
    <w:p w14:paraId="3B48D1D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3" w:firstLineChars="300"/>
        <w:textAlignment w:val="auto"/>
        <w:rPr>
          <w:rFonts w:hint="eastAsia" w:ascii="仿宋" w:hAnsi="仿宋" w:eastAsia="仿宋" w:cs="仿宋"/>
          <w:b/>
          <w:bCs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  <w:t>（2）桶装饮用水（矿物质水）综合</w:t>
      </w:r>
      <w:r>
        <w:rPr>
          <w:rFonts w:hint="default" w:ascii="仿宋" w:hAnsi="仿宋" w:eastAsia="仿宋" w:cs="仿宋"/>
          <w:b/>
          <w:bCs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  <w:t>单价</w:t>
      </w:r>
      <w:r>
        <w:rPr>
          <w:rFonts w:hint="eastAsia" w:ascii="仿宋" w:hAnsi="仿宋" w:eastAsia="仿宋" w:cs="仿宋"/>
          <w:b/>
          <w:bCs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  <w:t>上限价：10.5元/桶。</w:t>
      </w:r>
    </w:p>
    <w:p w14:paraId="088D84E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  <w:t>5、暂定数量为</w:t>
      </w: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每年30000桶（其中管委会机关24000桶/年，城管执法大队6000桶/年）</w:t>
      </w:r>
      <w:r>
        <w:rPr>
          <w:rFonts w:hint="eastAsia" w:ascii="仿宋" w:hAnsi="仿宋" w:eastAsia="仿宋" w:cs="仿宋"/>
          <w:b/>
          <w:bCs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  <w:t>，实际桶数按采购人需求为准，据实结算。</w:t>
      </w:r>
    </w:p>
    <w:p w14:paraId="189FBCD2">
      <w:pPr>
        <w:pStyle w:val="7"/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b w:val="0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b w:val="0"/>
          <w:color w:val="auto"/>
          <w:spacing w:val="0"/>
          <w:position w:val="0"/>
          <w:sz w:val="24"/>
          <w:szCs w:val="24"/>
          <w:highlight w:val="none"/>
        </w:rPr>
        <w:t>供 应 商：</w:t>
      </w:r>
      <w:r>
        <w:rPr>
          <w:rFonts w:hint="eastAsia" w:ascii="仿宋" w:hAnsi="仿宋" w:eastAsia="仿宋" w:cs="仿宋"/>
          <w:b w:val="0"/>
          <w:color w:val="auto"/>
          <w:spacing w:val="0"/>
          <w:position w:val="0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b w:val="0"/>
          <w:color w:val="auto"/>
          <w:spacing w:val="0"/>
          <w:position w:val="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pacing w:val="0"/>
          <w:position w:val="0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b w:val="0"/>
          <w:color w:val="auto"/>
          <w:spacing w:val="0"/>
          <w:position w:val="0"/>
          <w:sz w:val="24"/>
          <w:szCs w:val="24"/>
          <w:highlight w:val="none"/>
        </w:rPr>
        <w:t>（盖章）</w:t>
      </w:r>
    </w:p>
    <w:p w14:paraId="4D706E94">
      <w:pPr>
        <w:pStyle w:val="7"/>
        <w:shd w:val="clear"/>
        <w:spacing w:line="360" w:lineRule="auto"/>
        <w:ind w:firstLine="3120" w:firstLineChars="1300"/>
        <w:jc w:val="both"/>
        <w:rPr>
          <w:rFonts w:hint="eastAsia" w:ascii="仿宋" w:hAnsi="仿宋" w:eastAsia="仿宋" w:cs="仿宋"/>
          <w:b w:val="0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color w:val="auto"/>
          <w:spacing w:val="0"/>
          <w:position w:val="0"/>
          <w:sz w:val="24"/>
          <w:szCs w:val="24"/>
          <w:highlight w:val="none"/>
        </w:rPr>
        <w:t>法定代表人（单位负责人）</w:t>
      </w:r>
    </w:p>
    <w:p w14:paraId="5F1E4216">
      <w:pPr>
        <w:pStyle w:val="7"/>
        <w:shd w:val="clear"/>
        <w:spacing w:line="360" w:lineRule="auto"/>
        <w:ind w:firstLine="3120" w:firstLineChars="1300"/>
        <w:jc w:val="both"/>
        <w:rPr>
          <w:rFonts w:hint="eastAsia" w:ascii="仿宋" w:hAnsi="仿宋" w:eastAsia="仿宋" w:cs="仿宋"/>
          <w:b w:val="0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color w:val="auto"/>
          <w:spacing w:val="0"/>
          <w:position w:val="0"/>
          <w:sz w:val="24"/>
          <w:szCs w:val="24"/>
          <w:highlight w:val="none"/>
        </w:rPr>
        <w:t>或授权委托人：</w:t>
      </w:r>
      <w:r>
        <w:rPr>
          <w:rFonts w:hint="eastAsia" w:ascii="仿宋" w:hAnsi="仿宋" w:eastAsia="仿宋" w:cs="仿宋"/>
          <w:b w:val="0"/>
          <w:color w:val="auto"/>
          <w:spacing w:val="0"/>
          <w:position w:val="0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b w:val="0"/>
          <w:color w:val="auto"/>
          <w:spacing w:val="0"/>
          <w:position w:val="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spacing w:val="0"/>
          <w:position w:val="0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b w:val="0"/>
          <w:color w:val="auto"/>
          <w:spacing w:val="0"/>
          <w:position w:val="0"/>
          <w:sz w:val="24"/>
          <w:szCs w:val="24"/>
          <w:highlight w:val="none"/>
        </w:rPr>
        <w:t>（盖章或签字）</w:t>
      </w:r>
    </w:p>
    <w:p w14:paraId="106EC61D">
      <w:pPr>
        <w:spacing w:line="360" w:lineRule="auto"/>
        <w:jc w:val="center"/>
        <w:outlineLvl w:val="9"/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6E70A9"/>
    <w:rsid w:val="026E70A9"/>
    <w:rsid w:val="60F40441"/>
    <w:rsid w:val="79242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customStyle="1" w:styleId="5">
    <w:name w:val="仿宋正文"/>
    <w:basedOn w:val="1"/>
    <w:uiPriority w:val="0"/>
    <w:rPr>
      <w:rFonts w:eastAsia="仿宋" w:asciiTheme="minorAscii" w:hAnsiTheme="minorAscii"/>
      <w:sz w:val="30"/>
    </w:rPr>
  </w:style>
  <w:style w:type="paragraph" w:customStyle="1" w:styleId="6">
    <w:name w:val="宋体正文"/>
    <w:basedOn w:val="1"/>
    <w:uiPriority w:val="0"/>
    <w:rPr>
      <w:rFonts w:asciiTheme="minorAscii" w:hAnsiTheme="minorAscii"/>
      <w:sz w:val="28"/>
    </w:rPr>
  </w:style>
  <w:style w:type="paragraph" w:customStyle="1" w:styleId="7">
    <w:name w:val="目录"/>
    <w:basedOn w:val="1"/>
    <w:qFormat/>
    <w:uiPriority w:val="0"/>
    <w:pPr>
      <w:widowControl/>
      <w:jc w:val="center"/>
    </w:pPr>
    <w:rPr>
      <w:rFonts w:hAnsi="Times New Roman"/>
      <w:b/>
      <w:sz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2026-07-13T02:49:00Z</dcterms:created>
  <dc:creator>NANO259</dc:creator>
  <cp:lastModifiedBy>NANO259</cp:lastModifiedBy>
  <dcterms:modified xsi:type="dcterms:W3CDTF">2026-07-13T02:50:18Z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06555AE37B1641E08355D37C56541D1F_11</vt:lpwstr>
  </property>
  <property fmtid="{D5CDD505-2E9C-101B-9397-08002B2CF9AE}" pid="4" name="KSOTemplateDocerSaveRecord">
    <vt:lpwstr>eyJoZGlkIjoiOTNlODE0YjMzMDE0OTA1NTUxYzk0ODBhOTU4NGEwMWYiLCJ1c2VySWQiOiIxMjI2NDQzMzM3In0=</vt:lpwstr>
  </property>
</Properties>
</file>