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5CAC3C">
      <w:pPr>
        <w:spacing w:beforeLines="0" w:afterLines="0"/>
        <w:rPr>
          <w:rFonts w:hint="eastAsia"/>
          <w:sz w:val="21"/>
          <w:szCs w:val="24"/>
        </w:rPr>
      </w:pPr>
    </w:p>
    <w:p w14:paraId="31CC8E7D">
      <w:pPr>
        <w:tabs>
          <w:tab w:val="left" w:pos="720"/>
        </w:tabs>
        <w:spacing w:beforeLines="0" w:afterLines="0" w:line="360" w:lineRule="auto"/>
        <w:jc w:val="center"/>
        <w:rPr>
          <w:rFonts w:hint="eastAsia" w:ascii="楷体" w:hAnsi="楷体" w:eastAsia="楷体" w:cs="楷体"/>
          <w:sz w:val="44"/>
          <w:szCs w:val="44"/>
        </w:rPr>
      </w:pPr>
      <w:r>
        <w:rPr>
          <w:rFonts w:hint="eastAsia" w:ascii="楷体" w:hAnsi="楷体" w:eastAsia="楷体" w:cs="楷体"/>
          <w:sz w:val="36"/>
          <w:szCs w:val="36"/>
        </w:rPr>
        <w:t xml:space="preserve">  编号：</w:t>
      </w:r>
    </w:p>
    <w:p w14:paraId="6FFDE1C9">
      <w:pPr>
        <w:tabs>
          <w:tab w:val="left" w:pos="720"/>
        </w:tabs>
        <w:spacing w:beforeLines="0" w:afterLines="0" w:line="360" w:lineRule="auto"/>
        <w:jc w:val="center"/>
        <w:rPr>
          <w:rFonts w:hint="eastAsia" w:ascii="楷体" w:hAnsi="楷体" w:eastAsia="楷体" w:cs="楷体"/>
          <w:b/>
          <w:sz w:val="72"/>
          <w:szCs w:val="72"/>
        </w:rPr>
      </w:pPr>
    </w:p>
    <w:p w14:paraId="1D6FE028">
      <w:pPr>
        <w:pStyle w:val="3"/>
        <w:spacing w:beforeLines="0" w:afterLines="0"/>
        <w:rPr>
          <w:rFonts w:hint="eastAsia" w:ascii="楷体" w:hAnsi="楷体" w:eastAsia="楷体" w:cs="楷体"/>
          <w:b/>
          <w:sz w:val="72"/>
          <w:szCs w:val="72"/>
        </w:rPr>
      </w:pPr>
    </w:p>
    <w:p w14:paraId="22C05DC9">
      <w:pPr>
        <w:pStyle w:val="3"/>
        <w:spacing w:beforeLines="0" w:afterLines="0"/>
        <w:rPr>
          <w:rFonts w:hint="eastAsia" w:ascii="楷体" w:hAnsi="楷体" w:eastAsia="楷体" w:cs="楷体"/>
          <w:b/>
          <w:sz w:val="72"/>
          <w:szCs w:val="72"/>
        </w:rPr>
      </w:pPr>
    </w:p>
    <w:p w14:paraId="2B634C17">
      <w:pPr>
        <w:tabs>
          <w:tab w:val="left" w:pos="720"/>
        </w:tabs>
        <w:spacing w:beforeLines="0" w:afterLines="0" w:line="360" w:lineRule="auto"/>
        <w:jc w:val="center"/>
        <w:rPr>
          <w:rFonts w:hint="eastAsia" w:ascii="楷体" w:hAnsi="楷体" w:eastAsia="楷体" w:cs="楷体"/>
          <w:b/>
          <w:sz w:val="96"/>
          <w:szCs w:val="96"/>
        </w:rPr>
      </w:pPr>
      <w:r>
        <w:rPr>
          <w:rFonts w:hint="eastAsia" w:ascii="楷体" w:hAnsi="楷体" w:eastAsia="楷体" w:cs="楷体"/>
          <w:b/>
          <w:sz w:val="96"/>
          <w:szCs w:val="96"/>
        </w:rPr>
        <w:t>合 同 书</w:t>
      </w:r>
    </w:p>
    <w:p w14:paraId="0FFE80F4">
      <w:pPr>
        <w:tabs>
          <w:tab w:val="left" w:pos="720"/>
        </w:tabs>
        <w:spacing w:beforeLines="0" w:afterLines="0" w:line="360" w:lineRule="auto"/>
        <w:jc w:val="center"/>
        <w:rPr>
          <w:rFonts w:hint="eastAsia" w:ascii="楷体" w:hAnsi="楷体" w:eastAsia="楷体" w:cs="楷体"/>
          <w:b/>
          <w:sz w:val="44"/>
          <w:szCs w:val="44"/>
        </w:rPr>
      </w:pPr>
    </w:p>
    <w:p w14:paraId="3C713A6B">
      <w:pPr>
        <w:tabs>
          <w:tab w:val="left" w:pos="720"/>
        </w:tabs>
        <w:spacing w:beforeLines="0" w:afterLines="0" w:line="360" w:lineRule="auto"/>
        <w:jc w:val="center"/>
        <w:rPr>
          <w:rFonts w:hint="eastAsia" w:ascii="楷体" w:hAnsi="楷体" w:eastAsia="楷体" w:cs="楷体"/>
          <w:b/>
          <w:sz w:val="44"/>
          <w:szCs w:val="44"/>
        </w:rPr>
      </w:pPr>
    </w:p>
    <w:p w14:paraId="4082140C">
      <w:pPr>
        <w:tabs>
          <w:tab w:val="left" w:pos="720"/>
        </w:tabs>
        <w:spacing w:beforeLines="0" w:afterLines="0" w:line="360" w:lineRule="auto"/>
        <w:jc w:val="center"/>
        <w:rPr>
          <w:rFonts w:hint="eastAsia" w:ascii="楷体" w:hAnsi="楷体" w:eastAsia="楷体" w:cs="楷体"/>
          <w:b/>
          <w:sz w:val="44"/>
          <w:szCs w:val="44"/>
        </w:rPr>
      </w:pPr>
    </w:p>
    <w:p w14:paraId="67B65C32">
      <w:pPr>
        <w:tabs>
          <w:tab w:val="left" w:pos="720"/>
        </w:tabs>
        <w:spacing w:beforeLines="0" w:afterLines="0" w:line="360" w:lineRule="auto"/>
        <w:jc w:val="center"/>
        <w:rPr>
          <w:rFonts w:hint="eastAsia" w:ascii="楷体" w:hAnsi="楷体" w:eastAsia="楷体" w:cs="楷体"/>
          <w:b/>
          <w:sz w:val="44"/>
          <w:szCs w:val="44"/>
        </w:rPr>
      </w:pPr>
    </w:p>
    <w:p w14:paraId="1A8F000F">
      <w:pPr>
        <w:pStyle w:val="3"/>
        <w:spacing w:beforeLines="0" w:afterLines="0"/>
        <w:rPr>
          <w:rFonts w:hint="eastAsia"/>
          <w:sz w:val="21"/>
          <w:szCs w:val="24"/>
        </w:rPr>
      </w:pPr>
    </w:p>
    <w:p w14:paraId="0A3B61A0">
      <w:pPr>
        <w:pStyle w:val="2"/>
        <w:spacing w:beforeLines="0" w:afterLines="0" w:line="360" w:lineRule="auto"/>
        <w:ind w:firstLine="2560" w:firstLineChars="800"/>
        <w:jc w:val="both"/>
        <w:rPr>
          <w:rFonts w:hint="eastAsia" w:ascii="楷体" w:hAnsi="楷体" w:eastAsia="楷体" w:cs="楷体"/>
          <w:sz w:val="32"/>
          <w:szCs w:val="32"/>
        </w:rPr>
      </w:pPr>
      <w:r>
        <w:rPr>
          <w:rFonts w:hint="eastAsia" w:ascii="楷体" w:hAnsi="楷体" w:eastAsia="楷体" w:cs="楷体"/>
          <w:sz w:val="32"/>
          <w:szCs w:val="32"/>
        </w:rPr>
        <w:t>甲方名称：_______________</w:t>
      </w:r>
    </w:p>
    <w:p w14:paraId="01525456">
      <w:pPr>
        <w:spacing w:beforeLines="0" w:afterLines="0"/>
        <w:rPr>
          <w:rFonts w:hint="default"/>
          <w:sz w:val="21"/>
          <w:szCs w:val="24"/>
        </w:rPr>
      </w:pPr>
    </w:p>
    <w:p w14:paraId="1BA8CA18">
      <w:pPr>
        <w:pStyle w:val="2"/>
        <w:spacing w:beforeLines="0" w:afterLines="0" w:line="360" w:lineRule="auto"/>
        <w:ind w:firstLine="2560" w:firstLineChars="800"/>
        <w:jc w:val="both"/>
        <w:rPr>
          <w:rFonts w:hint="eastAsia" w:ascii="楷体" w:hAnsi="楷体" w:eastAsia="楷体" w:cs="楷体"/>
          <w:sz w:val="32"/>
          <w:szCs w:val="32"/>
          <w:u w:val="single"/>
        </w:rPr>
      </w:pPr>
      <w:r>
        <w:rPr>
          <w:rFonts w:hint="eastAsia" w:ascii="楷体" w:hAnsi="楷体" w:eastAsia="楷体" w:cs="楷体"/>
          <w:sz w:val="32"/>
          <w:szCs w:val="32"/>
        </w:rPr>
        <w:t>乙方名称：_______________</w:t>
      </w:r>
    </w:p>
    <w:p w14:paraId="3E66EAEB">
      <w:pPr>
        <w:pStyle w:val="2"/>
        <w:spacing w:beforeLines="0" w:afterLines="0" w:line="360" w:lineRule="auto"/>
        <w:ind w:firstLine="960" w:firstLineChars="300"/>
        <w:jc w:val="both"/>
        <w:rPr>
          <w:rFonts w:hint="eastAsia" w:ascii="楷体" w:hAnsi="楷体" w:eastAsia="楷体" w:cs="楷体"/>
          <w:sz w:val="32"/>
          <w:szCs w:val="32"/>
          <w:u w:val="single"/>
        </w:rPr>
      </w:pPr>
    </w:p>
    <w:p w14:paraId="184D13BB">
      <w:pPr>
        <w:pStyle w:val="2"/>
        <w:spacing w:beforeLines="0" w:afterLines="0"/>
        <w:rPr>
          <w:rFonts w:hint="eastAsia" w:ascii="楷体" w:hAnsi="楷体" w:eastAsia="楷体" w:cs="楷体"/>
          <w:sz w:val="44"/>
          <w:szCs w:val="44"/>
          <w:u w:val="single"/>
        </w:rPr>
      </w:pPr>
    </w:p>
    <w:p w14:paraId="2279752A">
      <w:pPr>
        <w:pStyle w:val="2"/>
        <w:spacing w:beforeLines="0" w:afterLines="0"/>
        <w:rPr>
          <w:rFonts w:hint="eastAsia" w:ascii="楷体" w:hAnsi="楷体" w:eastAsia="楷体" w:cs="楷体"/>
          <w:sz w:val="28"/>
          <w:szCs w:val="24"/>
        </w:rPr>
      </w:pPr>
    </w:p>
    <w:p w14:paraId="7561C670">
      <w:pPr>
        <w:pStyle w:val="2"/>
        <w:spacing w:beforeLines="0" w:afterLines="0" w:line="360" w:lineRule="auto"/>
        <w:rPr>
          <w:rFonts w:hint="eastAsia" w:ascii="楷体" w:hAnsi="楷体" w:eastAsia="楷体" w:cs="楷体"/>
          <w:sz w:val="28"/>
          <w:szCs w:val="24"/>
        </w:rPr>
      </w:pPr>
      <w:r>
        <w:rPr>
          <w:rFonts w:hint="eastAsia" w:ascii="楷体" w:hAnsi="楷体" w:eastAsia="楷体" w:cs="楷体"/>
          <w:sz w:val="28"/>
          <w:szCs w:val="24"/>
        </w:rPr>
        <w:t xml:space="preserve">  </w:t>
      </w:r>
    </w:p>
    <w:p w14:paraId="0B9428B6">
      <w:pPr>
        <w:widowControl/>
        <w:spacing w:beforeLines="0" w:afterLines="0" w:line="360" w:lineRule="auto"/>
        <w:jc w:val="left"/>
        <w:rPr>
          <w:rFonts w:hint="eastAsia" w:ascii="楷体" w:hAnsi="楷体" w:eastAsia="楷体" w:cs="楷体"/>
          <w:sz w:val="28"/>
          <w:szCs w:val="24"/>
        </w:rPr>
        <w:sectPr>
          <w:headerReference r:id="rId4" w:type="default"/>
          <w:pgSz w:w="11906" w:h="16838"/>
          <w:pgMar w:top="1440" w:right="1080" w:bottom="1440" w:left="1080" w:header="851" w:footer="992" w:gutter="0"/>
          <w:lnNumType w:countBy="0" w:distance="360"/>
          <w:cols w:space="720" w:num="1"/>
        </w:sectPr>
      </w:pPr>
    </w:p>
    <w:p w14:paraId="615E0769">
      <w:pPr>
        <w:pStyle w:val="2"/>
        <w:spacing w:beforeLines="0" w:afterLines="0" w:line="360" w:lineRule="auto"/>
        <w:rPr>
          <w:rFonts w:hint="eastAsia" w:ascii="宋体" w:hAnsi="宋体" w:eastAsia="宋体"/>
          <w:b/>
          <w:sz w:val="18"/>
          <w:szCs w:val="18"/>
        </w:rPr>
      </w:pPr>
      <w:r>
        <w:rPr>
          <w:rFonts w:hint="eastAsia" w:ascii="宋体" w:hAnsi="宋体" w:eastAsia="宋体"/>
          <w:b/>
          <w:sz w:val="36"/>
          <w:szCs w:val="36"/>
        </w:rPr>
        <w:t>采 购 合 同</w:t>
      </w:r>
    </w:p>
    <w:p w14:paraId="41328D83">
      <w:pPr>
        <w:spacing w:beforeLines="0" w:afterLines="0"/>
        <w:rPr>
          <w:rFonts w:hint="eastAsia"/>
          <w:sz w:val="21"/>
          <w:szCs w:val="24"/>
        </w:rPr>
      </w:pPr>
    </w:p>
    <w:p w14:paraId="5E0B0541">
      <w:pPr>
        <w:pStyle w:val="2"/>
        <w:spacing w:beforeLines="0" w:afterLines="0" w:line="360" w:lineRule="auto"/>
        <w:jc w:val="left"/>
        <w:rPr>
          <w:rFonts w:hint="eastAsia" w:ascii="仿宋" w:hAnsi="仿宋" w:eastAsia="仿宋" w:cs="仿宋"/>
          <w:sz w:val="28"/>
          <w:szCs w:val="28"/>
        </w:rPr>
      </w:pPr>
      <w:r>
        <w:rPr>
          <w:rFonts w:hint="eastAsia" w:ascii="仿宋" w:hAnsi="仿宋" w:eastAsia="仿宋" w:cs="仿宋"/>
          <w:sz w:val="28"/>
          <w:szCs w:val="28"/>
        </w:rPr>
        <w:t>甲方（采购方）                 乙方（供应商）</w:t>
      </w:r>
    </w:p>
    <w:p w14:paraId="0E8D0408">
      <w:pPr>
        <w:pStyle w:val="2"/>
        <w:spacing w:beforeLines="0" w:afterLines="0" w:line="360" w:lineRule="auto"/>
        <w:jc w:val="left"/>
        <w:rPr>
          <w:rFonts w:hint="eastAsia" w:ascii="仿宋" w:hAnsi="仿宋" w:eastAsia="仿宋" w:cs="仿宋"/>
          <w:sz w:val="28"/>
          <w:szCs w:val="28"/>
          <w:u w:val="single"/>
        </w:rPr>
      </w:pPr>
      <w:r>
        <w:rPr>
          <w:rFonts w:hint="eastAsia" w:ascii="仿宋" w:hAnsi="仿宋" w:eastAsia="仿宋" w:cs="仿宋"/>
          <w:sz w:val="28"/>
          <w:szCs w:val="28"/>
        </w:rPr>
        <w:t>甲方名称：                     乙方名称：</w:t>
      </w:r>
    </w:p>
    <w:p w14:paraId="56046CE3">
      <w:pPr>
        <w:pStyle w:val="2"/>
        <w:spacing w:beforeLines="0" w:afterLines="0" w:line="360" w:lineRule="auto"/>
        <w:jc w:val="left"/>
        <w:rPr>
          <w:rFonts w:hint="eastAsia" w:ascii="仿宋" w:hAnsi="仿宋" w:eastAsia="仿宋" w:cs="仿宋"/>
          <w:sz w:val="28"/>
          <w:szCs w:val="28"/>
          <w:u w:val="single"/>
        </w:rPr>
      </w:pPr>
      <w:r>
        <w:rPr>
          <w:rFonts w:hint="eastAsia" w:ascii="仿宋" w:hAnsi="仿宋" w:eastAsia="仿宋" w:cs="仿宋"/>
          <w:sz w:val="28"/>
          <w:szCs w:val="28"/>
        </w:rPr>
        <w:t>通信地址：                     通信地址：</w:t>
      </w:r>
    </w:p>
    <w:p w14:paraId="6C0882C3">
      <w:pPr>
        <w:pStyle w:val="2"/>
        <w:spacing w:beforeLines="0" w:afterLines="0" w:line="360" w:lineRule="auto"/>
        <w:jc w:val="left"/>
        <w:rPr>
          <w:rFonts w:hint="eastAsia" w:ascii="仿宋" w:hAnsi="仿宋" w:eastAsia="仿宋" w:cs="仿宋"/>
          <w:sz w:val="28"/>
          <w:szCs w:val="28"/>
          <w:u w:val="single"/>
        </w:rPr>
      </w:pPr>
      <w:r>
        <w:rPr>
          <w:rFonts w:hint="eastAsia" w:ascii="仿宋" w:hAnsi="仿宋" w:eastAsia="仿宋" w:cs="仿宋"/>
          <w:sz w:val="28"/>
          <w:szCs w:val="28"/>
        </w:rPr>
        <w:t>联系人：                       联系人：</w:t>
      </w:r>
    </w:p>
    <w:p w14:paraId="73DBA825">
      <w:pPr>
        <w:pStyle w:val="2"/>
        <w:spacing w:beforeLines="0" w:afterLines="0" w:line="360" w:lineRule="auto"/>
        <w:jc w:val="left"/>
        <w:rPr>
          <w:rFonts w:hint="eastAsia" w:ascii="仿宋" w:hAnsi="仿宋" w:eastAsia="仿宋" w:cs="仿宋"/>
          <w:sz w:val="28"/>
          <w:szCs w:val="28"/>
        </w:rPr>
      </w:pPr>
      <w:r>
        <w:rPr>
          <w:rFonts w:hint="eastAsia" w:ascii="仿宋" w:hAnsi="仿宋" w:eastAsia="仿宋" w:cs="仿宋"/>
          <w:sz w:val="28"/>
          <w:szCs w:val="28"/>
        </w:rPr>
        <w:t>电话、传真：                   电话、传真：</w:t>
      </w:r>
    </w:p>
    <w:p w14:paraId="3C9D6289">
      <w:pPr>
        <w:pStyle w:val="2"/>
        <w:spacing w:beforeLines="0" w:afterLines="0" w:line="288" w:lineRule="auto"/>
        <w:ind w:firstLine="560" w:firstLineChars="200"/>
        <w:jc w:val="left"/>
        <w:rPr>
          <w:rFonts w:hint="eastAsia" w:ascii="仿宋" w:hAnsi="仿宋" w:eastAsia="仿宋" w:cs="仿宋"/>
          <w:kern w:val="28"/>
          <w:sz w:val="28"/>
          <w:szCs w:val="28"/>
        </w:rPr>
      </w:pPr>
      <w:r>
        <w:rPr>
          <w:rFonts w:hint="eastAsia" w:ascii="仿宋" w:hAnsi="仿宋" w:eastAsia="仿宋" w:cs="仿宋"/>
          <w:sz w:val="28"/>
          <w:szCs w:val="28"/>
        </w:rPr>
        <w:t>根据《中华人民共和国民法典》及其他有关法律、法规，遵循平等、自愿、公平和诚信的原则，双方就下述项目范围与相关服务事项协商一致，订立本合同</w:t>
      </w:r>
      <w:r>
        <w:rPr>
          <w:rFonts w:hint="eastAsia" w:ascii="仿宋" w:hAnsi="仿宋" w:eastAsia="仿宋" w:cs="仿宋"/>
          <w:kern w:val="28"/>
          <w:sz w:val="28"/>
          <w:szCs w:val="28"/>
        </w:rPr>
        <w:t>：</w:t>
      </w:r>
    </w:p>
    <w:p w14:paraId="7C30BE43">
      <w:pPr>
        <w:spacing w:beforeLines="0" w:afterLines="0"/>
        <w:rPr>
          <w:rFonts w:hint="eastAsia" w:ascii="仿宋" w:hAnsi="仿宋" w:cs="仿宋"/>
          <w:sz w:val="28"/>
          <w:szCs w:val="28"/>
        </w:rPr>
      </w:pPr>
      <w:r>
        <w:rPr>
          <w:rFonts w:hint="eastAsia" w:ascii="宋体" w:hAnsi="宋体" w:cs="宋体"/>
          <w:b/>
          <w:sz w:val="28"/>
          <w:szCs w:val="28"/>
        </w:rPr>
        <w:t>一、</w:t>
      </w:r>
      <w:r>
        <w:rPr>
          <w:rFonts w:hint="eastAsia" w:ascii="宋体" w:hAnsi="宋体" w:cs="宋体"/>
          <w:b/>
          <w:sz w:val="28"/>
          <w:szCs w:val="28"/>
          <w:lang w:eastAsia="zh-CN"/>
        </w:rPr>
        <w:t>球管</w:t>
      </w:r>
      <w:r>
        <w:rPr>
          <w:rFonts w:hint="eastAsia" w:ascii="宋体" w:hAnsi="宋体" w:cs="宋体"/>
          <w:b/>
          <w:sz w:val="28"/>
          <w:szCs w:val="28"/>
        </w:rPr>
        <w:t>料号、数量及价格：</w:t>
      </w:r>
    </w:p>
    <w:p w14:paraId="57D2B2C1">
      <w:pPr>
        <w:spacing w:beforeLines="0" w:afterLines="0"/>
        <w:rPr>
          <w:rFonts w:hint="eastAsia"/>
          <w:sz w:val="21"/>
          <w:szCs w:val="24"/>
        </w:rPr>
      </w:pPr>
    </w:p>
    <w:tbl>
      <w:tblPr>
        <w:tblStyle w:val="6"/>
        <w:tblpPr w:leftFromText="180" w:rightFromText="180" w:vertAnchor="text" w:tblpX="316" w:tblpY="-21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2"/>
        <w:gridCol w:w="1559"/>
        <w:gridCol w:w="1559"/>
        <w:gridCol w:w="1559"/>
        <w:gridCol w:w="1917"/>
      </w:tblGrid>
      <w:tr w14:paraId="1B808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trPr>
        <w:tc>
          <w:tcPr>
            <w:tcW w:w="170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13977B4">
            <w:pPr>
              <w:spacing w:beforeLines="0" w:afterLines="0" w:line="600" w:lineRule="exact"/>
              <w:jc w:val="center"/>
              <w:rPr>
                <w:rFonts w:hint="eastAsia" w:ascii="仿宋" w:hAnsi="仿宋" w:eastAsia="仿宋" w:cs="仿宋"/>
                <w:sz w:val="28"/>
                <w:szCs w:val="28"/>
              </w:rPr>
            </w:pPr>
            <w:r>
              <w:rPr>
                <w:rFonts w:hint="eastAsia" w:ascii="仿宋" w:hAnsi="仿宋" w:eastAsia="仿宋" w:cs="仿宋"/>
                <w:sz w:val="28"/>
                <w:szCs w:val="28"/>
              </w:rPr>
              <w:t>球管料号</w:t>
            </w:r>
          </w:p>
        </w:tc>
        <w:tc>
          <w:tcPr>
            <w:tcW w:w="15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9906E88">
            <w:pPr>
              <w:spacing w:beforeLines="0" w:afterLines="0" w:line="600" w:lineRule="exact"/>
              <w:jc w:val="center"/>
              <w:rPr>
                <w:rFonts w:hint="eastAsia" w:ascii="仿宋" w:hAnsi="仿宋" w:eastAsia="仿宋" w:cs="仿宋"/>
                <w:sz w:val="28"/>
                <w:szCs w:val="28"/>
              </w:rPr>
            </w:pPr>
            <w:r>
              <w:rPr>
                <w:rFonts w:hint="eastAsia" w:ascii="仿宋" w:hAnsi="仿宋" w:eastAsia="仿宋" w:cs="仿宋"/>
                <w:sz w:val="28"/>
                <w:szCs w:val="28"/>
              </w:rPr>
              <w:t>GE 主机系统编号</w:t>
            </w:r>
          </w:p>
        </w:tc>
        <w:tc>
          <w:tcPr>
            <w:tcW w:w="15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3EAB1F">
            <w:pPr>
              <w:spacing w:beforeLines="0" w:afterLines="0" w:line="600" w:lineRule="exact"/>
              <w:jc w:val="center"/>
              <w:rPr>
                <w:rFonts w:hint="eastAsia" w:ascii="仿宋" w:hAnsi="仿宋" w:eastAsia="仿宋" w:cs="仿宋"/>
                <w:sz w:val="28"/>
                <w:szCs w:val="28"/>
              </w:rPr>
            </w:pPr>
            <w:r>
              <w:rPr>
                <w:rFonts w:hint="eastAsia" w:ascii="仿宋" w:hAnsi="仿宋" w:eastAsia="仿宋" w:cs="仿宋"/>
                <w:sz w:val="28"/>
                <w:szCs w:val="28"/>
              </w:rPr>
              <w:t>数量</w:t>
            </w:r>
          </w:p>
        </w:tc>
        <w:tc>
          <w:tcPr>
            <w:tcW w:w="15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D452D9C">
            <w:pPr>
              <w:spacing w:beforeLines="0" w:afterLines="0" w:line="600" w:lineRule="exact"/>
              <w:jc w:val="center"/>
              <w:rPr>
                <w:rFonts w:hint="eastAsia" w:ascii="仿宋" w:hAnsi="仿宋" w:eastAsia="仿宋" w:cs="仿宋"/>
                <w:sz w:val="28"/>
                <w:szCs w:val="28"/>
              </w:rPr>
            </w:pPr>
            <w:r>
              <w:rPr>
                <w:rFonts w:hint="eastAsia" w:ascii="仿宋" w:hAnsi="仿宋" w:eastAsia="仿宋" w:cs="仿宋"/>
                <w:sz w:val="28"/>
                <w:szCs w:val="28"/>
              </w:rPr>
              <w:t>单价(元</w:t>
            </w:r>
          </w:p>
        </w:tc>
        <w:tc>
          <w:tcPr>
            <w:tcW w:w="191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E6A706C">
            <w:pPr>
              <w:spacing w:beforeLines="0" w:afterLines="0" w:line="600" w:lineRule="exact"/>
              <w:jc w:val="center"/>
              <w:rPr>
                <w:rFonts w:hint="eastAsia" w:ascii="仿宋" w:hAnsi="仿宋" w:eastAsia="仿宋" w:cs="仿宋"/>
                <w:sz w:val="28"/>
                <w:szCs w:val="28"/>
              </w:rPr>
            </w:pPr>
            <w:r>
              <w:rPr>
                <w:rFonts w:hint="eastAsia" w:ascii="仿宋" w:hAnsi="仿宋" w:eastAsia="仿宋" w:cs="仿宋"/>
                <w:sz w:val="28"/>
                <w:szCs w:val="28"/>
              </w:rPr>
              <w:t>总价(元)</w:t>
            </w:r>
          </w:p>
        </w:tc>
      </w:tr>
      <w:tr w14:paraId="5E871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atLeast"/>
        </w:trPr>
        <w:tc>
          <w:tcPr>
            <w:tcW w:w="170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5C9D2F0">
            <w:pPr>
              <w:spacing w:beforeLines="0" w:afterLines="0" w:line="600" w:lineRule="exact"/>
              <w:jc w:val="center"/>
              <w:rPr>
                <w:rFonts w:hint="eastAsia" w:ascii="仿宋" w:hAnsi="仿宋" w:eastAsia="仿宋" w:cs="仿宋"/>
                <w:sz w:val="28"/>
                <w:szCs w:val="28"/>
              </w:rPr>
            </w:pPr>
          </w:p>
        </w:tc>
        <w:tc>
          <w:tcPr>
            <w:tcW w:w="15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D62C579">
            <w:pPr>
              <w:spacing w:beforeLines="0" w:afterLines="0" w:line="600" w:lineRule="exact"/>
              <w:jc w:val="center"/>
              <w:rPr>
                <w:rFonts w:hint="eastAsia" w:ascii="仿宋" w:hAnsi="仿宋" w:eastAsia="仿宋" w:cs="仿宋"/>
                <w:sz w:val="28"/>
                <w:szCs w:val="28"/>
              </w:rPr>
            </w:pPr>
          </w:p>
        </w:tc>
        <w:tc>
          <w:tcPr>
            <w:tcW w:w="15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60AE9E8">
            <w:pPr>
              <w:spacing w:beforeLines="0" w:afterLines="0" w:line="600" w:lineRule="exact"/>
              <w:jc w:val="center"/>
              <w:rPr>
                <w:rFonts w:hint="eastAsia" w:ascii="仿宋" w:hAnsi="仿宋" w:eastAsia="仿宋" w:cs="仿宋"/>
                <w:sz w:val="28"/>
                <w:szCs w:val="28"/>
              </w:rPr>
            </w:pPr>
          </w:p>
        </w:tc>
        <w:tc>
          <w:tcPr>
            <w:tcW w:w="15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4654209">
            <w:pPr>
              <w:spacing w:beforeLines="0" w:afterLines="0" w:line="600" w:lineRule="exact"/>
              <w:jc w:val="center"/>
              <w:rPr>
                <w:rFonts w:hint="eastAsia" w:ascii="仿宋" w:hAnsi="仿宋" w:eastAsia="仿宋" w:cs="仿宋"/>
                <w:sz w:val="28"/>
                <w:szCs w:val="28"/>
              </w:rPr>
            </w:pPr>
          </w:p>
        </w:tc>
        <w:tc>
          <w:tcPr>
            <w:tcW w:w="191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A1523F6">
            <w:pPr>
              <w:spacing w:beforeLines="0" w:afterLines="0" w:line="600" w:lineRule="exact"/>
              <w:jc w:val="center"/>
              <w:rPr>
                <w:rFonts w:hint="eastAsia" w:ascii="仿宋" w:hAnsi="仿宋" w:eastAsia="仿宋" w:cs="仿宋"/>
                <w:sz w:val="28"/>
                <w:szCs w:val="28"/>
              </w:rPr>
            </w:pPr>
          </w:p>
        </w:tc>
      </w:tr>
    </w:tbl>
    <w:p w14:paraId="2ED29A44">
      <w:pPr>
        <w:pStyle w:val="2"/>
        <w:spacing w:beforeLines="0" w:afterLines="0" w:line="288"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1、合同总款额，包括乙方设计、安装、随机零配件、标配工具、运输、保险、调试、培训、质保期服务费用、包括设备应依法缴纳的各项税费及合同实施过程中不可预见费用等。</w:t>
      </w:r>
    </w:p>
    <w:p w14:paraId="3F449DC9">
      <w:pPr>
        <w:spacing w:beforeLines="0" w:afterLines="0" w:line="288"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2、说明:甲方从乙方购买球管时，应当在所购球管安装调试完毕后7日内将旧管套退还给乙方。如果因甲方原因导致旧管套无法退还，甲方须另行支付该球管合同价的30%作为旧管套购买价。</w:t>
      </w:r>
    </w:p>
    <w:p w14:paraId="0197E4B5">
      <w:pPr>
        <w:spacing w:beforeLines="0" w:afterLines="0" w:line="600" w:lineRule="exact"/>
        <w:ind w:firstLine="562" w:firstLineChars="200"/>
        <w:rPr>
          <w:rFonts w:hint="eastAsia" w:ascii="宋体" w:hAnsi="宋体" w:cs="宋体"/>
          <w:b/>
          <w:sz w:val="28"/>
          <w:szCs w:val="28"/>
        </w:rPr>
      </w:pPr>
      <w:r>
        <w:rPr>
          <w:rFonts w:hint="eastAsia" w:ascii="宋体" w:hAnsi="宋体" w:cs="宋体"/>
          <w:b/>
          <w:sz w:val="28"/>
          <w:szCs w:val="28"/>
        </w:rPr>
        <w:t>二、质量担保:</w:t>
      </w:r>
    </w:p>
    <w:p w14:paraId="34017904">
      <w:pPr>
        <w:spacing w:beforeLines="0" w:afterLines="0" w:line="288"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乙方承诺本合同销售的球管为GE原厂全新球管，并且符合GE公司全球生产工艺方面的要求和产品在生产地装运时的产品说明书和/或使用说明书中的质量标准，没有任何材料和使用上的缺陷。</w:t>
      </w:r>
    </w:p>
    <w:p w14:paraId="5A213C64">
      <w:pPr>
        <w:spacing w:beforeLines="0" w:afterLines="0" w:line="600" w:lineRule="exact"/>
        <w:ind w:firstLine="562" w:firstLineChars="200"/>
        <w:rPr>
          <w:rFonts w:hint="eastAsia" w:ascii="宋体" w:hAnsi="宋体" w:cs="宋体"/>
          <w:b/>
          <w:sz w:val="28"/>
          <w:szCs w:val="28"/>
        </w:rPr>
      </w:pPr>
      <w:r>
        <w:rPr>
          <w:rFonts w:hint="eastAsia" w:ascii="宋体" w:hAnsi="宋体" w:cs="宋体"/>
          <w:b/>
          <w:sz w:val="28"/>
          <w:szCs w:val="28"/>
        </w:rPr>
        <w:t>三、球管服务(TUS)合同保用补偿:</w:t>
      </w:r>
    </w:p>
    <w:p w14:paraId="2D7BC5B8">
      <w:pPr>
        <w:spacing w:beforeLines="0" w:afterLines="0" w:line="288"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1、CT球管服务(TUS)合同保用补偿，乙方承诺，凡按本合同销售的球管应达到下表中规定的病人量/时间(先到为准)；</w:t>
      </w:r>
    </w:p>
    <w:tbl>
      <w:tblPr>
        <w:tblStyle w:val="6"/>
        <w:tblpPr w:leftFromText="180" w:rightFromText="180" w:vertAnchor="text" w:tblpX="283" w:tblpY="10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6"/>
        <w:gridCol w:w="5623"/>
      </w:tblGrid>
      <w:tr w14:paraId="65061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trPr>
        <w:tc>
          <w:tcPr>
            <w:tcW w:w="249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1470CAA">
            <w:pPr>
              <w:spacing w:beforeLines="0" w:afterLines="0" w:line="600" w:lineRule="exact"/>
              <w:jc w:val="center"/>
              <w:rPr>
                <w:rFonts w:hint="eastAsia" w:ascii="仿宋" w:hAnsi="仿宋" w:eastAsia="仿宋" w:cs="仿宋"/>
                <w:sz w:val="28"/>
                <w:szCs w:val="28"/>
              </w:rPr>
            </w:pPr>
            <w:r>
              <w:rPr>
                <w:rFonts w:hint="eastAsia" w:ascii="仿宋" w:hAnsi="仿宋" w:eastAsia="仿宋" w:cs="仿宋"/>
                <w:sz w:val="28"/>
                <w:szCs w:val="28"/>
              </w:rPr>
              <w:t>球管料号</w:t>
            </w:r>
          </w:p>
        </w:tc>
        <w:tc>
          <w:tcPr>
            <w:tcW w:w="562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B6F80DC">
            <w:pPr>
              <w:spacing w:beforeLines="0" w:afterLines="0" w:line="600" w:lineRule="exact"/>
              <w:jc w:val="center"/>
              <w:rPr>
                <w:rFonts w:hint="eastAsia" w:ascii="仿宋" w:hAnsi="仿宋" w:eastAsia="仿宋" w:cs="仿宋"/>
                <w:sz w:val="28"/>
                <w:szCs w:val="28"/>
              </w:rPr>
            </w:pPr>
            <w:r>
              <w:rPr>
                <w:rFonts w:hint="eastAsia" w:ascii="仿宋" w:hAnsi="仿宋" w:eastAsia="仿宋" w:cs="仿宋"/>
                <w:sz w:val="28"/>
                <w:szCs w:val="28"/>
              </w:rPr>
              <w:t>完全保证病人量/时间(先到为准)</w:t>
            </w:r>
          </w:p>
        </w:tc>
      </w:tr>
      <w:tr w14:paraId="2CA4A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8" w:hRule="atLeast"/>
        </w:trPr>
        <w:tc>
          <w:tcPr>
            <w:tcW w:w="249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5EB45C6">
            <w:pPr>
              <w:spacing w:beforeLines="0" w:afterLines="0" w:line="600" w:lineRule="exact"/>
              <w:jc w:val="center"/>
              <w:rPr>
                <w:rFonts w:hint="eastAsia" w:ascii="仿宋" w:hAnsi="仿宋" w:eastAsia="仿宋" w:cs="仿宋"/>
                <w:sz w:val="28"/>
                <w:szCs w:val="28"/>
              </w:rPr>
            </w:pPr>
          </w:p>
        </w:tc>
        <w:tc>
          <w:tcPr>
            <w:tcW w:w="562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19A572D">
            <w:pPr>
              <w:spacing w:beforeLines="0" w:afterLines="0" w:line="600" w:lineRule="exact"/>
              <w:jc w:val="center"/>
              <w:rPr>
                <w:rFonts w:hint="eastAsia" w:ascii="仿宋" w:hAnsi="仿宋" w:eastAsia="仿宋" w:cs="仿宋"/>
                <w:sz w:val="28"/>
                <w:szCs w:val="28"/>
              </w:rPr>
            </w:pPr>
            <w:r>
              <w:rPr>
                <w:rFonts w:hint="eastAsia" w:ascii="仿宋" w:hAnsi="仿宋" w:eastAsia="仿宋" w:cs="仿宋"/>
                <w:sz w:val="28"/>
                <w:szCs w:val="28"/>
              </w:rPr>
              <w:t>40000个病人或24个月(先到为准)</w:t>
            </w:r>
          </w:p>
        </w:tc>
      </w:tr>
    </w:tbl>
    <w:p w14:paraId="060E9A52">
      <w:pPr>
        <w:numPr>
          <w:ilvl w:val="0"/>
          <w:numId w:val="0"/>
        </w:numPr>
        <w:spacing w:beforeLines="0" w:afterLines="0" w:line="288"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2、自安装之日起，如在完全保证病人量/时间(先到为准)内出现无法使用的故障，乙方将免费为甲方更换GE原厂全新球管，直至乙方提供的全部球管累计病人量/时间达到完全保证病人量/时间为止。</w:t>
      </w:r>
    </w:p>
    <w:p w14:paraId="12CD10DA">
      <w:pPr>
        <w:numPr>
          <w:ilvl w:val="0"/>
          <w:numId w:val="0"/>
        </w:numPr>
        <w:spacing w:beforeLines="0" w:afterLines="0" w:line="288" w:lineRule="auto"/>
        <w:ind w:firstLine="612" w:firstLineChars="200"/>
        <w:rPr>
          <w:rFonts w:hint="eastAsia" w:ascii="仿宋" w:hAnsi="仿宋" w:eastAsia="仿宋" w:cs="仿宋"/>
          <w:spacing w:val="6"/>
          <w:sz w:val="28"/>
          <w:szCs w:val="28"/>
        </w:rPr>
      </w:pPr>
      <w:r>
        <w:rPr>
          <w:rFonts w:hint="eastAsia" w:ascii="仿宋" w:hAnsi="仿宋" w:eastAsia="仿宋" w:cs="仿宋"/>
          <w:spacing w:val="13"/>
          <w:sz w:val="28"/>
          <w:szCs w:val="28"/>
        </w:rPr>
        <w:t>3、远程连接：</w:t>
      </w:r>
      <w:r>
        <w:rPr>
          <w:rFonts w:hint="eastAsia" w:ascii="仿宋" w:hAnsi="仿宋" w:eastAsia="仿宋" w:cs="仿宋"/>
          <w:spacing w:val="6"/>
          <w:sz w:val="28"/>
          <w:szCs w:val="28"/>
        </w:rPr>
        <w:t>甲方同意将设备与 GE 医疗 InSite 智能数字化服务平台连接 (如果设备具有远程接入能力；甲方应在设备与 GE 医疗InSite智能数字化服务平台连接安装过程中予以配合支持)允许乙方远程访问设备，收集设备运行数据(如温湿度等)，以便乙方在甲方因设备故障而发生有偿服务需求时进行快速响应。甲方应负责为设备的正常运 行和远程接入提供安全稳定的网络环境。甲乙双方可以随时书面沟通以取消设备的远程连接，一经取消，乙方有权回收由乙方提供的网络连接设备，甲方应予配合支持。在甲方并非设备最终用户的情况下，甲方应将本条规定的内容告知最终用户，并取得最终用户关于设备远程连接的同意。(本条款适用于配有3.5M 及以上球管的CT 产品及全系列MR产品)；</w:t>
      </w:r>
    </w:p>
    <w:p w14:paraId="7E94E2DD">
      <w:pPr>
        <w:numPr>
          <w:ilvl w:val="0"/>
          <w:numId w:val="0"/>
        </w:numPr>
        <w:spacing w:beforeLines="0" w:afterLines="0" w:line="288" w:lineRule="auto"/>
        <w:ind w:firstLine="608" w:firstLineChars="200"/>
        <w:rPr>
          <w:rFonts w:hint="eastAsia" w:ascii="仿宋" w:hAnsi="仿宋" w:eastAsia="仿宋" w:cs="仿宋"/>
          <w:spacing w:val="6"/>
          <w:sz w:val="28"/>
          <w:szCs w:val="28"/>
        </w:rPr>
      </w:pPr>
      <w:r>
        <w:rPr>
          <w:rFonts w:hint="eastAsia" w:ascii="仿宋" w:hAnsi="仿宋" w:eastAsia="仿宋" w:cs="仿宋"/>
          <w:spacing w:val="12"/>
          <w:sz w:val="28"/>
          <w:szCs w:val="28"/>
        </w:rPr>
        <w:t>4、数据保护及使用：</w:t>
      </w:r>
      <w:r>
        <w:rPr>
          <w:rFonts w:hint="eastAsia" w:ascii="仿宋" w:hAnsi="仿宋" w:eastAsia="仿宋" w:cs="仿宋"/>
          <w:spacing w:val="6"/>
          <w:sz w:val="28"/>
          <w:szCs w:val="28"/>
        </w:rPr>
        <w:t>双方应共同遵守数据安全和个人信息保护方面适用的法律法规，依法履行各自的义务和责任。如果GE在对设备进行远程/现场维护或故障诊断的过程中，或者在被授予数据访问权限期间接触或接收到与患者、医疗专业人员、用户人员或其他使用设备或本合同项下服务的人员相关的个人信息 (以下合称“个人信息”)，GE应在相关法律法规和本合同允许的范围内使用、处理、保存和传输该等个人信息。如果相关法律法规有所要求，用户应在向GE提供个人信息前依法取得个人信息主体的同意，或者对相关个人信息进行去标识化处理等安全举措。为提供本合同项下服务之目的，GE可以依法收集和处理设备在运行和维护过程中产生的不包含个人信息的数据，包括设备的维护记录和日志报告等信息 (以下合称“设备数据”)，并将设备数据用于提供维修支持、提高运行效率、以及产品和服务的研发、改进和培训等合法用途。</w:t>
      </w:r>
    </w:p>
    <w:p w14:paraId="601C2AF5">
      <w:pPr>
        <w:spacing w:beforeLines="0" w:afterLines="0" w:line="500" w:lineRule="exact"/>
        <w:ind w:firstLine="602" w:firstLineChars="200"/>
        <w:rPr>
          <w:rFonts w:hint="eastAsia" w:ascii="仿宋" w:hAnsi="仿宋" w:eastAsia="仿宋" w:cs="仿宋"/>
          <w:b/>
          <w:sz w:val="30"/>
          <w:szCs w:val="30"/>
        </w:rPr>
      </w:pPr>
      <w:r>
        <w:rPr>
          <w:rFonts w:hint="eastAsia" w:ascii="仿宋" w:hAnsi="仿宋" w:eastAsia="仿宋" w:cs="仿宋"/>
          <w:b/>
          <w:sz w:val="30"/>
          <w:szCs w:val="30"/>
        </w:rPr>
        <w:t>五、验收</w:t>
      </w:r>
    </w:p>
    <w:p w14:paraId="281D5C5F">
      <w:pPr>
        <w:spacing w:beforeLines="0" w:afterLines="0" w:line="288"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交货安装完毕后后7个工作日内安排验收，由采购人或采购人认为需委托有资质的部门进行验收，按国家有关的规定、规范进行。如发现与谈判文件及合同条款不符的，经采购人确认产品不合格的，供应商应无条件更换，其他细则及技术资料。以签订的合同条款为准，经采购人确认合格后，出具合格报告，并凭该合格报告付款。</w:t>
      </w:r>
    </w:p>
    <w:p w14:paraId="77926C71">
      <w:pPr>
        <w:spacing w:beforeLines="0" w:afterLines="0" w:line="600" w:lineRule="exact"/>
        <w:ind w:firstLine="562" w:firstLineChars="200"/>
        <w:rPr>
          <w:rFonts w:hint="eastAsia" w:ascii="仿宋" w:hAnsi="仿宋" w:eastAsia="仿宋" w:cs="仿宋"/>
          <w:b/>
          <w:sz w:val="28"/>
          <w:szCs w:val="28"/>
        </w:rPr>
      </w:pPr>
      <w:r>
        <w:rPr>
          <w:rFonts w:hint="eastAsia" w:ascii="宋体" w:hAnsi="宋体" w:cs="宋体"/>
          <w:b/>
          <w:sz w:val="28"/>
          <w:szCs w:val="28"/>
        </w:rPr>
        <w:t>六、合同金额</w:t>
      </w:r>
      <w:r>
        <w:rPr>
          <w:rFonts w:hint="eastAsia" w:ascii="仿宋" w:hAnsi="仿宋" w:eastAsia="仿宋" w:cs="仿宋"/>
          <w:b/>
          <w:sz w:val="28"/>
          <w:szCs w:val="28"/>
        </w:rPr>
        <w:t>：</w:t>
      </w:r>
    </w:p>
    <w:p w14:paraId="5A5FDEB7">
      <w:pPr>
        <w:pStyle w:val="4"/>
        <w:spacing w:beforeLines="0" w:afterLines="0" w:line="288" w:lineRule="auto"/>
        <w:ind w:firstLine="560" w:firstLineChars="200"/>
        <w:rPr>
          <w:rFonts w:hint="eastAsia" w:ascii="仿宋" w:hAnsi="仿宋" w:eastAsia="仿宋" w:cs="仿宋"/>
          <w:color w:val="auto"/>
          <w:sz w:val="28"/>
          <w:szCs w:val="28"/>
          <w:u w:val="single"/>
        </w:rPr>
      </w:pPr>
      <w:r>
        <w:rPr>
          <w:rFonts w:hint="eastAsia" w:ascii="仿宋" w:hAnsi="仿宋" w:eastAsia="仿宋" w:cs="仿宋"/>
          <w:sz w:val="28"/>
          <w:szCs w:val="28"/>
        </w:rPr>
        <w:t xml:space="preserve">合同总金额为（大写）：_________________   </w:t>
      </w:r>
      <w:r>
        <w:rPr>
          <w:rFonts w:hint="eastAsia" w:ascii="仿宋" w:hAnsi="仿宋" w:eastAsia="仿宋" w:cs="仿宋"/>
          <w:color w:val="auto"/>
          <w:sz w:val="28"/>
          <w:szCs w:val="28"/>
          <w:u w:val="single"/>
        </w:rPr>
        <w:t xml:space="preserve"> （￥：       元）人民币。</w:t>
      </w:r>
    </w:p>
    <w:p w14:paraId="58017AA8">
      <w:pPr>
        <w:pStyle w:val="4"/>
        <w:spacing w:beforeLines="0" w:afterLines="0" w:line="600" w:lineRule="exact"/>
        <w:ind w:firstLine="562" w:firstLineChars="200"/>
        <w:rPr>
          <w:rFonts w:hint="eastAsia" w:hAnsi="宋体" w:cs="宋体"/>
          <w:b/>
          <w:sz w:val="28"/>
          <w:szCs w:val="28"/>
        </w:rPr>
      </w:pPr>
      <w:r>
        <w:rPr>
          <w:rFonts w:hint="eastAsia" w:hAnsi="宋体" w:cs="宋体"/>
          <w:b/>
          <w:sz w:val="28"/>
          <w:szCs w:val="28"/>
        </w:rPr>
        <w:t>七、付款方式：</w:t>
      </w:r>
    </w:p>
    <w:p w14:paraId="7B933A27">
      <w:pPr>
        <w:spacing w:beforeLines="0" w:afterLines="0" w:line="288"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合同签订后，甲方向乙方支付合同总价的30%；球管安装调试正常使用后支付合同总金额的40.00%；质保期满，无索赔争议的情况下支付付合同总金额的30.00%。乙方应在每次甲方付款前，向甲方开具合法有效的发票。</w:t>
      </w:r>
    </w:p>
    <w:p w14:paraId="285AE8BF">
      <w:pPr>
        <w:spacing w:beforeLines="0" w:afterLines="0" w:line="600" w:lineRule="exact"/>
        <w:ind w:firstLine="562" w:firstLineChars="200"/>
        <w:rPr>
          <w:rFonts w:hint="eastAsia" w:ascii="宋体" w:hAnsi="宋体" w:cs="宋体"/>
          <w:b/>
          <w:sz w:val="28"/>
          <w:szCs w:val="28"/>
        </w:rPr>
      </w:pPr>
      <w:r>
        <w:rPr>
          <w:rFonts w:hint="eastAsia" w:ascii="宋体" w:hAnsi="宋体" w:cs="宋体"/>
          <w:b/>
          <w:sz w:val="28"/>
          <w:szCs w:val="28"/>
        </w:rPr>
        <w:t>八、发货日期及条件:</w:t>
      </w:r>
      <w:bookmarkStart w:id="0" w:name="_GoBack"/>
      <w:bookmarkEnd w:id="0"/>
    </w:p>
    <w:p w14:paraId="643C958F">
      <w:pPr>
        <w:spacing w:beforeLines="0" w:afterLines="0" w:line="288"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乙方在收到甲方100%货物货款后，该球管所有权自乙方转移至甲方。</w:t>
      </w:r>
    </w:p>
    <w:p w14:paraId="52346FB3">
      <w:pPr>
        <w:spacing w:beforeLines="0" w:afterLines="0" w:line="600" w:lineRule="exact"/>
        <w:ind w:firstLine="562" w:firstLineChars="200"/>
        <w:rPr>
          <w:rFonts w:hint="eastAsia" w:ascii="仿宋" w:hAnsi="仿宋" w:cs="仿宋"/>
          <w:sz w:val="28"/>
          <w:szCs w:val="28"/>
        </w:rPr>
      </w:pPr>
      <w:r>
        <w:rPr>
          <w:rFonts w:hint="eastAsia" w:ascii="宋体" w:hAnsi="宋体" w:cs="宋体"/>
          <w:b/>
          <w:sz w:val="28"/>
          <w:szCs w:val="28"/>
        </w:rPr>
        <w:t>九、其他条款和法律条款：</w:t>
      </w:r>
    </w:p>
    <w:p w14:paraId="5CB234F7">
      <w:pPr>
        <w:spacing w:beforeLines="0" w:afterLines="0" w:line="288"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1.制造厂商：GE原厂制造商或经GE认证符合条件的供应商；</w:t>
      </w:r>
    </w:p>
    <w:p w14:paraId="718ED3F9">
      <w:pPr>
        <w:spacing w:beforeLines="0" w:afterLines="0" w:line="288"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2.运输方式及费用:乙方确定具体运输方式并承担相应的运输费用。由乙方为甲方办理运输和保险，费用由乙方承担；</w:t>
      </w:r>
    </w:p>
    <w:p w14:paraId="5FCB43CA">
      <w:pPr>
        <w:spacing w:beforeLines="0" w:afterLines="0" w:line="288"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3、包装:按厂方标准方式包装货物；</w:t>
      </w:r>
    </w:p>
    <w:p w14:paraId="44B55C10">
      <w:pPr>
        <w:spacing w:beforeLines="0" w:afterLines="0" w:line="288" w:lineRule="auto"/>
        <w:ind w:firstLine="560" w:firstLineChars="200"/>
        <w:rPr>
          <w:rFonts w:hint="eastAsia" w:ascii="仿宋" w:hAnsi="仿宋" w:eastAsia="仿宋" w:cs="仿宋"/>
          <w:sz w:val="28"/>
          <w:szCs w:val="28"/>
        </w:rPr>
      </w:pPr>
      <w:r>
        <w:rPr>
          <w:rFonts w:hint="eastAsia" w:ascii="仿宋" w:hAnsi="仿宋" w:eastAsia="仿宋" w:cs="仿宋"/>
          <w:sz w:val="28"/>
          <w:szCs w:val="28"/>
        </w:rPr>
        <w:t>4、到货地点：采购方指定地点；</w:t>
      </w:r>
    </w:p>
    <w:p w14:paraId="753085AF">
      <w:pPr>
        <w:spacing w:beforeLines="0" w:afterLines="0" w:line="288" w:lineRule="auto"/>
        <w:ind w:firstLine="560" w:firstLineChars="200"/>
        <w:rPr>
          <w:rFonts w:hint="eastAsia" w:ascii="仿宋" w:hAnsi="仿宋" w:eastAsia="仿宋" w:cs="仿宋"/>
          <w:sz w:val="28"/>
          <w:szCs w:val="28"/>
        </w:rPr>
      </w:pPr>
      <w:r>
        <w:rPr>
          <w:rFonts w:hint="eastAsia" w:ascii="仿宋" w:hAnsi="仿宋" w:eastAsia="仿宋" w:cs="仿宋"/>
          <w:sz w:val="28"/>
          <w:szCs w:val="28"/>
        </w:rPr>
        <w:t>5、安装和调试:由GE厂家工程师负责安装和调试；</w:t>
      </w:r>
    </w:p>
    <w:p w14:paraId="075DD598">
      <w:pPr>
        <w:spacing w:beforeLines="0" w:afterLines="0" w:line="288" w:lineRule="auto"/>
        <w:ind w:firstLine="560" w:firstLineChars="200"/>
        <w:rPr>
          <w:rFonts w:hint="eastAsia" w:ascii="仿宋" w:hAnsi="仿宋" w:eastAsia="仿宋" w:cs="仿宋"/>
          <w:sz w:val="28"/>
          <w:szCs w:val="28"/>
        </w:rPr>
      </w:pPr>
      <w:r>
        <w:rPr>
          <w:rFonts w:hint="eastAsia" w:ascii="仿宋" w:hAnsi="仿宋" w:eastAsia="仿宋" w:cs="仿宋"/>
          <w:sz w:val="28"/>
          <w:szCs w:val="28"/>
        </w:rPr>
        <w:t>6、合同的变更和转让：</w:t>
      </w:r>
    </w:p>
    <w:p w14:paraId="1BF2656F">
      <w:pPr>
        <w:spacing w:beforeLines="0" w:afterLines="0" w:line="288"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合同有效期内，任何一方不得擅自变更合同的权利和义务，除非双方的授权代表以书面的方式确认。在必要的情况下为了合网项目的顺利实施，乙方可将合同的部分或全部转让给其关联公司或特约保养维护商，但乙方应保证此转让以不损害甲方利益为前提且乙方需保证转让后的履行应符合合同约定的所有质量标准。</w:t>
      </w:r>
    </w:p>
    <w:p w14:paraId="5FB2AAD1">
      <w:pPr>
        <w:spacing w:beforeLines="0" w:afterLines="0" w:line="288" w:lineRule="auto"/>
        <w:ind w:firstLine="560" w:firstLineChars="200"/>
        <w:rPr>
          <w:rFonts w:hint="eastAsia" w:ascii="仿宋" w:hAnsi="仿宋" w:eastAsia="仿宋" w:cs="仿宋"/>
          <w:sz w:val="28"/>
          <w:szCs w:val="28"/>
        </w:rPr>
      </w:pPr>
      <w:r>
        <w:rPr>
          <w:rFonts w:hint="eastAsia" w:ascii="仿宋" w:hAnsi="仿宋" w:eastAsia="仿宋" w:cs="仿宋"/>
          <w:sz w:val="28"/>
          <w:szCs w:val="28"/>
        </w:rPr>
        <w:t>7、知识产权:</w:t>
      </w:r>
    </w:p>
    <w:p w14:paraId="462F308A">
      <w:pPr>
        <w:spacing w:beforeLines="0" w:afterLines="0" w:line="288"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合同产品的一切知识产权，包括但不限于乙方及产品厂家的名称，商标，专利，产品包装等均归属乙方及产品生产商所有，甲方或最终用户不得使用或模仿乙方商标、商号或产品包装，不得复制、出售、或出版乙方提供的软件及任何书面文件。</w:t>
      </w:r>
    </w:p>
    <w:p w14:paraId="3B363C57">
      <w:pPr>
        <w:spacing w:beforeLines="0" w:afterLines="0" w:line="288" w:lineRule="auto"/>
        <w:ind w:firstLine="560" w:firstLineChars="200"/>
        <w:rPr>
          <w:rFonts w:hint="eastAsia" w:ascii="仿宋" w:hAnsi="仿宋" w:eastAsia="仿宋" w:cs="仿宋"/>
          <w:sz w:val="28"/>
          <w:szCs w:val="28"/>
        </w:rPr>
      </w:pPr>
      <w:r>
        <w:rPr>
          <w:rFonts w:hint="eastAsia" w:ascii="仿宋" w:hAnsi="仿宋" w:eastAsia="仿宋" w:cs="仿宋"/>
          <w:sz w:val="28"/>
          <w:szCs w:val="28"/>
        </w:rPr>
        <w:t>8、信息保密:</w:t>
      </w:r>
    </w:p>
    <w:p w14:paraId="5EF2B4C5">
      <w:pPr>
        <w:spacing w:beforeLines="0" w:afterLines="0" w:line="288" w:lineRule="auto"/>
        <w:ind w:firstLine="560" w:firstLineChars="200"/>
        <w:rPr>
          <w:rFonts w:hint="eastAsia" w:ascii="仿宋" w:hAnsi="仿宋" w:eastAsia="仿宋" w:cs="仿宋"/>
          <w:sz w:val="28"/>
          <w:szCs w:val="28"/>
        </w:rPr>
      </w:pPr>
      <w:r>
        <w:rPr>
          <w:rFonts w:hint="eastAsia" w:ascii="仿宋" w:hAnsi="仿宋" w:eastAsia="仿宋" w:cs="仿宋"/>
          <w:sz w:val="28"/>
          <w:szCs w:val="28"/>
        </w:rPr>
        <w:t>甲乙双方对涉及本合同价格、服务或产品的详细配置信息以及涉及乙方知识产权的相关信息均负有保密义务，未经另一方事先书面同意，任何一方不得将该信息的任何部分向任何第三方或社会公众披露。如最终用户或政府部门要求甲方或乙方提供保密信息，该方应将此要求及时通知另一方。</w:t>
      </w:r>
    </w:p>
    <w:p w14:paraId="7DB15604">
      <w:pPr>
        <w:numPr>
          <w:ilvl w:val="0"/>
          <w:numId w:val="0"/>
        </w:numPr>
        <w:spacing w:beforeLines="0" w:afterLines="0" w:line="288" w:lineRule="auto"/>
        <w:ind w:firstLine="560" w:firstLineChars="200"/>
        <w:rPr>
          <w:rFonts w:hint="eastAsia" w:ascii="仿宋" w:hAnsi="仿宋" w:eastAsia="仿宋" w:cs="仿宋"/>
          <w:sz w:val="28"/>
          <w:szCs w:val="28"/>
        </w:rPr>
      </w:pPr>
      <w:r>
        <w:rPr>
          <w:rFonts w:hint="eastAsia" w:ascii="仿宋" w:hAnsi="仿宋" w:eastAsia="仿宋" w:cs="仿宋"/>
          <w:sz w:val="28"/>
          <w:szCs w:val="28"/>
        </w:rPr>
        <w:t>9、甲方的责任：</w:t>
      </w:r>
      <w:r>
        <w:rPr>
          <w:rFonts w:hint="eastAsia" w:ascii="仿宋" w:hAnsi="仿宋" w:eastAsia="仿宋" w:cs="仿宋"/>
          <w:sz w:val="28"/>
          <w:szCs w:val="28"/>
        </w:rPr>
        <w:tab/>
      </w:r>
    </w:p>
    <w:p w14:paraId="5205EB76">
      <w:pPr>
        <w:numPr>
          <w:ilvl w:val="0"/>
          <w:numId w:val="0"/>
        </w:numPr>
        <w:spacing w:beforeLines="0" w:afterLines="0" w:line="288"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1)本次合同服务相关的化学品(如酒精，高压油等)以及产生的相关废物、甲方应按照国家相关法律法规要求进行管理和处置。</w:t>
      </w:r>
    </w:p>
    <w:p w14:paraId="7A174AF6">
      <w:pPr>
        <w:spacing w:beforeLines="0" w:afterLines="0" w:line="288"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2)甲方接受以电子签名方式对乙方服务予以确认。</w:t>
      </w:r>
    </w:p>
    <w:p w14:paraId="3D1495BD">
      <w:pPr>
        <w:spacing w:beforeLines="0" w:afterLines="0" w:line="288"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在乙方贴加识别追踪标签的产品保修期间，甲方应对保修状态下的产品、零备件及零备件识别追踪标签进行妥善监管，如有未经乙方授权的零条件的更换或GE识别追踪标签被破坏，乙方不承担相关备件的维修责任。</w:t>
      </w:r>
    </w:p>
    <w:p w14:paraId="69B50F7F">
      <w:pPr>
        <w:spacing w:beforeLines="0" w:afterLines="0" w:line="288"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10、违约责任:</w:t>
      </w:r>
    </w:p>
    <w:p w14:paraId="7E1C9AC3">
      <w:pPr>
        <w:spacing w:beforeLines="0" w:afterLines="0" w:line="288"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1）由于公认的不可抗力事件造成的损坏(如自然灾害、爆炸、房屋倒塌、暴乱、坠机及蓄意破坏、缺乏燃料或水电、劳资纠纷、罢工、战争等)，乙方根据实际情况部分或全部免除责任，并及时通知甲方。</w:t>
      </w:r>
    </w:p>
    <w:p w14:paraId="48B912FF">
      <w:pPr>
        <w:spacing w:beforeLines="0" w:afterLines="0" w:line="288"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除不可抗力或乙方不可能控制的因素导致的情形外，如乙方由于非甲方的原因而不再履行本合同，给甲方造成损失的，乙方负责赔偿、除不可抗力或甲方不可能控制的因素导致的情形外，如甲方由于非乙方的原因而不再履行本合同，除付清至终止合同日期前应付的款项外，给乙方造成损失的，甲方负责赔偿，在任何情况下任何一方因本合同而承担的责任不超过本合同签署时双方约定的设备当期服务合同价款，且不承担间接损失(如利润或收益损失)。</w:t>
      </w:r>
    </w:p>
    <w:p w14:paraId="4ABC8291">
      <w:pPr>
        <w:spacing w:beforeLines="0" w:afterLines="0" w:line="288"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3)如因甲方或其代表使用不当(如违反操作手册所载规程操作)等原因而使乙方额外提供劳务或更换备件，乙方有权要求甲方承担因此发生的相关费用。</w:t>
      </w:r>
    </w:p>
    <w:p w14:paraId="0A61492A">
      <w:pPr>
        <w:spacing w:beforeLines="0" w:afterLines="0" w:line="288"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11、争议解决及法律适用：</w:t>
      </w:r>
    </w:p>
    <w:p w14:paraId="6B2249D5">
      <w:pPr>
        <w:spacing w:beforeLines="0" w:afterLines="0" w:line="288"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乙方若未按合同要求提供服务或服务质量不能满足合同要求，甲方可向蒲城县仲裁委员会根据其仲裁规则进行仲裁。甲方有权依据《民法典》有关条款及合同约定终止合同，并要求乙方承担违约责任，同时，政府采购监管部门有权依据《政府采购法》及相关法律法规对乙方违约行为进行相应的处罚。</w:t>
      </w:r>
    </w:p>
    <w:p w14:paraId="399B4912">
      <w:pPr>
        <w:numPr>
          <w:ilvl w:val="0"/>
          <w:numId w:val="0"/>
        </w:numPr>
        <w:spacing w:beforeLines="0" w:afterLines="0" w:line="288" w:lineRule="auto"/>
        <w:ind w:firstLine="560" w:firstLineChars="200"/>
        <w:rPr>
          <w:rFonts w:hint="eastAsia"/>
          <w:sz w:val="21"/>
          <w:szCs w:val="24"/>
        </w:rPr>
      </w:pPr>
      <w:r>
        <w:rPr>
          <w:rFonts w:hint="eastAsia" w:ascii="仿宋" w:hAnsi="仿宋" w:eastAsia="仿宋" w:cs="仿宋"/>
          <w:sz w:val="28"/>
          <w:szCs w:val="28"/>
        </w:rPr>
        <w:t>12、合同正本一式陆份，经双方签字盖章生效，甲乙双方同意任何对合同条款的手写改动均无效。</w:t>
      </w:r>
    </w:p>
    <w:tbl>
      <w:tblPr>
        <w:tblStyle w:val="6"/>
        <w:tblpPr w:leftFromText="180" w:rightFromText="180" w:vertAnchor="text" w:horzAnchor="page" w:tblpX="1848" w:tblpY="488"/>
        <w:tblOverlap w:val="never"/>
        <w:tblW w:w="91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33"/>
        <w:gridCol w:w="247"/>
        <w:gridCol w:w="4679"/>
      </w:tblGrid>
      <w:tr w14:paraId="0773D1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1" w:hRule="exact"/>
        </w:trPr>
        <w:tc>
          <w:tcPr>
            <w:tcW w:w="4233" w:type="dxa"/>
            <w:tcBorders>
              <w:top w:val="nil"/>
              <w:left w:val="nil"/>
              <w:bottom w:val="nil"/>
              <w:right w:val="nil"/>
              <w:tl2br w:val="nil"/>
              <w:tr2bl w:val="nil"/>
            </w:tcBorders>
            <w:noWrap w:val="0"/>
            <w:vAlign w:val="top"/>
          </w:tcPr>
          <w:p w14:paraId="1FFA13C2">
            <w:pPr>
              <w:spacing w:beforeLines="0" w:afterLines="0"/>
              <w:rPr>
                <w:rFonts w:hint="eastAsia" w:ascii="仿宋" w:hAnsi="仿宋" w:eastAsia="仿宋" w:cs="仿宋"/>
                <w:sz w:val="28"/>
                <w:szCs w:val="28"/>
              </w:rPr>
            </w:pPr>
            <w:r>
              <w:rPr>
                <w:rFonts w:hint="eastAsia" w:ascii="仿宋" w:hAnsi="仿宋" w:eastAsia="仿宋" w:cs="仿宋"/>
                <w:sz w:val="28"/>
                <w:szCs w:val="28"/>
              </w:rPr>
              <w:t>甲方（盖章）</w:t>
            </w:r>
          </w:p>
        </w:tc>
        <w:tc>
          <w:tcPr>
            <w:tcW w:w="247" w:type="dxa"/>
            <w:tcBorders>
              <w:top w:val="nil"/>
              <w:left w:val="nil"/>
              <w:bottom w:val="nil"/>
              <w:right w:val="nil"/>
              <w:tl2br w:val="nil"/>
              <w:tr2bl w:val="nil"/>
            </w:tcBorders>
            <w:noWrap w:val="0"/>
            <w:vAlign w:val="top"/>
          </w:tcPr>
          <w:p w14:paraId="18F4C632">
            <w:pPr>
              <w:spacing w:beforeLines="0" w:afterLines="0"/>
              <w:rPr>
                <w:rFonts w:hint="eastAsia" w:ascii="仿宋" w:hAnsi="仿宋" w:eastAsia="仿宋" w:cs="仿宋"/>
                <w:sz w:val="28"/>
                <w:szCs w:val="28"/>
              </w:rPr>
            </w:pPr>
          </w:p>
        </w:tc>
        <w:tc>
          <w:tcPr>
            <w:tcW w:w="4679" w:type="dxa"/>
            <w:tcBorders>
              <w:top w:val="nil"/>
              <w:left w:val="nil"/>
              <w:bottom w:val="nil"/>
              <w:right w:val="nil"/>
              <w:tl2br w:val="nil"/>
              <w:tr2bl w:val="nil"/>
            </w:tcBorders>
            <w:noWrap w:val="0"/>
            <w:vAlign w:val="top"/>
          </w:tcPr>
          <w:p w14:paraId="4734EC4B">
            <w:pPr>
              <w:spacing w:beforeLines="0" w:afterLines="0"/>
              <w:rPr>
                <w:rFonts w:hint="eastAsia" w:ascii="仿宋" w:hAnsi="仿宋" w:eastAsia="仿宋" w:cs="仿宋"/>
                <w:sz w:val="28"/>
                <w:szCs w:val="28"/>
              </w:rPr>
            </w:pPr>
            <w:r>
              <w:rPr>
                <w:rFonts w:hint="eastAsia" w:ascii="仿宋" w:hAnsi="仿宋" w:eastAsia="仿宋" w:cs="仿宋"/>
                <w:sz w:val="28"/>
                <w:szCs w:val="28"/>
              </w:rPr>
              <w:t>乙方（盖章）</w:t>
            </w:r>
          </w:p>
        </w:tc>
      </w:tr>
      <w:tr w14:paraId="0CCFB9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1" w:hRule="exact"/>
        </w:trPr>
        <w:tc>
          <w:tcPr>
            <w:tcW w:w="4233" w:type="dxa"/>
            <w:tcBorders>
              <w:top w:val="nil"/>
              <w:left w:val="nil"/>
              <w:bottom w:val="nil"/>
              <w:right w:val="nil"/>
              <w:tl2br w:val="nil"/>
              <w:tr2bl w:val="nil"/>
            </w:tcBorders>
            <w:noWrap w:val="0"/>
            <w:vAlign w:val="top"/>
          </w:tcPr>
          <w:p w14:paraId="5DE3A269">
            <w:pPr>
              <w:spacing w:beforeLines="0" w:afterLines="0"/>
              <w:rPr>
                <w:rFonts w:hint="eastAsia" w:ascii="仿宋" w:hAnsi="仿宋" w:eastAsia="仿宋" w:cs="仿宋"/>
                <w:sz w:val="28"/>
                <w:szCs w:val="28"/>
              </w:rPr>
            </w:pPr>
            <w:r>
              <w:rPr>
                <w:rFonts w:hint="eastAsia" w:ascii="仿宋" w:hAnsi="仿宋" w:eastAsia="仿宋" w:cs="仿宋"/>
                <w:sz w:val="28"/>
                <w:szCs w:val="28"/>
              </w:rPr>
              <w:t>代表：（签字）</w:t>
            </w:r>
          </w:p>
        </w:tc>
        <w:tc>
          <w:tcPr>
            <w:tcW w:w="247" w:type="dxa"/>
            <w:tcBorders>
              <w:top w:val="nil"/>
              <w:left w:val="nil"/>
              <w:bottom w:val="nil"/>
              <w:right w:val="nil"/>
              <w:tl2br w:val="nil"/>
              <w:tr2bl w:val="nil"/>
            </w:tcBorders>
            <w:noWrap w:val="0"/>
            <w:vAlign w:val="top"/>
          </w:tcPr>
          <w:p w14:paraId="4565155A">
            <w:pPr>
              <w:spacing w:beforeLines="0" w:afterLines="0"/>
              <w:rPr>
                <w:rFonts w:hint="eastAsia" w:ascii="仿宋" w:hAnsi="仿宋" w:eastAsia="仿宋" w:cs="仿宋"/>
                <w:sz w:val="28"/>
                <w:szCs w:val="28"/>
              </w:rPr>
            </w:pPr>
          </w:p>
        </w:tc>
        <w:tc>
          <w:tcPr>
            <w:tcW w:w="4679" w:type="dxa"/>
            <w:tcBorders>
              <w:top w:val="nil"/>
              <w:left w:val="nil"/>
              <w:bottom w:val="nil"/>
              <w:right w:val="nil"/>
              <w:tl2br w:val="nil"/>
              <w:tr2bl w:val="nil"/>
            </w:tcBorders>
            <w:noWrap w:val="0"/>
            <w:vAlign w:val="top"/>
          </w:tcPr>
          <w:p w14:paraId="09790334">
            <w:pPr>
              <w:spacing w:beforeLines="0" w:afterLines="0"/>
              <w:rPr>
                <w:rFonts w:hint="eastAsia" w:ascii="仿宋" w:hAnsi="仿宋" w:eastAsia="仿宋" w:cs="仿宋"/>
                <w:sz w:val="28"/>
                <w:szCs w:val="28"/>
              </w:rPr>
            </w:pPr>
            <w:r>
              <w:rPr>
                <w:rFonts w:hint="eastAsia" w:ascii="仿宋" w:hAnsi="仿宋" w:eastAsia="仿宋" w:cs="仿宋"/>
                <w:sz w:val="28"/>
                <w:szCs w:val="28"/>
              </w:rPr>
              <w:t>代表：（签字）</w:t>
            </w:r>
          </w:p>
        </w:tc>
      </w:tr>
      <w:tr w14:paraId="4729F6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1" w:hRule="exact"/>
        </w:trPr>
        <w:tc>
          <w:tcPr>
            <w:tcW w:w="4233" w:type="dxa"/>
            <w:tcBorders>
              <w:top w:val="nil"/>
              <w:left w:val="nil"/>
              <w:bottom w:val="nil"/>
              <w:right w:val="nil"/>
              <w:tl2br w:val="nil"/>
              <w:tr2bl w:val="nil"/>
            </w:tcBorders>
            <w:noWrap w:val="0"/>
            <w:vAlign w:val="top"/>
          </w:tcPr>
          <w:p w14:paraId="5E91F7F9">
            <w:pPr>
              <w:spacing w:beforeLines="0" w:afterLines="0"/>
              <w:rPr>
                <w:rFonts w:hint="eastAsia" w:ascii="仿宋" w:hAnsi="仿宋" w:eastAsia="仿宋" w:cs="仿宋"/>
                <w:sz w:val="28"/>
                <w:szCs w:val="28"/>
              </w:rPr>
            </w:pPr>
            <w:r>
              <w:rPr>
                <w:rFonts w:hint="eastAsia" w:ascii="仿宋" w:hAnsi="仿宋" w:eastAsia="仿宋" w:cs="仿宋"/>
                <w:sz w:val="28"/>
                <w:szCs w:val="28"/>
              </w:rPr>
              <w:t>开户名称：</w:t>
            </w:r>
          </w:p>
        </w:tc>
        <w:tc>
          <w:tcPr>
            <w:tcW w:w="247" w:type="dxa"/>
            <w:tcBorders>
              <w:top w:val="nil"/>
              <w:left w:val="nil"/>
              <w:bottom w:val="nil"/>
              <w:right w:val="nil"/>
              <w:tl2br w:val="nil"/>
              <w:tr2bl w:val="nil"/>
            </w:tcBorders>
            <w:noWrap w:val="0"/>
            <w:vAlign w:val="top"/>
          </w:tcPr>
          <w:p w14:paraId="2CB28F0F">
            <w:pPr>
              <w:spacing w:beforeLines="0" w:afterLines="0"/>
              <w:rPr>
                <w:rFonts w:hint="eastAsia" w:ascii="仿宋" w:hAnsi="仿宋" w:eastAsia="仿宋" w:cs="仿宋"/>
                <w:sz w:val="28"/>
                <w:szCs w:val="28"/>
              </w:rPr>
            </w:pPr>
          </w:p>
        </w:tc>
        <w:tc>
          <w:tcPr>
            <w:tcW w:w="4679" w:type="dxa"/>
            <w:tcBorders>
              <w:top w:val="nil"/>
              <w:left w:val="nil"/>
              <w:bottom w:val="nil"/>
              <w:right w:val="nil"/>
              <w:tl2br w:val="nil"/>
              <w:tr2bl w:val="nil"/>
            </w:tcBorders>
            <w:noWrap w:val="0"/>
            <w:vAlign w:val="top"/>
          </w:tcPr>
          <w:p w14:paraId="3F9FA63A">
            <w:pPr>
              <w:spacing w:beforeLines="0" w:afterLines="0"/>
              <w:rPr>
                <w:rFonts w:hint="eastAsia" w:ascii="仿宋" w:hAnsi="仿宋" w:eastAsia="仿宋" w:cs="仿宋"/>
                <w:sz w:val="28"/>
                <w:szCs w:val="28"/>
              </w:rPr>
            </w:pPr>
            <w:r>
              <w:rPr>
                <w:rFonts w:hint="eastAsia" w:ascii="仿宋" w:hAnsi="仿宋" w:eastAsia="仿宋" w:cs="仿宋"/>
                <w:sz w:val="28"/>
                <w:szCs w:val="28"/>
              </w:rPr>
              <w:t>开户名称：</w:t>
            </w:r>
          </w:p>
        </w:tc>
      </w:tr>
      <w:tr w14:paraId="1D75F3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1" w:hRule="exact"/>
        </w:trPr>
        <w:tc>
          <w:tcPr>
            <w:tcW w:w="4233" w:type="dxa"/>
            <w:tcBorders>
              <w:top w:val="nil"/>
              <w:left w:val="nil"/>
              <w:bottom w:val="nil"/>
              <w:right w:val="nil"/>
              <w:tl2br w:val="nil"/>
              <w:tr2bl w:val="nil"/>
            </w:tcBorders>
            <w:noWrap w:val="0"/>
            <w:vAlign w:val="top"/>
          </w:tcPr>
          <w:p w14:paraId="199893D3">
            <w:pPr>
              <w:spacing w:beforeLines="0" w:afterLines="0"/>
              <w:rPr>
                <w:rFonts w:hint="eastAsia" w:ascii="仿宋" w:hAnsi="仿宋" w:eastAsia="仿宋" w:cs="仿宋"/>
                <w:sz w:val="28"/>
                <w:szCs w:val="28"/>
              </w:rPr>
            </w:pPr>
            <w:r>
              <w:rPr>
                <w:rFonts w:hint="eastAsia" w:ascii="仿宋" w:hAnsi="仿宋" w:eastAsia="仿宋" w:cs="仿宋"/>
                <w:sz w:val="28"/>
                <w:szCs w:val="28"/>
              </w:rPr>
              <w:t>银行账号：</w:t>
            </w:r>
          </w:p>
        </w:tc>
        <w:tc>
          <w:tcPr>
            <w:tcW w:w="247" w:type="dxa"/>
            <w:tcBorders>
              <w:top w:val="nil"/>
              <w:left w:val="nil"/>
              <w:bottom w:val="nil"/>
              <w:right w:val="nil"/>
              <w:tl2br w:val="nil"/>
              <w:tr2bl w:val="nil"/>
            </w:tcBorders>
            <w:noWrap w:val="0"/>
            <w:vAlign w:val="top"/>
          </w:tcPr>
          <w:p w14:paraId="7B667CAE">
            <w:pPr>
              <w:spacing w:beforeLines="0" w:afterLines="0"/>
              <w:rPr>
                <w:rFonts w:hint="eastAsia" w:ascii="仿宋" w:hAnsi="仿宋" w:eastAsia="仿宋" w:cs="仿宋"/>
                <w:sz w:val="28"/>
                <w:szCs w:val="28"/>
              </w:rPr>
            </w:pPr>
          </w:p>
        </w:tc>
        <w:tc>
          <w:tcPr>
            <w:tcW w:w="4679" w:type="dxa"/>
            <w:tcBorders>
              <w:top w:val="nil"/>
              <w:left w:val="nil"/>
              <w:bottom w:val="nil"/>
              <w:right w:val="nil"/>
              <w:tl2br w:val="nil"/>
              <w:tr2bl w:val="nil"/>
            </w:tcBorders>
            <w:noWrap w:val="0"/>
            <w:vAlign w:val="top"/>
          </w:tcPr>
          <w:p w14:paraId="0F69247F">
            <w:pPr>
              <w:spacing w:beforeLines="0" w:afterLines="0"/>
              <w:rPr>
                <w:rFonts w:hint="eastAsia" w:ascii="仿宋" w:hAnsi="仿宋" w:eastAsia="仿宋" w:cs="仿宋"/>
                <w:sz w:val="28"/>
                <w:szCs w:val="28"/>
              </w:rPr>
            </w:pPr>
            <w:r>
              <w:rPr>
                <w:rFonts w:hint="eastAsia" w:ascii="仿宋" w:hAnsi="仿宋" w:eastAsia="仿宋" w:cs="仿宋"/>
                <w:sz w:val="28"/>
                <w:szCs w:val="28"/>
              </w:rPr>
              <w:t>银行账号：</w:t>
            </w:r>
          </w:p>
        </w:tc>
      </w:tr>
      <w:tr w14:paraId="0C360B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1" w:hRule="exact"/>
        </w:trPr>
        <w:tc>
          <w:tcPr>
            <w:tcW w:w="4233" w:type="dxa"/>
            <w:tcBorders>
              <w:top w:val="nil"/>
              <w:left w:val="nil"/>
              <w:bottom w:val="nil"/>
              <w:right w:val="nil"/>
              <w:tl2br w:val="nil"/>
              <w:tr2bl w:val="nil"/>
            </w:tcBorders>
            <w:noWrap w:val="0"/>
            <w:vAlign w:val="top"/>
          </w:tcPr>
          <w:p w14:paraId="497B4E10">
            <w:pPr>
              <w:spacing w:beforeLines="0" w:afterLines="0"/>
              <w:rPr>
                <w:rFonts w:hint="eastAsia" w:ascii="仿宋" w:hAnsi="仿宋" w:eastAsia="仿宋" w:cs="仿宋"/>
                <w:sz w:val="28"/>
                <w:szCs w:val="28"/>
              </w:rPr>
            </w:pPr>
            <w:r>
              <w:rPr>
                <w:rFonts w:hint="eastAsia" w:ascii="仿宋" w:hAnsi="仿宋" w:eastAsia="仿宋" w:cs="仿宋"/>
                <w:sz w:val="28"/>
                <w:szCs w:val="28"/>
              </w:rPr>
              <w:t xml:space="preserve">开户银行： </w:t>
            </w:r>
          </w:p>
        </w:tc>
        <w:tc>
          <w:tcPr>
            <w:tcW w:w="247" w:type="dxa"/>
            <w:tcBorders>
              <w:top w:val="nil"/>
              <w:left w:val="nil"/>
              <w:bottom w:val="nil"/>
              <w:right w:val="nil"/>
              <w:tl2br w:val="nil"/>
              <w:tr2bl w:val="nil"/>
            </w:tcBorders>
            <w:noWrap w:val="0"/>
            <w:vAlign w:val="top"/>
          </w:tcPr>
          <w:p w14:paraId="45E33A06">
            <w:pPr>
              <w:spacing w:beforeLines="0" w:afterLines="0"/>
              <w:rPr>
                <w:rFonts w:hint="eastAsia" w:ascii="仿宋" w:hAnsi="仿宋" w:eastAsia="仿宋" w:cs="仿宋"/>
                <w:sz w:val="28"/>
                <w:szCs w:val="28"/>
              </w:rPr>
            </w:pPr>
          </w:p>
        </w:tc>
        <w:tc>
          <w:tcPr>
            <w:tcW w:w="4679" w:type="dxa"/>
            <w:tcBorders>
              <w:top w:val="nil"/>
              <w:left w:val="nil"/>
              <w:bottom w:val="nil"/>
              <w:right w:val="nil"/>
              <w:tl2br w:val="nil"/>
              <w:tr2bl w:val="nil"/>
            </w:tcBorders>
            <w:noWrap w:val="0"/>
            <w:vAlign w:val="top"/>
          </w:tcPr>
          <w:p w14:paraId="6D70BF49">
            <w:pPr>
              <w:spacing w:beforeLines="0" w:afterLines="0"/>
              <w:rPr>
                <w:rFonts w:hint="eastAsia" w:ascii="仿宋" w:hAnsi="仿宋" w:eastAsia="仿宋" w:cs="仿宋"/>
                <w:sz w:val="28"/>
                <w:szCs w:val="28"/>
              </w:rPr>
            </w:pPr>
            <w:r>
              <w:rPr>
                <w:rFonts w:hint="eastAsia" w:ascii="仿宋" w:hAnsi="仿宋" w:eastAsia="仿宋" w:cs="仿宋"/>
                <w:sz w:val="28"/>
                <w:szCs w:val="28"/>
              </w:rPr>
              <w:t>开户银行：</w:t>
            </w:r>
          </w:p>
        </w:tc>
      </w:tr>
      <w:tr w14:paraId="7F3286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1" w:hRule="exact"/>
        </w:trPr>
        <w:tc>
          <w:tcPr>
            <w:tcW w:w="4233" w:type="dxa"/>
            <w:tcBorders>
              <w:top w:val="nil"/>
              <w:left w:val="nil"/>
              <w:bottom w:val="nil"/>
              <w:right w:val="nil"/>
              <w:tl2br w:val="nil"/>
              <w:tr2bl w:val="nil"/>
            </w:tcBorders>
            <w:noWrap w:val="0"/>
            <w:vAlign w:val="top"/>
          </w:tcPr>
          <w:p w14:paraId="7503CC5E">
            <w:pPr>
              <w:spacing w:beforeLines="0" w:afterLines="0"/>
              <w:rPr>
                <w:rFonts w:hint="eastAsia" w:ascii="仿宋" w:hAnsi="仿宋" w:eastAsia="仿宋" w:cs="仿宋"/>
                <w:sz w:val="28"/>
                <w:szCs w:val="28"/>
              </w:rPr>
            </w:pPr>
            <w:r>
              <w:rPr>
                <w:rFonts w:hint="eastAsia" w:ascii="仿宋" w:hAnsi="仿宋" w:eastAsia="仿宋" w:cs="仿宋"/>
                <w:sz w:val="28"/>
                <w:szCs w:val="28"/>
              </w:rPr>
              <w:t>签订日期：    年    月    日</w:t>
            </w:r>
          </w:p>
        </w:tc>
        <w:tc>
          <w:tcPr>
            <w:tcW w:w="247" w:type="dxa"/>
            <w:tcBorders>
              <w:top w:val="nil"/>
              <w:left w:val="nil"/>
              <w:bottom w:val="nil"/>
              <w:right w:val="nil"/>
              <w:tl2br w:val="nil"/>
              <w:tr2bl w:val="nil"/>
            </w:tcBorders>
            <w:noWrap w:val="0"/>
            <w:vAlign w:val="top"/>
          </w:tcPr>
          <w:p w14:paraId="03FDF79F">
            <w:pPr>
              <w:spacing w:beforeLines="0" w:afterLines="0"/>
              <w:rPr>
                <w:rFonts w:hint="eastAsia" w:ascii="仿宋" w:hAnsi="仿宋" w:eastAsia="仿宋" w:cs="仿宋"/>
                <w:sz w:val="28"/>
                <w:szCs w:val="28"/>
              </w:rPr>
            </w:pPr>
          </w:p>
        </w:tc>
        <w:tc>
          <w:tcPr>
            <w:tcW w:w="4679" w:type="dxa"/>
            <w:tcBorders>
              <w:top w:val="nil"/>
              <w:left w:val="nil"/>
              <w:bottom w:val="nil"/>
              <w:right w:val="nil"/>
              <w:tl2br w:val="nil"/>
              <w:tr2bl w:val="nil"/>
            </w:tcBorders>
            <w:noWrap w:val="0"/>
            <w:vAlign w:val="top"/>
          </w:tcPr>
          <w:p w14:paraId="34105CC2">
            <w:pPr>
              <w:spacing w:beforeLines="0" w:afterLines="0"/>
              <w:rPr>
                <w:rFonts w:hint="eastAsia" w:ascii="仿宋" w:hAnsi="仿宋" w:eastAsia="仿宋" w:cs="仿宋"/>
                <w:sz w:val="28"/>
                <w:szCs w:val="28"/>
              </w:rPr>
            </w:pPr>
            <w:r>
              <w:rPr>
                <w:rFonts w:hint="eastAsia" w:ascii="仿宋" w:hAnsi="仿宋" w:eastAsia="仿宋" w:cs="仿宋"/>
                <w:sz w:val="28"/>
                <w:szCs w:val="28"/>
              </w:rPr>
              <w:t>签订日期：    年    月    日</w:t>
            </w:r>
          </w:p>
        </w:tc>
      </w:tr>
    </w:tbl>
    <w:p w14:paraId="26388EF4">
      <w:pPr>
        <w:spacing w:beforeLines="0" w:afterLines="0" w:line="360" w:lineRule="auto"/>
        <w:rPr>
          <w:rFonts w:hint="default"/>
          <w:sz w:val="21"/>
          <w:szCs w:val="24"/>
        </w:rPr>
      </w:pPr>
      <w:r>
        <w:rPr>
          <w:rFonts w:hint="eastAsia" w:ascii="楷体" w:hAnsi="楷体" w:eastAsia="楷体" w:cs="楷体"/>
          <w:sz w:val="24"/>
          <w:szCs w:val="24"/>
        </w:rPr>
        <w:t xml:space="preserve">   </w:t>
      </w:r>
    </w:p>
    <w:p w14:paraId="5A98C8EE">
      <w:pPr>
        <w:spacing w:beforeLines="0" w:afterLines="0" w:line="600" w:lineRule="exact"/>
        <w:rPr>
          <w:rFonts w:hint="eastAsia" w:ascii="仿宋" w:hAnsi="仿宋" w:eastAsia="仿宋" w:cs="仿宋"/>
          <w:sz w:val="28"/>
          <w:szCs w:val="28"/>
        </w:rPr>
      </w:pPr>
    </w:p>
    <w:p w14:paraId="1383E2CD"/>
    <w:sectPr>
      <w:pgSz w:w="11906" w:h="16838"/>
      <w:pgMar w:top="1440" w:right="1800" w:bottom="1440" w:left="1800" w:header="851" w:footer="992"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FFA56">
    <w:pPr>
      <w:pStyle w:val="5"/>
      <w:pBdr>
        <w:bottom w:val="none" w:color="auto" w:sz="0" w:space="0"/>
      </w:pBdr>
      <w:spacing w:beforeLines="0" w:afterLines="0"/>
      <w:jc w:val="both"/>
      <w:rPr>
        <w:rFonts w:hint="default"/>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wMWQxYTU5OGFhMmU2NDAwOGEwMjFiOTRiYzdlZmYifQ=="/>
  </w:docVars>
  <w:rsids>
    <w:rsidRoot w:val="00000000"/>
    <w:rsid w:val="0193602E"/>
    <w:rsid w:val="4C50709E"/>
    <w:rsid w:val="739037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0" w:semiHidden="0" w:name="Normal"/>
    <w:lsdException w:qFormat="1"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spacing w:beforeLines="0" w:afterLines="0"/>
      <w:jc w:val="both"/>
    </w:pPr>
    <w:rPr>
      <w:rFonts w:hint="default" w:ascii="Calibri" w:hAnsi="Calibri" w:eastAsia="宋体" w:cs="Times New Roman"/>
      <w:kern w:val="2"/>
      <w:sz w:val="21"/>
      <w:szCs w:val="24"/>
      <w:lang w:val="en-US" w:eastAsia="zh-CN" w:bidi="ar-SA"/>
    </w:rPr>
  </w:style>
  <w:style w:type="paragraph" w:styleId="2">
    <w:name w:val="heading 1"/>
    <w:basedOn w:val="1"/>
    <w:next w:val="1"/>
    <w:unhideWhenUsed/>
    <w:qFormat/>
    <w:uiPriority w:val="0"/>
    <w:pPr>
      <w:keepNext/>
      <w:spacing w:beforeLines="0" w:afterLines="0"/>
      <w:jc w:val="center"/>
      <w:outlineLvl w:val="0"/>
    </w:pPr>
    <w:rPr>
      <w:rFonts w:hint="eastAsia" w:ascii="黑体" w:eastAsia="黑体" w:cs="宋体"/>
      <w:sz w:val="28"/>
      <w:szCs w:val="2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unhideWhenUsed/>
    <w:qFormat/>
    <w:uiPriority w:val="99"/>
    <w:pPr>
      <w:spacing w:beforeLines="0" w:after="120" w:afterLines="0"/>
    </w:pPr>
    <w:rPr>
      <w:rFonts w:hint="default"/>
      <w:sz w:val="21"/>
      <w:szCs w:val="24"/>
    </w:rPr>
  </w:style>
  <w:style w:type="paragraph" w:styleId="4">
    <w:name w:val="Plain Text"/>
    <w:basedOn w:val="1"/>
    <w:unhideWhenUsed/>
    <w:qFormat/>
    <w:uiPriority w:val="0"/>
    <w:pPr>
      <w:spacing w:beforeLines="0" w:afterLines="0"/>
    </w:pPr>
    <w:rPr>
      <w:rFonts w:hint="eastAsia" w:ascii="宋体" w:hAnsi="Courier New"/>
      <w:sz w:val="21"/>
      <w:szCs w:val="24"/>
    </w:rPr>
  </w:style>
  <w:style w:type="paragraph" w:styleId="5">
    <w:name w:val="header"/>
    <w:basedOn w:val="1"/>
    <w:unhideWhenUsed/>
    <w:qFormat/>
    <w:uiPriority w:val="99"/>
    <w:pPr>
      <w:pBdr>
        <w:bottom w:val="single" w:color="auto" w:sz="6" w:space="1"/>
      </w:pBdr>
      <w:tabs>
        <w:tab w:val="center" w:pos="4153"/>
        <w:tab w:val="right" w:pos="8306"/>
      </w:tabs>
      <w:snapToGrid w:val="0"/>
      <w:spacing w:beforeLines="0" w:afterLines="0"/>
      <w:jc w:val="center"/>
    </w:pPr>
    <w:rPr>
      <w:rFonts w:hint="default"/>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259</Words>
  <Characters>288</Characters>
  <Lines>0</Lines>
  <Paragraphs>0</Paragraphs>
  <TotalTime>9</TotalTime>
  <ScaleCrop>false</ScaleCrop>
  <LinksUpToDate>false</LinksUpToDate>
  <CharactersWithSpaces>399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2024-06-19T01:17:00Z</dcterms:created>
  <dc:creator>Administrator</dc:creator>
  <cp:lastModifiedBy>馍馍窝里的娃娃</cp:lastModifiedBy>
  <dcterms:modified xsi:type="dcterms:W3CDTF">2026-07-15T08:48:04Z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1FF5C5C69A0C447E9EB72F116E09EEC5_13</vt:lpwstr>
  </property>
  <property fmtid="{D5CDD505-2E9C-101B-9397-08002B2CF9AE}" pid="4" name="KSOTemplateDocerSaveRecord">
    <vt:lpwstr>eyJoZGlkIjoiNTk5ZDM4Mzk1N2Y1ZTYxMmYyYjg1ZDUwNTRmYTA0MDYiLCJ1c2VySWQiOiI3ODQ2ODY4NzEifQ==</vt:lpwstr>
  </property>
</Properties>
</file>