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版本号：ZJZBSX-260642-014220260717001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雁塔幼儿园大型玩教具购置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ZJZBSX-260642-0142</w:t>
      </w:r>
      <w:r>
        <w:br/>
      </w:r>
      <w:r>
        <w:br/>
      </w:r>
      <w:r>
        <w:br/>
      </w:r>
    </w:p>
    <w:p>
      <w:pPr>
        <w:pStyle w:val="null3"/>
        <w:jc w:val="center"/>
        <w:outlineLvl w:val="2"/>
      </w:pPr>
      <w:r>
        <w:rPr>
          <w:rFonts w:ascii="仿宋_GB2312" w:hAnsi="仿宋_GB2312" w:cs="仿宋_GB2312" w:eastAsia="仿宋_GB2312"/>
          <w:sz w:val="28"/>
          <w:b/>
        </w:rPr>
        <w:t>西安外国语大学</w:t>
      </w:r>
    </w:p>
    <w:p>
      <w:pPr>
        <w:pStyle w:val="null3"/>
        <w:jc w:val="center"/>
        <w:outlineLvl w:val="2"/>
      </w:pPr>
      <w:r>
        <w:rPr>
          <w:rFonts w:ascii="仿宋_GB2312" w:hAnsi="仿宋_GB2312" w:cs="仿宋_GB2312" w:eastAsia="仿宋_GB2312"/>
          <w:sz w:val="28"/>
          <w:b/>
        </w:rPr>
        <w:t>陕西中经招标有限公司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陕西中经招标有限公司</w:t>
      </w:r>
      <w:r>
        <w:rPr>
          <w:rFonts w:ascii="仿宋_GB2312" w:hAnsi="仿宋_GB2312" w:cs="仿宋_GB2312" w:eastAsia="仿宋_GB2312"/>
        </w:rPr>
        <w:t>（以下简称“代理机构”）受</w:t>
      </w:r>
      <w:r>
        <w:rPr>
          <w:rFonts w:ascii="仿宋_GB2312" w:hAnsi="仿宋_GB2312" w:cs="仿宋_GB2312" w:eastAsia="仿宋_GB2312"/>
        </w:rPr>
        <w:t>西安外国语大学</w:t>
      </w:r>
      <w:r>
        <w:rPr>
          <w:rFonts w:ascii="仿宋_GB2312" w:hAnsi="仿宋_GB2312" w:cs="仿宋_GB2312" w:eastAsia="仿宋_GB2312"/>
        </w:rPr>
        <w:t>委托，拟对</w:t>
      </w:r>
      <w:r>
        <w:rPr>
          <w:rFonts w:ascii="仿宋_GB2312" w:hAnsi="仿宋_GB2312" w:cs="仿宋_GB2312" w:eastAsia="仿宋_GB2312"/>
        </w:rPr>
        <w:t>雁塔幼儿园大型玩教具购置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ZJZBSX-260642-0142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雁塔幼儿园大型玩教具购置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本项目为雁塔幼儿园大型玩教具购置，1批。具体内容详见招标文件第三章。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采购包1（雁塔幼儿园大型玩教具购置）：属于专门面向中小企业采购。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格审查内容共8项：（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供应商需在项目电子化交易系统中按要求上传相应证明文件并进行电子签章。 （3）财务状况报告：提供2024年或2025年度经审计的财务报告（包含审计报告和审计报告中所涉及的财务报表和报表附注），或提供2026年2月1日以来银行出具的资信证明，或提供财政部门认可的政府采购专业担保机构出具的响应担保函，或供应商注册时间至投标文件提交截止日不足一年的，也可提供在工商管理部门备案的公司章程（以上四种形式的资料提供任何一种即可）。供应商需在项目电子化交易系统中按要求上传相应证明文件并进行电子签章。 （4）社会保障资金缴纳证明：提供2025年7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两种形式的资料提供任何一种即可）。供应商需在项目电子化交易系统中按要求上传相应证明文件并进行电子签章。 （5）税收缴纳证明：提供2025年7月1日至投标文件递交截止日已缴纳的任意一个月的纳税证明或完税证明（时间以税款所属日期为准，提供增值税、企业所得税、印花税、附加税至少一种），纳税证明或完税证明上应有代收机构或税务机关的公章，依法免税的单位应提供相关证明材料（以上三种形式的资料提供任何一种即可）。供应商需在项目电子化交易系统中按要求上传相应证明文件并进行电子签章。 （6）书面声明（信用记录）：提供《供应商信用记录书面声明函》。经查，投标人未被列入“信用中国”网站记录的“失信被执行人”或“重大税收违法失信主体”名单；不处于“中国政府采购网”记录的“政府采购严重违法失信行为记录名单”中的禁止参加政府采购活动期间。供应商需在项目电子化交易系统中按要求上传相应证明文件并进行电子签章。 （7）承诺书：提供具有履行合同所必需的设备和专业技术能力的承诺。供应商需在项目电子化交易系统中按要求上传相应证明文件并进行电子签章。 （8）中小企业证明资料：本项目为专门面向中小企业采购，投标产品的制造商应为中型企业或小型、微型企业或监狱企业或残疾人福利性单位。投标产品的制造商为中型、小型、微型企业的，投标人提供《中小企业声明函》，且中小企业的划分标准所属行业为工业；投标产品的制造商为监狱企业的，投标人应提供投标产品制造商为监狱企业的证明文件（监狱企业视同小型、微型企业）；投标产品的制造商为残疾人福利性单位的，投标人应提供投标产品制造商为残疾人福利性单位的《残疾人福利性单位声明函》（残疾人福利性单位视同小型、微型企业）。</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西安外国语大学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长安区文苑南路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029-85319529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陕西中经招标有限公司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陕西省西安市碑林区长安北路8B陕西高速经纬大厦16层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王佼、祝清江、郭燕妮、赵薇、张锦、盖莲花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029-87888601-8007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采购包1：960,000.00元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采购包1保证金金额：19,000.00元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开户名称：陕西中经招标有限公司</w:t>
            </w:r>
          </w:p>
          <w:p>
            <w:pPr>
              <w:pStyle w:val="null3"/>
            </w:pPr>
            <w:r>
              <w:rPr>
                <w:rFonts w:ascii="仿宋_GB2312" w:hAnsi="仿宋_GB2312" w:cs="仿宋_GB2312" w:eastAsia="仿宋_GB2312"/>
              </w:rPr>
              <w:t>开户银行：中国工商银行股份有限公司大雁塔支行</w:t>
            </w:r>
          </w:p>
          <w:p>
            <w:pPr>
              <w:pStyle w:val="null3"/>
            </w:pPr>
            <w:r>
              <w:rPr>
                <w:rFonts w:ascii="仿宋_GB2312" w:hAnsi="仿宋_GB2312" w:cs="仿宋_GB2312" w:eastAsia="仿宋_GB2312"/>
              </w:rPr>
              <w:t>银行账号：3700022319200103385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说明：（1）项目履约保证金为合同金额的5%。 （2）履约保证金缴纳时间：应在合同签订前缴纳履约保证金。未在规定时间内缴纳履约保证金视为拒签合同，自动放弃中标资格。 （3）履约保证金缴纳形式：采以现金或支票、汇票、本票或者金融机构、担保机构出具的保函等非现金形式向采购人提交，提交履约保证金时须注明项目名称、采购编号、包号及用途(履约保证金) （4）履约保证金的退还：设备到货并由采购人最终验收合格后，经中标人申请，采购人将履约保证金（无息）退还投标人。</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代理服务费收费标准：按照《招标代理服务收费管理暂行办法》（计价格[2002]1980号）和国家发改委颁发的《关于招标代理服务收费有关问题的通知》（发改办价格[2003]857号）文件下浮 15% 。如国家有新文件出台则按新文件执行。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西安外国语大学</w:t>
      </w:r>
      <w:r>
        <w:rPr>
          <w:rFonts w:ascii="仿宋_GB2312" w:hAnsi="仿宋_GB2312" w:cs="仿宋_GB2312" w:eastAsia="仿宋_GB2312"/>
        </w:rPr>
        <w:t>和</w:t>
      </w:r>
      <w:r>
        <w:rPr>
          <w:rFonts w:ascii="仿宋_GB2312" w:hAnsi="仿宋_GB2312" w:cs="仿宋_GB2312" w:eastAsia="仿宋_GB2312"/>
        </w:rPr>
        <w:t>陕西中经招标有限公司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西安外国语大学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陕西中经招标有限公司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西安外国语大学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陕西中经招标有限公司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详见拟签订的合同条款内容</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验收分初次开箱验收、采购人使用单位初步验收和采购人最终验收三个阶段，以最终验收为准。 1.初次开箱验收 设备到货后，采购人、中标人双方共同开箱验收。如属于检验检疫法检目录内货物，由采购人、中标人双方会同海关共同开箱验收。在检查货物原产地、型号、规格、配置符合合同要求后，由中标人负责安装调试、采购人负责技术验收（中标人协助），验收以国内行业标准或合同文本货物供货配置清单中描述的有关技术要求为准。 2.采购人使用单位初步验收 在设备安装调试运行正常后，进行试运行测试，通过试运行测试后进入试运行，试运行不少于7日。试运行期间由中标人向采购人提供详细的试运行报告，报告中至少应详细记录各种实测、运行数据。项目试运行正常后，中标人向采购人使用单位申请初步验收。初步验收由采购人使用单位按试运行报告及合同约定，现场查看货物使用情况。初验完成后，中标人填写初验验收报告并经采购人使用单位确认。 3.采购人最终验收 采购人使用单位根据初验结果，向学校提交最终验收申请，由学校组织校内相关部门及有关专家进行项目的最终验收。验收依据为合同文本、招投标文件和国内相应的标准、规范，合同内所列功能参数逐条验收，并符合采购人稳定安全正常使用的需求。验收合格后，采购人填写终验验收单，并由中标人向采购人提交设备所包含的所有资料，以便采购人使用单位日后管理和维护。验收不合格的，限期整改，整改过程中产生的费用和设备发生的一切损失由中标人承担；整改超过二次的，采购人有权单方解除合同，中标人应无条件退还已收取的全部货款，并按合同总价20%向采购人支付违约金。履约保证金不予退还。履约保证金及违约金不足弥补采购人损失的，由中标人负责赔偿。</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联系人：王佼、祝清江、郭燕妮</w:t>
      </w:r>
    </w:p>
    <w:p>
      <w:pPr>
        <w:pStyle w:val="null3"/>
      </w:pPr>
      <w:r>
        <w:rPr>
          <w:rFonts w:ascii="仿宋_GB2312" w:hAnsi="仿宋_GB2312" w:cs="仿宋_GB2312" w:eastAsia="仿宋_GB2312"/>
        </w:rPr>
        <w:t>联系电话：029-87888601-8007</w:t>
      </w:r>
    </w:p>
    <w:p>
      <w:pPr>
        <w:pStyle w:val="null3"/>
      </w:pPr>
      <w:r>
        <w:rPr>
          <w:rFonts w:ascii="仿宋_GB2312" w:hAnsi="仿宋_GB2312" w:cs="仿宋_GB2312" w:eastAsia="仿宋_GB2312"/>
        </w:rPr>
        <w:t>地址：陕西省西安市碑林区长安北路8B陕西高速经纬大厦16层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本项目为雁塔幼儿园大型玩教具购置，1批。具体内容详见招标文件第三章。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960,000.00</w:t>
      </w:r>
    </w:p>
    <w:p>
      <w:pPr>
        <w:pStyle w:val="null3"/>
      </w:pPr>
      <w:r>
        <w:rPr>
          <w:rFonts w:ascii="仿宋_GB2312" w:hAnsi="仿宋_GB2312" w:cs="仿宋_GB2312" w:eastAsia="仿宋_GB2312"/>
        </w:rPr>
        <w:t>采购包最高限价（元）: 960,000.00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大型玩教具购置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标的名称：大型玩教具购置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一、采购清单</w:t>
            </w:r>
          </w:p>
          <w:tbl>
            <w:tblPr>
              <w:tblBorders>
                <w:top w:val="none" w:color="000000" w:sz="4"/>
                <w:left w:val="none" w:color="000000" w:sz="4"/>
                <w:bottom w:val="none" w:color="000000" w:sz="4"/>
                <w:right w:val="none" w:color="000000" w:sz="4"/>
                <w:insideH w:val="none"/>
                <w:insideV w:val="none"/>
              </w:tblBorders>
            </w:tblPr>
            <w:tblGrid>
              <w:gridCol w:w="289"/>
              <w:gridCol w:w="1057"/>
              <w:gridCol w:w="557"/>
              <w:gridCol w:w="649"/>
            </w:tblGrid>
            <w:tr>
              <w:tc>
                <w:tcPr>
                  <w:tcW w:type="dxa" w:w="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10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货物名称</w:t>
                  </w:r>
                </w:p>
              </w:tc>
              <w:tc>
                <w:tcPr>
                  <w:tcW w:type="dxa" w:w="5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6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主立柱</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套</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横梁</w:t>
                  </w:r>
                  <w:r>
                    <w:rPr>
                      <w:rFonts w:ascii="仿宋_GB2312" w:hAnsi="仿宋_GB2312" w:cs="仿宋_GB2312" w:eastAsia="仿宋_GB2312"/>
                      <w:sz w:val="20"/>
                    </w:rPr>
                    <w:t>/支撑梁</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套</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平台面板</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套</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安全护栏</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套</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滑梯</w:t>
                  </w:r>
                  <w:r>
                    <w:rPr>
                      <w:rFonts w:ascii="仿宋_GB2312" w:hAnsi="仿宋_GB2312" w:cs="仿宋_GB2312" w:eastAsia="仿宋_GB2312"/>
                      <w:sz w:val="20"/>
                    </w:rPr>
                    <w:t>/钻洞隧道</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套</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滑梯坡度</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套</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彩虹隧道</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套</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平台栈道组合</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套</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直滑梯</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套</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波浪滑梯</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套</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彩虹钻洞隧道</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套</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攀爬网组合</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套</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互动游戏区</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套</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辅助攀爬梯</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套</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风车趣味装饰</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个</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b/>
                <w:shd w:fill="FFFFFF" w:val="clear"/>
              </w:rPr>
              <w:t>二、技术参数</w:t>
            </w:r>
          </w:p>
          <w:tbl>
            <w:tblPr>
              <w:tblInd w:type="dxa" w:w="135"/>
              <w:tblBorders>
                <w:top w:val="none" w:color="000000" w:sz="4"/>
                <w:left w:val="none" w:color="000000" w:sz="4"/>
                <w:bottom w:val="none" w:color="000000" w:sz="4"/>
                <w:right w:val="none" w:color="000000" w:sz="4"/>
                <w:insideH w:val="none"/>
                <w:insideV w:val="none"/>
              </w:tblBorders>
            </w:tblPr>
            <w:tblGrid>
              <w:gridCol w:w="184"/>
              <w:gridCol w:w="357"/>
              <w:gridCol w:w="2011"/>
            </w:tblGrid>
            <w:tr>
              <w:tc>
                <w:tcPr>
                  <w:tcW w:type="dxa" w:w="1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3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货物</w:t>
                  </w:r>
                </w:p>
                <w:p>
                  <w:pPr>
                    <w:pStyle w:val="null3"/>
                    <w:jc w:val="center"/>
                  </w:pPr>
                  <w:r>
                    <w:rPr>
                      <w:rFonts w:ascii="仿宋_GB2312" w:hAnsi="仿宋_GB2312" w:cs="仿宋_GB2312" w:eastAsia="仿宋_GB2312"/>
                      <w:sz w:val="20"/>
                    </w:rPr>
                    <w:t>名称</w:t>
                  </w:r>
                </w:p>
              </w:tc>
              <w:tc>
                <w:tcPr>
                  <w:tcW w:type="dxa" w:w="20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技术参数</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主立柱</w:t>
                  </w:r>
                </w:p>
              </w:tc>
              <w:tc>
                <w:tcPr>
                  <w:tcW w:type="dxa" w:w="2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rPr>
                    <w:t>1.</w:t>
                  </w:r>
                  <w:r>
                    <w:rPr>
                      <w:rFonts w:ascii="仿宋_GB2312" w:hAnsi="仿宋_GB2312" w:cs="仿宋_GB2312" w:eastAsia="仿宋_GB2312"/>
                      <w:sz w:val="20"/>
                      <w:color w:val="000000"/>
                    </w:rPr>
                    <w:t>材质：</w:t>
                  </w:r>
                  <w:r>
                    <w:rPr>
                      <w:rFonts w:ascii="仿宋_GB2312" w:hAnsi="仿宋_GB2312" w:cs="仿宋_GB2312" w:eastAsia="仿宋_GB2312"/>
                      <w:sz w:val="20"/>
                      <w:color w:val="000000"/>
                    </w:rPr>
                    <w:t>Q235B 国标镀锌钢管；</w:t>
                  </w:r>
                </w:p>
                <w:p>
                  <w:pPr>
                    <w:pStyle w:val="null3"/>
                    <w:ind w:left="420"/>
                    <w:jc w:val="left"/>
                  </w:pPr>
                  <w:r>
                    <w:rPr>
                      <w:rFonts w:ascii="仿宋_GB2312" w:hAnsi="仿宋_GB2312" w:cs="仿宋_GB2312" w:eastAsia="仿宋_GB2312"/>
                      <w:sz w:val="20"/>
                    </w:rPr>
                    <w:t>2.</w:t>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φ114×2mm，壁厚均匀，无裂缝、砂眼；</w:t>
                  </w:r>
                </w:p>
                <w:p>
                  <w:pPr>
                    <w:pStyle w:val="null3"/>
                    <w:ind w:left="420"/>
                    <w:jc w:val="left"/>
                  </w:pPr>
                  <w:r>
                    <w:rPr>
                      <w:rFonts w:ascii="仿宋_GB2312" w:hAnsi="仿宋_GB2312" w:cs="仿宋_GB2312" w:eastAsia="仿宋_GB2312"/>
                      <w:sz w:val="20"/>
                    </w:rPr>
                    <w:t>3.</w:t>
                  </w:r>
                  <w:r>
                    <w:rPr>
                      <w:rFonts w:ascii="仿宋_GB2312" w:hAnsi="仿宋_GB2312" w:cs="仿宋_GB2312" w:eastAsia="仿宋_GB2312"/>
                      <w:sz w:val="20"/>
                      <w:color w:val="000000"/>
                    </w:rPr>
                    <w:t>执行标准：</w:t>
                  </w:r>
                  <w:r>
                    <w:rPr>
                      <w:rFonts w:ascii="仿宋_GB2312" w:hAnsi="仿宋_GB2312" w:cs="仿宋_GB2312" w:eastAsia="仿宋_GB2312"/>
                      <w:sz w:val="20"/>
                      <w:color w:val="000000"/>
                    </w:rPr>
                    <w:t>GB/T 700-2006</w:t>
                  </w:r>
                  <w:r>
                    <w:rPr>
                      <w:rFonts w:ascii="仿宋_GB2312" w:hAnsi="仿宋_GB2312" w:cs="仿宋_GB2312" w:eastAsia="仿宋_GB2312"/>
                      <w:sz w:val="20"/>
                      <w:color w:val="000000"/>
                    </w:rPr>
                    <w:t>；</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横梁</w:t>
                  </w:r>
                  <w:r>
                    <w:rPr>
                      <w:rFonts w:ascii="仿宋_GB2312" w:hAnsi="仿宋_GB2312" w:cs="仿宋_GB2312" w:eastAsia="仿宋_GB2312"/>
                      <w:sz w:val="20"/>
                      <w:color w:val="000000"/>
                    </w:rPr>
                    <w:t>/支撑梁</w:t>
                  </w:r>
                </w:p>
              </w:tc>
              <w:tc>
                <w:tcPr>
                  <w:tcW w:type="dxa" w:w="2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rPr>
                    <w:t>4.</w:t>
                  </w:r>
                  <w:r>
                    <w:rPr>
                      <w:rFonts w:ascii="仿宋_GB2312" w:hAnsi="仿宋_GB2312" w:cs="仿宋_GB2312" w:eastAsia="仿宋_GB2312"/>
                      <w:sz w:val="20"/>
                      <w:color w:val="000000"/>
                    </w:rPr>
                    <w:t>材质：</w:t>
                  </w:r>
                  <w:r>
                    <w:rPr>
                      <w:rFonts w:ascii="仿宋_GB2312" w:hAnsi="仿宋_GB2312" w:cs="仿宋_GB2312" w:eastAsia="仿宋_GB2312"/>
                      <w:sz w:val="20"/>
                      <w:color w:val="000000"/>
                    </w:rPr>
                    <w:t>Q235B方管；</w:t>
                  </w:r>
                </w:p>
                <w:p>
                  <w:pPr>
                    <w:pStyle w:val="null3"/>
                    <w:ind w:left="420"/>
                    <w:jc w:val="left"/>
                  </w:pPr>
                  <w:r>
                    <w:rPr>
                      <w:rFonts w:ascii="仿宋_GB2312" w:hAnsi="仿宋_GB2312" w:cs="仿宋_GB2312" w:eastAsia="仿宋_GB2312"/>
                      <w:sz w:val="20"/>
                    </w:rPr>
                    <w:t>5.</w:t>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80×80×3.0mm，表面热浸镀锌处理，镀锌层厚度≥85μm；</w:t>
                  </w:r>
                </w:p>
                <w:p>
                  <w:pPr>
                    <w:pStyle w:val="null3"/>
                    <w:ind w:left="420"/>
                    <w:jc w:val="left"/>
                  </w:pPr>
                  <w:r>
                    <w:rPr>
                      <w:rFonts w:ascii="仿宋_GB2312" w:hAnsi="仿宋_GB2312" w:cs="仿宋_GB2312" w:eastAsia="仿宋_GB2312"/>
                      <w:sz w:val="20"/>
                    </w:rPr>
                    <w:t>6.</w:t>
                  </w:r>
                  <w:r>
                    <w:rPr>
                      <w:rFonts w:ascii="仿宋_GB2312" w:hAnsi="仿宋_GB2312" w:cs="仿宋_GB2312" w:eastAsia="仿宋_GB2312"/>
                      <w:sz w:val="20"/>
                      <w:color w:val="000000"/>
                    </w:rPr>
                    <w:t>执行标准：</w:t>
                  </w:r>
                  <w:r>
                    <w:rPr>
                      <w:rFonts w:ascii="仿宋_GB2312" w:hAnsi="仿宋_GB2312" w:cs="仿宋_GB2312" w:eastAsia="仿宋_GB2312"/>
                      <w:sz w:val="20"/>
                      <w:color w:val="000000"/>
                    </w:rPr>
                    <w:t>GB/T 13912-2020；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平台面板</w:t>
                  </w:r>
                </w:p>
              </w:tc>
              <w:tc>
                <w:tcPr>
                  <w:tcW w:type="dxa" w:w="2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rPr>
                    <w:t>7.</w:t>
                  </w:r>
                  <w:r>
                    <w:rPr>
                      <w:rFonts w:ascii="仿宋_GB2312" w:hAnsi="仿宋_GB2312" w:cs="仿宋_GB2312" w:eastAsia="仿宋_GB2312"/>
                      <w:sz w:val="20"/>
                      <w:color w:val="000000"/>
                    </w:rPr>
                    <w:t>材质：户外防腐木，厚度</w:t>
                  </w:r>
                  <w:r>
                    <w:rPr>
                      <w:rFonts w:ascii="仿宋_GB2312" w:hAnsi="仿宋_GB2312" w:cs="仿宋_GB2312" w:eastAsia="仿宋_GB2312"/>
                      <w:sz w:val="20"/>
                      <w:color w:val="000000"/>
                    </w:rPr>
                    <w:t>≥2.0mm；</w:t>
                  </w:r>
                </w:p>
                <w:p>
                  <w:pPr>
                    <w:pStyle w:val="null3"/>
                    <w:ind w:left="420"/>
                    <w:jc w:val="left"/>
                  </w:pPr>
                  <w:r>
                    <w:rPr>
                      <w:rFonts w:ascii="仿宋_GB2312" w:hAnsi="仿宋_GB2312" w:cs="仿宋_GB2312" w:eastAsia="仿宋_GB2312"/>
                      <w:sz w:val="20"/>
                    </w:rPr>
                    <w:t>8.</w:t>
                  </w:r>
                  <w:r>
                    <w:rPr>
                      <w:rFonts w:ascii="仿宋_GB2312" w:hAnsi="仿宋_GB2312" w:cs="仿宋_GB2312" w:eastAsia="仿宋_GB2312"/>
                      <w:sz w:val="20"/>
                      <w:color w:val="000000"/>
                    </w:rPr>
                    <w:t>规格：表面喷涂户外环保木头专用漆，边缘圆角打磨，无尖锐棱角；</w:t>
                  </w:r>
                </w:p>
                <w:p>
                  <w:pPr>
                    <w:pStyle w:val="null3"/>
                    <w:ind w:left="420"/>
                    <w:jc w:val="left"/>
                  </w:pPr>
                  <w:r>
                    <w:rPr>
                      <w:rFonts w:ascii="仿宋_GB2312" w:hAnsi="仿宋_GB2312" w:cs="仿宋_GB2312" w:eastAsia="仿宋_GB2312"/>
                      <w:sz w:val="20"/>
                    </w:rPr>
                    <w:t>9.</w:t>
                  </w:r>
                  <w:r>
                    <w:rPr>
                      <w:rFonts w:ascii="仿宋_GB2312" w:hAnsi="仿宋_GB2312" w:cs="仿宋_GB2312" w:eastAsia="仿宋_GB2312"/>
                      <w:sz w:val="20"/>
                      <w:color w:val="000000"/>
                    </w:rPr>
                    <w:t>执行标准：</w:t>
                  </w:r>
                  <w:r>
                    <w:rPr>
                      <w:rFonts w:ascii="仿宋_GB2312" w:hAnsi="仿宋_GB2312" w:cs="仿宋_GB2312" w:eastAsia="仿宋_GB2312"/>
                      <w:sz w:val="20"/>
                      <w:color w:val="000000"/>
                    </w:rPr>
                    <w:t>GB/T 9846-2015</w:t>
                  </w:r>
                  <w:r>
                    <w:rPr>
                      <w:rFonts w:ascii="仿宋_GB2312" w:hAnsi="仿宋_GB2312" w:cs="仿宋_GB2312" w:eastAsia="仿宋_GB2312"/>
                      <w:sz w:val="20"/>
                      <w:color w:val="000000"/>
                    </w:rPr>
                    <w:t>；</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安全护栏</w:t>
                  </w:r>
                </w:p>
              </w:tc>
              <w:tc>
                <w:tcPr>
                  <w:tcW w:type="dxa" w:w="2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rPr>
                    <w:t>10.</w:t>
                  </w:r>
                  <w:r>
                    <w:rPr>
                      <w:rFonts w:ascii="仿宋_GB2312" w:hAnsi="仿宋_GB2312" w:cs="仿宋_GB2312" w:eastAsia="仿宋_GB2312"/>
                      <w:sz w:val="20"/>
                      <w:color w:val="000000"/>
                    </w:rPr>
                    <w:t>材质、规格：高度</w:t>
                  </w:r>
                  <w:r>
                    <w:rPr>
                      <w:rFonts w:ascii="仿宋_GB2312" w:hAnsi="仿宋_GB2312" w:cs="仿宋_GB2312" w:eastAsia="仿宋_GB2312"/>
                      <w:sz w:val="20"/>
                      <w:color w:val="000000"/>
                    </w:rPr>
                    <w:t>≥1200mm，竖杆间距≤110mm，横杆采用φ38×2.5mm镀锌钢管，表面静电喷塑，喷塑层厚度≥60μm，无攀爬落脚点；</w:t>
                  </w:r>
                </w:p>
                <w:p>
                  <w:pPr>
                    <w:pStyle w:val="null3"/>
                    <w:ind w:left="420"/>
                    <w:jc w:val="left"/>
                  </w:pPr>
                  <w:r>
                    <w:rPr>
                      <w:rFonts w:ascii="仿宋_GB2312" w:hAnsi="仿宋_GB2312" w:cs="仿宋_GB2312" w:eastAsia="仿宋_GB2312"/>
                      <w:sz w:val="20"/>
                    </w:rPr>
                    <w:t>11.</w:t>
                  </w:r>
                  <w:r>
                    <w:rPr>
                      <w:rFonts w:ascii="仿宋_GB2312" w:hAnsi="仿宋_GB2312" w:cs="仿宋_GB2312" w:eastAsia="仿宋_GB2312"/>
                      <w:sz w:val="20"/>
                      <w:color w:val="000000"/>
                    </w:rPr>
                    <w:t>执行标准：</w:t>
                  </w:r>
                  <w:r>
                    <w:rPr>
                      <w:rFonts w:ascii="仿宋_GB2312" w:hAnsi="仿宋_GB2312" w:cs="仿宋_GB2312" w:eastAsia="仿宋_GB2312"/>
                      <w:sz w:val="20"/>
                      <w:color w:val="000000"/>
                    </w:rPr>
                    <w:t>GB 8408-2018；</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滑梯</w:t>
                  </w:r>
                  <w:r>
                    <w:rPr>
                      <w:rFonts w:ascii="仿宋_GB2312" w:hAnsi="仿宋_GB2312" w:cs="仿宋_GB2312" w:eastAsia="仿宋_GB2312"/>
                      <w:sz w:val="20"/>
                      <w:color w:val="000000"/>
                    </w:rPr>
                    <w:t>/钻洞隧道</w:t>
                  </w:r>
                </w:p>
              </w:tc>
              <w:tc>
                <w:tcPr>
                  <w:tcW w:type="dxa" w:w="2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rPr>
                    <w:t>12.</w:t>
                  </w:r>
                  <w:r>
                    <w:rPr>
                      <w:rFonts w:ascii="仿宋_GB2312" w:hAnsi="仿宋_GB2312" w:cs="仿宋_GB2312" w:eastAsia="仿宋_GB2312"/>
                      <w:sz w:val="20"/>
                      <w:color w:val="000000"/>
                    </w:rPr>
                    <w:t>材质：食品级</w:t>
                  </w:r>
                  <w:r>
                    <w:rPr>
                      <w:rFonts w:ascii="仿宋_GB2312" w:hAnsi="仿宋_GB2312" w:cs="仿宋_GB2312" w:eastAsia="仿宋_GB2312"/>
                      <w:sz w:val="20"/>
                      <w:color w:val="000000"/>
                    </w:rPr>
                    <w:t>LLDPE（线性低密度聚乙烯）；</w:t>
                  </w:r>
                </w:p>
                <w:p>
                  <w:pPr>
                    <w:pStyle w:val="null3"/>
                    <w:ind w:left="420"/>
                    <w:jc w:val="left"/>
                  </w:pPr>
                  <w:r>
                    <w:rPr>
                      <w:rFonts w:ascii="仿宋_GB2312" w:hAnsi="仿宋_GB2312" w:cs="仿宋_GB2312" w:eastAsia="仿宋_GB2312"/>
                      <w:sz w:val="20"/>
                    </w:rPr>
                    <w:t>13.</w:t>
                  </w:r>
                  <w:r>
                    <w:rPr>
                      <w:rFonts w:ascii="仿宋_GB2312" w:hAnsi="仿宋_GB2312" w:cs="仿宋_GB2312" w:eastAsia="仿宋_GB2312"/>
                      <w:sz w:val="20"/>
                      <w:color w:val="000000"/>
                    </w:rPr>
                    <w:t>规格：壁厚</w:t>
                  </w:r>
                  <w:r>
                    <w:rPr>
                      <w:rFonts w:ascii="仿宋_GB2312" w:hAnsi="仿宋_GB2312" w:cs="仿宋_GB2312" w:eastAsia="仿宋_GB2312"/>
                      <w:sz w:val="20"/>
                      <w:color w:val="000000"/>
                    </w:rPr>
                    <w:t>≥8mm，滚塑一体成型，无接缝；</w:t>
                  </w:r>
                </w:p>
                <w:p>
                  <w:pPr>
                    <w:pStyle w:val="null3"/>
                    <w:ind w:left="420"/>
                    <w:jc w:val="left"/>
                  </w:pPr>
                  <w:r>
                    <w:rPr>
                      <w:rFonts w:ascii="仿宋_GB2312" w:hAnsi="仿宋_GB2312" w:cs="仿宋_GB2312" w:eastAsia="仿宋_GB2312"/>
                      <w:sz w:val="20"/>
                    </w:rPr>
                    <w:t>14.</w:t>
                  </w:r>
                  <w:r>
                    <w:rPr>
                      <w:rFonts w:ascii="仿宋_GB2312" w:hAnsi="仿宋_GB2312" w:cs="仿宋_GB2312" w:eastAsia="仿宋_GB2312"/>
                      <w:sz w:val="20"/>
                      <w:color w:val="000000"/>
                    </w:rPr>
                    <w:t>环保要求：环保色母着色，耐晒不褪色，阻燃等级</w:t>
                  </w:r>
                  <w:r>
                    <w:rPr>
                      <w:rFonts w:ascii="仿宋_GB2312" w:hAnsi="仿宋_GB2312" w:cs="仿宋_GB2312" w:eastAsia="仿宋_GB2312"/>
                      <w:sz w:val="20"/>
                      <w:color w:val="000000"/>
                    </w:rPr>
                    <w:t>V-0级，表面光滑无毛刺；</w:t>
                  </w:r>
                </w:p>
                <w:p>
                  <w:pPr>
                    <w:pStyle w:val="null3"/>
                    <w:ind w:left="420"/>
                    <w:jc w:val="left"/>
                  </w:pPr>
                  <w:r>
                    <w:rPr>
                      <w:rFonts w:ascii="仿宋_GB2312" w:hAnsi="仿宋_GB2312" w:cs="仿宋_GB2312" w:eastAsia="仿宋_GB2312"/>
                      <w:sz w:val="20"/>
                    </w:rPr>
                    <w:t>15.</w:t>
                  </w:r>
                  <w:r>
                    <w:rPr>
                      <w:rFonts w:ascii="仿宋_GB2312" w:hAnsi="仿宋_GB2312" w:cs="仿宋_GB2312" w:eastAsia="仿宋_GB2312"/>
                      <w:sz w:val="20"/>
                      <w:color w:val="000000"/>
                    </w:rPr>
                    <w:t>执行标准</w:t>
                  </w:r>
                  <w:r>
                    <w:rPr>
                      <w:rFonts w:ascii="仿宋_GB2312" w:hAnsi="仿宋_GB2312" w:cs="仿宋_GB2312" w:eastAsia="仿宋_GB2312"/>
                      <w:sz w:val="20"/>
                      <w:color w:val="000000"/>
                    </w:rPr>
                    <w:t>:GB 6675.1-2014；</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滑梯坡度</w:t>
                  </w:r>
                </w:p>
              </w:tc>
              <w:tc>
                <w:tcPr>
                  <w:tcW w:type="dxa" w:w="2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rPr>
                    <w:t>16.</w:t>
                  </w:r>
                  <w:r>
                    <w:rPr>
                      <w:rFonts w:ascii="仿宋_GB2312" w:hAnsi="仿宋_GB2312" w:cs="仿宋_GB2312" w:eastAsia="仿宋_GB2312"/>
                      <w:sz w:val="20"/>
                      <w:color w:val="000000"/>
                    </w:rPr>
                    <w:t>安全要求：滑梯主体坡度</w:t>
                  </w:r>
                  <w:r>
                    <w:rPr>
                      <w:rFonts w:ascii="仿宋_GB2312" w:hAnsi="仿宋_GB2312" w:cs="仿宋_GB2312" w:eastAsia="仿宋_GB2312"/>
                      <w:sz w:val="20"/>
                      <w:color w:val="000000"/>
                    </w:rPr>
                    <w:t>30°～35°，末端缓冲区长度≥500mm，两侧挡板高度≥300mm，出口距地面高度≤300mm；</w:t>
                  </w:r>
                </w:p>
                <w:p>
                  <w:pPr>
                    <w:pStyle w:val="null3"/>
                    <w:ind w:left="420"/>
                    <w:jc w:val="left"/>
                  </w:pPr>
                  <w:r>
                    <w:rPr>
                      <w:rFonts w:ascii="仿宋_GB2312" w:hAnsi="仿宋_GB2312" w:cs="仿宋_GB2312" w:eastAsia="仿宋_GB2312"/>
                      <w:sz w:val="20"/>
                    </w:rPr>
                    <w:t>17.</w:t>
                  </w:r>
                  <w:r>
                    <w:rPr>
                      <w:rFonts w:ascii="仿宋_GB2312" w:hAnsi="仿宋_GB2312" w:cs="仿宋_GB2312" w:eastAsia="仿宋_GB2312"/>
                      <w:sz w:val="20"/>
                      <w:color w:val="000000"/>
                    </w:rPr>
                    <w:t>执行标准：</w:t>
                  </w:r>
                  <w:r>
                    <w:rPr>
                      <w:rFonts w:ascii="仿宋_GB2312" w:hAnsi="仿宋_GB2312" w:cs="仿宋_GB2312" w:eastAsia="仿宋_GB2312"/>
                      <w:sz w:val="20"/>
                      <w:color w:val="000000"/>
                    </w:rPr>
                    <w:t>GB 8408-2018；</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彩虹隧道</w:t>
                  </w:r>
                </w:p>
              </w:tc>
              <w:tc>
                <w:tcPr>
                  <w:tcW w:type="dxa" w:w="2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rPr>
                    <w:t>18.</w:t>
                  </w:r>
                  <w:r>
                    <w:rPr>
                      <w:rFonts w:ascii="仿宋_GB2312" w:hAnsi="仿宋_GB2312" w:cs="仿宋_GB2312" w:eastAsia="仿宋_GB2312"/>
                      <w:sz w:val="20"/>
                    </w:rPr>
                    <w:t>材质：食品级</w:t>
                  </w:r>
                  <w:r>
                    <w:rPr>
                      <w:rFonts w:ascii="仿宋_GB2312" w:hAnsi="仿宋_GB2312" w:cs="仿宋_GB2312" w:eastAsia="仿宋_GB2312"/>
                      <w:sz w:val="20"/>
                    </w:rPr>
                    <w:t>LLDPE（线性低密度聚乙烯）；</w:t>
                  </w:r>
                </w:p>
                <w:p>
                  <w:pPr>
                    <w:pStyle w:val="null3"/>
                    <w:ind w:left="420"/>
                    <w:jc w:val="left"/>
                  </w:pPr>
                  <w:r>
                    <w:rPr>
                      <w:rFonts w:ascii="仿宋_GB2312" w:hAnsi="仿宋_GB2312" w:cs="仿宋_GB2312" w:eastAsia="仿宋_GB2312"/>
                      <w:sz w:val="20"/>
                    </w:rPr>
                    <w:t>19.</w:t>
                  </w:r>
                  <w:r>
                    <w:rPr>
                      <w:rFonts w:ascii="仿宋_GB2312" w:hAnsi="仿宋_GB2312" w:cs="仿宋_GB2312" w:eastAsia="仿宋_GB2312"/>
                      <w:sz w:val="20"/>
                      <w:color w:val="000000"/>
                    </w:rPr>
                    <w:t>规格：直径</w:t>
                  </w:r>
                  <w:r>
                    <w:rPr>
                      <w:rFonts w:ascii="仿宋_GB2312" w:hAnsi="仿宋_GB2312" w:cs="仿宋_GB2312" w:eastAsia="仿宋_GB2312"/>
                      <w:sz w:val="20"/>
                      <w:color w:val="000000"/>
                    </w:rPr>
                    <w:t>≥600mm，壁厚≥8mm，透明+彩色相间设计；</w:t>
                  </w:r>
                </w:p>
                <w:p>
                  <w:pPr>
                    <w:pStyle w:val="null3"/>
                    <w:ind w:left="420"/>
                    <w:jc w:val="left"/>
                  </w:pPr>
                  <w:r>
                    <w:rPr>
                      <w:rFonts w:ascii="仿宋_GB2312" w:hAnsi="仿宋_GB2312" w:cs="仿宋_GB2312" w:eastAsia="仿宋_GB2312"/>
                      <w:sz w:val="20"/>
                    </w:rPr>
                    <w:t>20.</w:t>
                  </w:r>
                  <w:r>
                    <w:rPr>
                      <w:rFonts w:ascii="仿宋_GB2312" w:hAnsi="仿宋_GB2312" w:cs="仿宋_GB2312" w:eastAsia="仿宋_GB2312"/>
                      <w:sz w:val="20"/>
                      <w:color w:val="000000"/>
                    </w:rPr>
                    <w:t>安全要求：</w:t>
                  </w:r>
                  <w:r>
                    <w:rPr>
                      <w:rFonts w:ascii="仿宋_GB2312" w:hAnsi="仿宋_GB2312" w:cs="仿宋_GB2312" w:eastAsia="仿宋_GB2312"/>
                      <w:sz w:val="20"/>
                    </w:rPr>
                    <w:t>内部所有凸起构件高度</w:t>
                  </w:r>
                  <w:r>
                    <w:rPr>
                      <w:rFonts w:ascii="仿宋_GB2312" w:hAnsi="仿宋_GB2312" w:cs="仿宋_GB2312" w:eastAsia="仿宋_GB2312"/>
                      <w:sz w:val="20"/>
                    </w:rPr>
                    <w:t>≤2mm，全部圆角打磨，</w:t>
                  </w:r>
                  <w:r>
                    <w:rPr>
                      <w:rFonts w:ascii="仿宋_GB2312" w:hAnsi="仿宋_GB2312" w:cs="仿宋_GB2312" w:eastAsia="仿宋_GB2312"/>
                      <w:sz w:val="20"/>
                      <w:color w:val="000000"/>
                    </w:rPr>
                    <w:t>两端与平台牢固连接，无晃动；</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平台栈道组合</w:t>
                  </w:r>
                </w:p>
              </w:tc>
              <w:tc>
                <w:tcPr>
                  <w:tcW w:type="dxa" w:w="2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rPr>
                    <w:t>21.</w:t>
                  </w:r>
                  <w:r>
                    <w:rPr>
                      <w:rFonts w:ascii="仿宋_GB2312" w:hAnsi="仿宋_GB2312" w:cs="仿宋_GB2312" w:eastAsia="仿宋_GB2312"/>
                      <w:sz w:val="20"/>
                      <w:color w:val="000000"/>
                    </w:rPr>
                    <w:t>规格：长</w:t>
                  </w:r>
                  <w:r>
                    <w:rPr>
                      <w:rFonts w:ascii="仿宋_GB2312" w:hAnsi="仿宋_GB2312" w:cs="仿宋_GB2312" w:eastAsia="仿宋_GB2312"/>
                      <w:sz w:val="20"/>
                      <w:color w:val="000000"/>
                    </w:rPr>
                    <w:t>37m × 宽1.2m × 高1.2-1.5m ；</w:t>
                  </w:r>
                </w:p>
                <w:p>
                  <w:pPr>
                    <w:pStyle w:val="null3"/>
                    <w:ind w:left="420"/>
                    <w:jc w:val="left"/>
                  </w:pPr>
                  <w:r>
                    <w:rPr>
                      <w:rFonts w:ascii="仿宋_GB2312" w:hAnsi="仿宋_GB2312" w:cs="仿宋_GB2312" w:eastAsia="仿宋_GB2312"/>
                      <w:sz w:val="20"/>
                    </w:rPr>
                    <w:t>22.</w:t>
                  </w:r>
                  <w:r>
                    <w:rPr>
                      <w:rFonts w:ascii="仿宋_GB2312" w:hAnsi="仿宋_GB2312" w:cs="仿宋_GB2312" w:eastAsia="仿宋_GB2312"/>
                      <w:sz w:val="20"/>
                      <w:color w:val="000000"/>
                    </w:rPr>
                    <w:t>防滑平台</w:t>
                  </w:r>
                  <w:r>
                    <w:rPr>
                      <w:rFonts w:ascii="仿宋_GB2312" w:hAnsi="仿宋_GB2312" w:cs="仿宋_GB2312" w:eastAsia="仿宋_GB2312"/>
                      <w:sz w:val="20"/>
                      <w:color w:val="000000"/>
                    </w:rPr>
                    <w:t>+安全护栏+连接栈道，整体贯通，满足儿童通行与游戏；</w:t>
                  </w:r>
                </w:p>
                <w:p>
                  <w:pPr>
                    <w:pStyle w:val="null3"/>
                    <w:ind w:left="420"/>
                    <w:jc w:val="left"/>
                  </w:pPr>
                  <w:r>
                    <w:rPr>
                      <w:rFonts w:ascii="仿宋_GB2312" w:hAnsi="仿宋_GB2312" w:cs="仿宋_GB2312" w:eastAsia="仿宋_GB2312"/>
                      <w:sz w:val="20"/>
                    </w:rPr>
                    <w:t>23.</w:t>
                  </w:r>
                  <w:r>
                    <w:rPr>
                      <w:rFonts w:ascii="仿宋_GB2312" w:hAnsi="仿宋_GB2312" w:cs="仿宋_GB2312" w:eastAsia="仿宋_GB2312"/>
                      <w:sz w:val="20"/>
                    </w:rPr>
                    <w:t>材质：</w:t>
                  </w:r>
                  <w:r>
                    <w:rPr>
                      <w:rFonts w:ascii="仿宋_GB2312" w:hAnsi="仿宋_GB2312" w:cs="仿宋_GB2312" w:eastAsia="仿宋_GB2312"/>
                      <w:sz w:val="20"/>
                    </w:rPr>
                    <w:t>户外防腐木（厚度</w:t>
                  </w:r>
                  <w:r>
                    <w:rPr>
                      <w:rFonts w:ascii="仿宋_GB2312" w:hAnsi="仿宋_GB2312" w:cs="仿宋_GB2312" w:eastAsia="仿宋_GB2312"/>
                      <w:sz w:val="20"/>
                    </w:rPr>
                    <w:t>≥2.0mm）+Q235B 国标镀锌钢管</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直滑梯</w:t>
                  </w:r>
                </w:p>
              </w:tc>
              <w:tc>
                <w:tcPr>
                  <w:tcW w:type="dxa" w:w="2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rPr>
                    <w:t>24.</w:t>
                  </w:r>
                  <w:r>
                    <w:rPr>
                      <w:rFonts w:ascii="仿宋_GB2312" w:hAnsi="仿宋_GB2312" w:cs="仿宋_GB2312" w:eastAsia="仿宋_GB2312"/>
                      <w:sz w:val="20"/>
                      <w:color w:val="000000"/>
                    </w:rPr>
                    <w:t>规格：高度</w:t>
                  </w:r>
                  <w:r>
                    <w:rPr>
                      <w:rFonts w:ascii="仿宋_GB2312" w:hAnsi="仿宋_GB2312" w:cs="仿宋_GB2312" w:eastAsia="仿宋_GB2312"/>
                      <w:sz w:val="20"/>
                      <w:color w:val="000000"/>
                    </w:rPr>
                    <w:t>1.2m，长度2.5m；</w:t>
                  </w:r>
                </w:p>
                <w:p>
                  <w:pPr>
                    <w:pStyle w:val="null3"/>
                    <w:ind w:left="420"/>
                    <w:jc w:val="left"/>
                  </w:pPr>
                  <w:r>
                    <w:rPr>
                      <w:rFonts w:ascii="仿宋_GB2312" w:hAnsi="仿宋_GB2312" w:cs="仿宋_GB2312" w:eastAsia="仿宋_GB2312"/>
                      <w:sz w:val="20"/>
                    </w:rPr>
                    <w:t>25.</w:t>
                  </w:r>
                  <w:r>
                    <w:rPr>
                      <w:rFonts w:ascii="仿宋_GB2312" w:hAnsi="仿宋_GB2312" w:cs="仿宋_GB2312" w:eastAsia="仿宋_GB2312"/>
                      <w:sz w:val="20"/>
                      <w:color w:val="000000"/>
                    </w:rPr>
                    <w:t>材质：</w:t>
                  </w:r>
                  <w:r>
                    <w:rPr>
                      <w:rFonts w:ascii="仿宋_GB2312" w:hAnsi="仿宋_GB2312" w:cs="仿宋_GB2312" w:eastAsia="仿宋_GB2312"/>
                      <w:sz w:val="20"/>
                      <w:color w:val="000000"/>
                    </w:rPr>
                    <w:t>LLDPE一体成型，末端缓冲设计，适合低龄儿童滑行；</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波浪滑梯</w:t>
                  </w:r>
                </w:p>
              </w:tc>
              <w:tc>
                <w:tcPr>
                  <w:tcW w:type="dxa" w:w="2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rPr>
                    <w:t>26.</w:t>
                  </w:r>
                  <w:r>
                    <w:rPr>
                      <w:rFonts w:ascii="仿宋_GB2312" w:hAnsi="仿宋_GB2312" w:cs="仿宋_GB2312" w:eastAsia="仿宋_GB2312"/>
                      <w:sz w:val="20"/>
                      <w:color w:val="000000"/>
                    </w:rPr>
                    <w:t>规格：高度</w:t>
                  </w:r>
                  <w:r>
                    <w:rPr>
                      <w:rFonts w:ascii="仿宋_GB2312" w:hAnsi="仿宋_GB2312" w:cs="仿宋_GB2312" w:eastAsia="仿宋_GB2312"/>
                      <w:sz w:val="20"/>
                      <w:color w:val="000000"/>
                    </w:rPr>
                    <w:t>1.5m，长度3m；</w:t>
                  </w:r>
                </w:p>
                <w:p>
                  <w:pPr>
                    <w:pStyle w:val="null3"/>
                    <w:ind w:left="420"/>
                    <w:jc w:val="left"/>
                  </w:pPr>
                  <w:r>
                    <w:rPr>
                      <w:rFonts w:ascii="仿宋_GB2312" w:hAnsi="仿宋_GB2312" w:cs="仿宋_GB2312" w:eastAsia="仿宋_GB2312"/>
                      <w:sz w:val="20"/>
                    </w:rPr>
                    <w:t>27.</w:t>
                  </w:r>
                  <w:r>
                    <w:rPr>
                      <w:rFonts w:ascii="仿宋_GB2312" w:hAnsi="仿宋_GB2312" w:cs="仿宋_GB2312" w:eastAsia="仿宋_GB2312"/>
                      <w:sz w:val="20"/>
                      <w:color w:val="000000"/>
                    </w:rPr>
                    <w:t>造型：波浪造型，两侧防护挡板，增加滑行趣味性；</w:t>
                  </w:r>
                </w:p>
                <w:p>
                  <w:pPr>
                    <w:pStyle w:val="null3"/>
                    <w:ind w:left="420"/>
                    <w:jc w:val="left"/>
                  </w:pPr>
                  <w:r>
                    <w:rPr>
                      <w:rFonts w:ascii="仿宋_GB2312" w:hAnsi="仿宋_GB2312" w:cs="仿宋_GB2312" w:eastAsia="仿宋_GB2312"/>
                      <w:sz w:val="20"/>
                    </w:rPr>
                    <w:t>28.</w:t>
                  </w:r>
                  <w:r>
                    <w:rPr>
                      <w:rFonts w:ascii="仿宋_GB2312" w:hAnsi="仿宋_GB2312" w:cs="仿宋_GB2312" w:eastAsia="仿宋_GB2312"/>
                      <w:sz w:val="20"/>
                      <w:color w:val="000000"/>
                    </w:rPr>
                    <w:t>材质：</w:t>
                  </w:r>
                  <w:r>
                    <w:rPr>
                      <w:rFonts w:ascii="仿宋_GB2312" w:hAnsi="仿宋_GB2312" w:cs="仿宋_GB2312" w:eastAsia="仿宋_GB2312"/>
                      <w:sz w:val="20"/>
                    </w:rPr>
                    <w:t>食品级</w:t>
                  </w:r>
                  <w:r>
                    <w:rPr>
                      <w:rFonts w:ascii="仿宋_GB2312" w:hAnsi="仿宋_GB2312" w:cs="仿宋_GB2312" w:eastAsia="仿宋_GB2312"/>
                      <w:sz w:val="20"/>
                    </w:rPr>
                    <w:t>LLDPE，</w:t>
                  </w:r>
                  <w:r>
                    <w:rPr>
                      <w:rFonts w:ascii="仿宋_GB2312" w:hAnsi="仿宋_GB2312" w:cs="仿宋_GB2312" w:eastAsia="仿宋_GB2312"/>
                      <w:sz w:val="20"/>
                      <w:color w:val="000000"/>
                    </w:rPr>
                    <w:t>壁厚</w:t>
                  </w:r>
                  <w:r>
                    <w:rPr>
                      <w:rFonts w:ascii="仿宋_GB2312" w:hAnsi="仿宋_GB2312" w:cs="仿宋_GB2312" w:eastAsia="仿宋_GB2312"/>
                      <w:sz w:val="20"/>
                      <w:color w:val="000000"/>
                    </w:rPr>
                    <w:t>≥8mm，环保耐候；</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彩虹钻洞隧道</w:t>
                  </w:r>
                </w:p>
              </w:tc>
              <w:tc>
                <w:tcPr>
                  <w:tcW w:type="dxa" w:w="2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rPr>
                    <w:t>29.</w:t>
                  </w:r>
                  <w:r>
                    <w:rPr>
                      <w:rFonts w:ascii="仿宋_GB2312" w:hAnsi="仿宋_GB2312" w:cs="仿宋_GB2312" w:eastAsia="仿宋_GB2312"/>
                      <w:sz w:val="20"/>
                      <w:color w:val="000000"/>
                    </w:rPr>
                    <w:t>规格：长度</w:t>
                  </w:r>
                  <w:r>
                    <w:rPr>
                      <w:rFonts w:ascii="仿宋_GB2312" w:hAnsi="仿宋_GB2312" w:cs="仿宋_GB2312" w:eastAsia="仿宋_GB2312"/>
                      <w:sz w:val="20"/>
                      <w:color w:val="000000"/>
                    </w:rPr>
                    <w:t>2m，直径600mm；</w:t>
                  </w:r>
                </w:p>
                <w:p>
                  <w:pPr>
                    <w:pStyle w:val="null3"/>
                    <w:ind w:left="420"/>
                    <w:jc w:val="left"/>
                  </w:pPr>
                  <w:r>
                    <w:rPr>
                      <w:rFonts w:ascii="仿宋_GB2312" w:hAnsi="仿宋_GB2312" w:cs="仿宋_GB2312" w:eastAsia="仿宋_GB2312"/>
                      <w:sz w:val="20"/>
                    </w:rPr>
                    <w:t>30.</w:t>
                  </w:r>
                  <w:r>
                    <w:rPr>
                      <w:rFonts w:ascii="仿宋_GB2312" w:hAnsi="仿宋_GB2312" w:cs="仿宋_GB2312" w:eastAsia="仿宋_GB2312"/>
                      <w:sz w:val="20"/>
                      <w:color w:val="000000"/>
                    </w:rPr>
                    <w:t>材质：彩色透明</w:t>
                  </w:r>
                  <w:r>
                    <w:rPr>
                      <w:rFonts w:ascii="仿宋_GB2312" w:hAnsi="仿宋_GB2312" w:cs="仿宋_GB2312" w:eastAsia="仿宋_GB2312"/>
                      <w:sz w:val="20"/>
                      <w:color w:val="000000"/>
                    </w:rPr>
                    <w:t>LLDPE材质，连接平台两端，提升游戏互动性；</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攀爬网组合</w:t>
                  </w:r>
                </w:p>
              </w:tc>
              <w:tc>
                <w:tcPr>
                  <w:tcW w:type="dxa" w:w="2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rPr>
                    <w:t>31.</w:t>
                  </w:r>
                  <w:r>
                    <w:rPr>
                      <w:rFonts w:ascii="仿宋_GB2312" w:hAnsi="仿宋_GB2312" w:cs="仿宋_GB2312" w:eastAsia="仿宋_GB2312"/>
                      <w:sz w:val="20"/>
                      <w:color w:val="000000"/>
                    </w:rPr>
                    <w:t>规格：网孔</w:t>
                  </w:r>
                  <w:r>
                    <w:rPr>
                      <w:rFonts w:ascii="仿宋_GB2312" w:hAnsi="仿宋_GB2312" w:cs="仿宋_GB2312" w:eastAsia="仿宋_GB2312"/>
                      <w:sz w:val="20"/>
                      <w:color w:val="000000"/>
                    </w:rPr>
                    <w:t>≤150×150mm，绳径≥16mm；</w:t>
                  </w:r>
                </w:p>
                <w:p>
                  <w:pPr>
                    <w:pStyle w:val="null3"/>
                    <w:ind w:left="420"/>
                    <w:jc w:val="left"/>
                  </w:pPr>
                  <w:r>
                    <w:rPr>
                      <w:rFonts w:ascii="仿宋_GB2312" w:hAnsi="仿宋_GB2312" w:cs="仿宋_GB2312" w:eastAsia="仿宋_GB2312"/>
                      <w:sz w:val="20"/>
                    </w:rPr>
                    <w:t>32.</w:t>
                  </w:r>
                  <w:r>
                    <w:rPr>
                      <w:rFonts w:ascii="仿宋_GB2312" w:hAnsi="仿宋_GB2312" w:cs="仿宋_GB2312" w:eastAsia="仿宋_GB2312"/>
                      <w:sz w:val="20"/>
                      <w:color w:val="000000"/>
                    </w:rPr>
                    <w:t>配置：垂直攀爬网、弧形攀爬网，锻炼儿童肢体协调能力；</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互动游戏区</w:t>
                  </w:r>
                </w:p>
              </w:tc>
              <w:tc>
                <w:tcPr>
                  <w:tcW w:type="dxa" w:w="2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rPr>
                    <w:t>33.</w:t>
                  </w:r>
                  <w:r>
                    <w:rPr>
                      <w:rFonts w:ascii="仿宋_GB2312" w:hAnsi="仿宋_GB2312" w:cs="仿宋_GB2312" w:eastAsia="仿宋_GB2312"/>
                      <w:sz w:val="20"/>
                      <w:color w:val="000000"/>
                    </w:rPr>
                    <w:t>功能要求：含认知、齿轮、迷宫游戏板，兼具趣味性与益智性；</w:t>
                  </w:r>
                </w:p>
                <w:p>
                  <w:pPr>
                    <w:pStyle w:val="null3"/>
                    <w:ind w:left="420"/>
                    <w:jc w:val="left"/>
                  </w:pPr>
                  <w:r>
                    <w:rPr>
                      <w:rFonts w:ascii="仿宋_GB2312" w:hAnsi="仿宋_GB2312" w:cs="仿宋_GB2312" w:eastAsia="仿宋_GB2312"/>
                      <w:sz w:val="20"/>
                    </w:rPr>
                    <w:t>34.</w:t>
                  </w:r>
                  <w:r>
                    <w:rPr>
                      <w:rFonts w:ascii="仿宋_GB2312" w:hAnsi="仿宋_GB2312" w:cs="仿宋_GB2312" w:eastAsia="仿宋_GB2312"/>
                      <w:sz w:val="20"/>
                      <w:color w:val="000000"/>
                    </w:rPr>
                    <w:t>材质：</w:t>
                  </w:r>
                  <w:r>
                    <w:rPr>
                      <w:rFonts w:ascii="仿宋_GB2312" w:hAnsi="仿宋_GB2312" w:cs="仿宋_GB2312" w:eastAsia="仿宋_GB2312"/>
                      <w:sz w:val="20"/>
                      <w:color w:val="000000"/>
                    </w:rPr>
                    <w:t>HDPE材质，固定于平台侧面</w:t>
                  </w:r>
                  <w:r>
                    <w:rPr>
                      <w:rFonts w:ascii="仿宋_GB2312" w:hAnsi="仿宋_GB2312" w:cs="仿宋_GB2312" w:eastAsia="仿宋_GB2312"/>
                      <w:sz w:val="20"/>
                      <w:color w:val="000000"/>
                    </w:rPr>
                    <w:t>；</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辅助攀爬梯</w:t>
                  </w:r>
                </w:p>
              </w:tc>
              <w:tc>
                <w:tcPr>
                  <w:tcW w:type="dxa" w:w="2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color w:val="000000"/>
                    </w:rPr>
                    <w:t>35.</w:t>
                  </w:r>
                  <w:r>
                    <w:rPr>
                      <w:rFonts w:ascii="仿宋_GB2312" w:hAnsi="仿宋_GB2312" w:cs="仿宋_GB2312" w:eastAsia="仿宋_GB2312"/>
                      <w:sz w:val="20"/>
                      <w:color w:val="000000"/>
                    </w:rPr>
                    <w:t>规格：踏步高度</w:t>
                  </w:r>
                  <w:r>
                    <w:rPr>
                      <w:rFonts w:ascii="仿宋_GB2312" w:hAnsi="仿宋_GB2312" w:cs="仿宋_GB2312" w:eastAsia="仿宋_GB2312"/>
                      <w:sz w:val="20"/>
                      <w:color w:val="000000"/>
                    </w:rPr>
                    <w:t>≤150mm；</w:t>
                  </w:r>
                </w:p>
                <w:p>
                  <w:pPr>
                    <w:pStyle w:val="null3"/>
                    <w:ind w:left="420"/>
                    <w:jc w:val="left"/>
                  </w:pPr>
                  <w:r>
                    <w:rPr>
                      <w:rFonts w:ascii="仿宋_GB2312" w:hAnsi="仿宋_GB2312" w:cs="仿宋_GB2312" w:eastAsia="仿宋_GB2312"/>
                      <w:sz w:val="20"/>
                      <w:color w:val="000000"/>
                    </w:rPr>
                    <w:t>36.</w:t>
                  </w:r>
                  <w:r>
                    <w:rPr>
                      <w:rFonts w:ascii="仿宋_GB2312" w:hAnsi="仿宋_GB2312" w:cs="仿宋_GB2312" w:eastAsia="仿宋_GB2312"/>
                      <w:sz w:val="20"/>
                      <w:color w:val="000000"/>
                    </w:rPr>
                    <w:t>配置：带安全扶手</w:t>
                  </w:r>
                  <w:r>
                    <w:rPr>
                      <w:rFonts w:ascii="仿宋_GB2312" w:hAnsi="仿宋_GB2312" w:cs="仿宋_GB2312" w:eastAsia="仿宋_GB2312"/>
                      <w:sz w:val="20"/>
                      <w:color w:val="000000"/>
                    </w:rPr>
                    <w:t>2套 防滑踏板设计，方便儿童安全上下平台；</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风车趣味装饰</w:t>
                  </w:r>
                </w:p>
              </w:tc>
              <w:tc>
                <w:tcPr>
                  <w:tcW w:type="dxa" w:w="2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color w:val="000000"/>
                    </w:rPr>
                    <w:t>37.</w:t>
                  </w:r>
                  <w:r>
                    <w:rPr>
                      <w:rFonts w:ascii="仿宋_GB2312" w:hAnsi="仿宋_GB2312" w:cs="仿宋_GB2312" w:eastAsia="仿宋_GB2312"/>
                      <w:sz w:val="20"/>
                      <w:color w:val="000000"/>
                    </w:rPr>
                    <w:t>材质：</w:t>
                  </w:r>
                  <w:r>
                    <w:rPr>
                      <w:rFonts w:ascii="仿宋_GB2312" w:hAnsi="仿宋_GB2312" w:cs="仿宋_GB2312" w:eastAsia="仿宋_GB2312"/>
                      <w:sz w:val="20"/>
                      <w:color w:val="000000"/>
                    </w:rPr>
                    <w:t>ABS材质；</w:t>
                  </w:r>
                </w:p>
                <w:p>
                  <w:pPr>
                    <w:pStyle w:val="null3"/>
                    <w:ind w:left="420"/>
                    <w:jc w:val="left"/>
                  </w:pPr>
                  <w:r>
                    <w:rPr>
                      <w:rFonts w:ascii="仿宋_GB2312" w:hAnsi="仿宋_GB2312" w:cs="仿宋_GB2312" w:eastAsia="仿宋_GB2312"/>
                      <w:sz w:val="20"/>
                      <w:color w:val="000000"/>
                    </w:rPr>
                    <w:t>38.</w:t>
                  </w:r>
                  <w:r>
                    <w:rPr>
                      <w:rFonts w:ascii="仿宋_GB2312" w:hAnsi="仿宋_GB2312" w:cs="仿宋_GB2312" w:eastAsia="仿宋_GB2312"/>
                      <w:sz w:val="20"/>
                      <w:color w:val="000000"/>
                    </w:rPr>
                    <w:t>安全要求：无突出尖角，无安全风险；</w:t>
                  </w:r>
                </w:p>
                <w:p>
                  <w:pPr>
                    <w:pStyle w:val="null3"/>
                    <w:ind w:left="420"/>
                    <w:jc w:val="left"/>
                  </w:pPr>
                  <w:r>
                    <w:rPr>
                      <w:rFonts w:ascii="仿宋_GB2312" w:hAnsi="仿宋_GB2312" w:cs="仿宋_GB2312" w:eastAsia="仿宋_GB2312"/>
                      <w:sz w:val="20"/>
                      <w:color w:val="000000"/>
                    </w:rPr>
                    <w:t>39.</w:t>
                  </w:r>
                  <w:r>
                    <w:rPr>
                      <w:rFonts w:ascii="仿宋_GB2312" w:hAnsi="仿宋_GB2312" w:cs="仿宋_GB2312" w:eastAsia="仿宋_GB2312"/>
                      <w:sz w:val="20"/>
                      <w:color w:val="000000"/>
                    </w:rPr>
                    <w:t>数量</w:t>
                  </w:r>
                  <w:r>
                    <w:rPr>
                      <w:rFonts w:ascii="仿宋_GB2312" w:hAnsi="仿宋_GB2312" w:cs="仿宋_GB2312" w:eastAsia="仿宋_GB2312"/>
                      <w:sz w:val="20"/>
                      <w:color w:val="000000"/>
                    </w:rPr>
                    <w:t>≥4个</w:t>
                  </w:r>
                </w:p>
                <w:p>
                  <w:pPr>
                    <w:pStyle w:val="null3"/>
                    <w:ind w:left="420"/>
                    <w:jc w:val="left"/>
                  </w:pPr>
                  <w:r>
                    <w:rPr>
                      <w:rFonts w:ascii="仿宋_GB2312" w:hAnsi="仿宋_GB2312" w:cs="仿宋_GB2312" w:eastAsia="仿宋_GB2312"/>
                      <w:sz w:val="20"/>
                      <w:color w:val="000000"/>
                    </w:rPr>
                    <w:t>40.</w:t>
                  </w:r>
                  <w:r>
                    <w:rPr>
                      <w:rFonts w:ascii="仿宋_GB2312" w:hAnsi="仿宋_GB2312" w:cs="仿宋_GB2312" w:eastAsia="仿宋_GB2312"/>
                      <w:sz w:val="20"/>
                      <w:color w:val="000000"/>
                    </w:rPr>
                    <w:t>安装位置：护栏顶部，提升整体美观度；</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b/>
              </w:rPr>
              <w:t>三、其他要求</w:t>
            </w:r>
          </w:p>
          <w:p>
            <w:pPr>
              <w:pStyle w:val="null3"/>
            </w:pPr>
            <w:r>
              <w:rPr>
                <w:rFonts w:ascii="仿宋_GB2312" w:hAnsi="仿宋_GB2312" w:cs="仿宋_GB2312" w:eastAsia="仿宋_GB2312"/>
              </w:rPr>
              <w:t>（</w:t>
            </w:r>
            <w:r>
              <w:rPr>
                <w:rFonts w:ascii="仿宋_GB2312" w:hAnsi="仿宋_GB2312" w:cs="仿宋_GB2312" w:eastAsia="仿宋_GB2312"/>
              </w:rPr>
              <w:t>一</w:t>
            </w:r>
            <w:r>
              <w:rPr>
                <w:rFonts w:ascii="仿宋_GB2312" w:hAnsi="仿宋_GB2312" w:cs="仿宋_GB2312" w:eastAsia="仿宋_GB2312"/>
              </w:rPr>
              <w:t>）保险要求</w:t>
            </w:r>
          </w:p>
          <w:p>
            <w:pPr>
              <w:pStyle w:val="null3"/>
            </w:pPr>
            <w:r>
              <w:rPr>
                <w:rFonts w:ascii="仿宋_GB2312" w:hAnsi="仿宋_GB2312" w:cs="仿宋_GB2312" w:eastAsia="仿宋_GB2312"/>
              </w:rPr>
              <w:t>1.风险承担</w:t>
            </w:r>
          </w:p>
          <w:p>
            <w:pPr>
              <w:pStyle w:val="null3"/>
              <w:ind w:firstLine="400"/>
            </w:pPr>
            <w:r>
              <w:rPr>
                <w:rFonts w:ascii="仿宋_GB2312" w:hAnsi="仿宋_GB2312" w:cs="仿宋_GB2312" w:eastAsia="仿宋_GB2312"/>
              </w:rPr>
              <w:t>在货物运抵采购人指定地点并经开箱验收合格前，货物毁损、灭失的风险由中标人承担。中标人应采取必要的防护措施，确保货物在运输、装卸及仓储过程中的安全。</w:t>
            </w:r>
          </w:p>
          <w:p>
            <w:pPr>
              <w:pStyle w:val="null3"/>
            </w:pPr>
            <w:r>
              <w:rPr>
                <w:rFonts w:ascii="仿宋_GB2312" w:hAnsi="仿宋_GB2312" w:cs="仿宋_GB2312" w:eastAsia="仿宋_GB2312"/>
              </w:rPr>
              <w:t>2.保险责任</w:t>
            </w:r>
          </w:p>
          <w:p>
            <w:pPr>
              <w:pStyle w:val="null3"/>
            </w:pPr>
            <w:r>
              <w:rPr>
                <w:rFonts w:ascii="仿宋_GB2312" w:hAnsi="仿宋_GB2312" w:cs="仿宋_GB2312" w:eastAsia="仿宋_GB2312"/>
              </w:rPr>
              <w:t>（</w:t>
            </w:r>
            <w:r>
              <w:rPr>
                <w:rFonts w:ascii="仿宋_GB2312" w:hAnsi="仿宋_GB2312" w:cs="仿宋_GB2312" w:eastAsia="仿宋_GB2312"/>
              </w:rPr>
              <w:t>1）中标人负责办理货物从发货地至采购人指定交货地点的全程运输保险。</w:t>
            </w:r>
          </w:p>
          <w:p>
            <w:pPr>
              <w:pStyle w:val="null3"/>
            </w:pPr>
            <w:r>
              <w:rPr>
                <w:rFonts w:ascii="仿宋_GB2312" w:hAnsi="仿宋_GB2312" w:cs="仿宋_GB2312" w:eastAsia="仿宋_GB2312"/>
              </w:rPr>
              <w:t>（</w:t>
            </w:r>
            <w:r>
              <w:rPr>
                <w:rFonts w:ascii="仿宋_GB2312" w:hAnsi="仿宋_GB2312" w:cs="仿宋_GB2312" w:eastAsia="仿宋_GB2312"/>
              </w:rPr>
              <w:t>2）投保险种应至少包含货物运输一切险（或同等效力的险种），并根据货物特性附加必要的特殊险（如易碎品破碎险、防锈险等）。</w:t>
            </w:r>
          </w:p>
          <w:p>
            <w:pPr>
              <w:pStyle w:val="null3"/>
            </w:pPr>
            <w:r>
              <w:rPr>
                <w:rFonts w:ascii="仿宋_GB2312" w:hAnsi="仿宋_GB2312" w:cs="仿宋_GB2312" w:eastAsia="仿宋_GB2312"/>
              </w:rPr>
              <w:t>（</w:t>
            </w:r>
            <w:r>
              <w:rPr>
                <w:rFonts w:ascii="仿宋_GB2312" w:hAnsi="仿宋_GB2312" w:cs="仿宋_GB2312" w:eastAsia="仿宋_GB2312"/>
              </w:rPr>
              <w:t>3）保险金额应不低于合同总价款的100%，并以采购人为被保险人或共同受益人。</w:t>
            </w:r>
          </w:p>
          <w:p>
            <w:pPr>
              <w:pStyle w:val="null3"/>
            </w:pPr>
            <w:r>
              <w:rPr>
                <w:rFonts w:ascii="仿宋_GB2312" w:hAnsi="仿宋_GB2312" w:cs="仿宋_GB2312" w:eastAsia="仿宋_GB2312"/>
              </w:rPr>
              <w:t>（</w:t>
            </w:r>
            <w:r>
              <w:rPr>
                <w:rFonts w:ascii="仿宋_GB2312" w:hAnsi="仿宋_GB2312" w:cs="仿宋_GB2312" w:eastAsia="仿宋_GB2312"/>
              </w:rPr>
              <w:t>4）保险期间自货物离开中标人仓库或工厂起，至货物运抵采购人指定交货地点并由双方完成开箱外观检验止。</w:t>
            </w:r>
          </w:p>
          <w:p>
            <w:pPr>
              <w:pStyle w:val="null3"/>
            </w:pPr>
            <w:r>
              <w:rPr>
                <w:rFonts w:ascii="仿宋_GB2312" w:hAnsi="仿宋_GB2312" w:cs="仿宋_GB2312" w:eastAsia="仿宋_GB2312"/>
              </w:rPr>
              <w:t>3.索赔与理赔</w:t>
            </w:r>
          </w:p>
          <w:p>
            <w:pPr>
              <w:pStyle w:val="null3"/>
              <w:ind w:firstLine="400"/>
            </w:pPr>
            <w:r>
              <w:rPr>
                <w:rFonts w:ascii="仿宋_GB2312" w:hAnsi="仿宋_GB2312" w:cs="仿宋_GB2312" w:eastAsia="仿宋_GB2312"/>
              </w:rPr>
              <w:t>若在运输或保管过程中发生保险范围内的损失，中标人应负责立即向保险公司索赔。若因中标人未及时投保、投保金额不足或未正确填写被保险人，导致采购人无法获得足额赔偿的，由中标人承担全部赔偿责任。</w:t>
            </w:r>
          </w:p>
          <w:p>
            <w:pPr>
              <w:pStyle w:val="null3"/>
            </w:pPr>
            <w:r>
              <w:rPr>
                <w:rFonts w:ascii="仿宋_GB2312" w:hAnsi="仿宋_GB2312" w:cs="仿宋_GB2312" w:eastAsia="仿宋_GB2312"/>
              </w:rPr>
              <w:t>（二）供货安装要求</w:t>
            </w:r>
          </w:p>
          <w:p>
            <w:pPr>
              <w:pStyle w:val="null3"/>
              <w:ind w:firstLine="400"/>
            </w:pPr>
            <w:r>
              <w:rPr>
                <w:rFonts w:ascii="仿宋_GB2312" w:hAnsi="仿宋_GB2312" w:cs="仿宋_GB2312" w:eastAsia="仿宋_GB2312"/>
              </w:rPr>
              <w:t>中标人应按照合同约定、采购文件及投标（响应）文件的承诺，向采购人提供完整的货物、技术资料（包括但不限于产品说明书、合格证、保修卡、安装图纸、操作手册等）、专用工具及备品备件。</w:t>
            </w:r>
          </w:p>
          <w:p>
            <w:pPr>
              <w:pStyle w:val="null3"/>
            </w:pPr>
            <w:r>
              <w:rPr>
                <w:rFonts w:ascii="仿宋_GB2312" w:hAnsi="仿宋_GB2312" w:cs="仿宋_GB2312" w:eastAsia="仿宋_GB2312"/>
              </w:rPr>
              <w:t>1.现场条件确认</w:t>
            </w:r>
          </w:p>
          <w:p>
            <w:pPr>
              <w:pStyle w:val="null3"/>
              <w:ind w:firstLine="400"/>
            </w:pPr>
            <w:r>
              <w:rPr>
                <w:rFonts w:ascii="仿宋_GB2312" w:hAnsi="仿宋_GB2312" w:cs="仿宋_GB2312" w:eastAsia="仿宋_GB2312"/>
              </w:rPr>
              <w:t>中标人在安装前，应与采购人共同勘查现场，确认水、电、场地等基础条件满足安装要求。</w:t>
            </w:r>
          </w:p>
          <w:p>
            <w:pPr>
              <w:pStyle w:val="null3"/>
            </w:pPr>
            <w:r>
              <w:rPr>
                <w:rFonts w:ascii="仿宋_GB2312" w:hAnsi="仿宋_GB2312" w:cs="仿宋_GB2312" w:eastAsia="仿宋_GB2312"/>
              </w:rPr>
              <w:t>2.安装人员资质</w:t>
            </w:r>
          </w:p>
          <w:p>
            <w:pPr>
              <w:pStyle w:val="null3"/>
              <w:ind w:firstLine="400"/>
            </w:pPr>
            <w:r>
              <w:rPr>
                <w:rFonts w:ascii="仿宋_GB2312" w:hAnsi="仿宋_GB2312" w:cs="仿宋_GB2312" w:eastAsia="仿宋_GB2312"/>
              </w:rPr>
              <w:t>中标人应派具备相应技术能力的人员进行安装。如设备属于国家规定的特种设备，安装人员须持有国家规定从业资格（如特种设备作业、电工、焊工等强制性证书）。</w:t>
            </w:r>
          </w:p>
          <w:p>
            <w:pPr>
              <w:pStyle w:val="null3"/>
              <w:ind w:firstLine="400"/>
            </w:pPr>
            <w:r>
              <w:rPr>
                <w:rFonts w:ascii="仿宋_GB2312" w:hAnsi="仿宋_GB2312" w:cs="仿宋_GB2312" w:eastAsia="仿宋_GB2312"/>
              </w:rPr>
              <w:t>安装人员在施工期间应遵守采购人现场管理规定，佩戴工作证件，做到文明施工、安全施工。</w:t>
            </w:r>
          </w:p>
          <w:p>
            <w:pPr>
              <w:pStyle w:val="null3"/>
            </w:pPr>
            <w:r>
              <w:rPr>
                <w:rFonts w:ascii="仿宋_GB2312" w:hAnsi="仿宋_GB2312" w:cs="仿宋_GB2312" w:eastAsia="仿宋_GB2312"/>
              </w:rPr>
              <w:t>3.安装标准</w:t>
            </w:r>
          </w:p>
          <w:p>
            <w:pPr>
              <w:pStyle w:val="null3"/>
              <w:ind w:firstLine="400"/>
            </w:pPr>
            <w:r>
              <w:rPr>
                <w:rFonts w:ascii="仿宋_GB2312" w:hAnsi="仿宋_GB2312" w:cs="仿宋_GB2312" w:eastAsia="仿宋_GB2312"/>
              </w:rPr>
              <w:t>安装质量应符合国家现行有效的技术标准、行业规范以及制造商规定的安装要求。安装过程中，中标人应采取必要的安全防护措施，设置警示标志。因中标人原因造成的人员伤亡或财产损失，由中标人承担全部责任。</w:t>
            </w:r>
          </w:p>
          <w:p>
            <w:pPr>
              <w:pStyle w:val="null3"/>
            </w:pPr>
            <w:r>
              <w:rPr>
                <w:rFonts w:ascii="仿宋_GB2312" w:hAnsi="仿宋_GB2312" w:cs="仿宋_GB2312" w:eastAsia="仿宋_GB2312"/>
              </w:rPr>
              <w:t>4.调试与试运行</w:t>
            </w:r>
          </w:p>
          <w:p>
            <w:pPr>
              <w:pStyle w:val="null3"/>
            </w:pPr>
            <w:r>
              <w:rPr>
                <w:rFonts w:ascii="仿宋_GB2312" w:hAnsi="仿宋_GB2312" w:cs="仿宋_GB2312" w:eastAsia="仿宋_GB2312"/>
                <w:sz w:val="21"/>
              </w:rPr>
              <w:t>安装完成后，中标人应进行使用调试，确保各项功能、性能指标符合合同约定及投标承诺。</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自合同签订之日起45日历天内完成交付、安装及调试。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西安外国语大学指定地点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预付款，签订合同乙方按要求支付履约保证金后，达到付款条件起10个工作日内，支付合同总金额的40.0%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进度款，产品安装调试完成，学校最终验收合格后，达到付款条件起10个工作日内，支付合同总金额的60.0%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验收分初次开箱验收、采购人使用单位初步验收和采购人最终验收三个阶段，以最终验收为准。 1.初次开箱验收 设备到货后，采购人、中标人双方共同开箱验收。如属于检验检疫法检目录内货物，由采购人、中标人双方会同海关共同开箱验收。在检查货物原产地、型号、规格、配置符合合同要求后，由中标人负责安装调试、采购人负责技术验收（中标人协助），验收以国内行业标准或合同文本货物供货配置清单中描述的有关技术要求为准。 2.采购人使用单位初步验收 在设备安装调试运行正常后，进行试运行测试，通过试运行测试后进入试运行，试运行不少于7日。试运行期间由中标人向采购人提供详细的试运行报告，报告中至少应详细记录各种实测、运行数据。项目试运行正常后，中标人向采购人使用单位申请初步验收。初步验收由采购人使用单位按试运行报告及合同约定，现场查看货物使用情况。初验完成后，中标人填写初验验收报告并经采购人使用单位确认。 3.采购人最终验收 采购人使用单位根据初验结果，向学校提交最终验收申请，由学校组织校内相关部门及有关专家进行项目的最终验收。验收依据为合同文本、招投标文件和国内相应的标准、规范，合同内所列功能参数逐条验收，并符合采购人稳定安全正常使用的需求。验收合格后，采购人填写终验验收单，并由中标人向采购人提交设备所包含的所有资料，以便采购人使用单位日后管理和维护。验收不合格的，限期整改，整改过程中产生的费用和设备发生的一切损失由中标人承担；整改超过二次的，采购人有权单方解除合同，中标人应无条件退还已收取的全部货款，并按合同总价20%向采购人支付违约金。履约保证金不予退还。履约保证金及违约金不足弥补采购人损失的，由中标人负责赔偿。</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1.运输由中标人负责，运杂费已包含在合同总价内。 2.运输方式由中标人自行选择，包装必须符合国家标准行业标准，满足航空、铁路或公路运输以及货物装卸要求，保证采购人收到的是无任何损伤的货物，否则，因此造成的损失由中标人自行承担。同时，中标人必须保证如期交付，不得断货，否则，因断货造成的损失由中标人负责赔偿。 3.除合同另有规定外，中标人提供的全部货物，均应按标准保护措施进行包装。包装应适应于远距离运输、防潮、防震、防锈和防野蛮装卸，以确保货物安全无损运抵项目现场。 4.中标人提供的产品及相关快递服务的包装要求，按照《商品包装政府采购需求标准（试行）》《快递包装政府采购需求标准（试行）》执行。</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1、质保期：产品最终验收合格之日起3年。 2、售后服务要求： （1）质保期内，任何由制造商选材和制造不当引起的质量问题，中标人负责维修或更换原厂配件，采购人不负担任何维修费用（含人工费）。质保期内，项目责任工程师每年提供不小于2次上门保养服务，提供保养用的全部零部件（原厂）。质保期满前1个月，中标人提供一次全面的检查、维护，并出具正式检查报告，如发现潜在问题，应负责完全排除。本条所列相关费用已包含在本次报价中。 （2）售后服务响应时间（质保期内）：7*24即时响应（包括电话响应）；电话响应无法解决时，24小时内到达现场。采购人反映的问题应在48小时内解决，如在48小时内无法解决或修复，则由中标人提供部件冗余服务或采取应急措施，提供相同产品或不低于故障产品规格档次的备用产品供采购人使用，以确保货物的正常使用。48小时后，未解决之问题每超过24小时，中标人应按合同价的千分之一支付违约金。 （3）中标人应在合同生效后的1个月内向采购人提供详细的货物使用说明并提供技术咨询服务。货物安装调试完成后，中标人应按照采购人指定时间、指定地点、指定频次开展培训。培训内容包括设备的技术原理、操作方法、基本维护等。</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中标（成交）结果发布后，中标供应商在2个工作日内向采购代理机构提供一份（和上传文件保持一致的）纸质投标（响应）文件用于备案及档案保存。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资格审查内容共8项</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供应商需在项目电子化交易系统中按要求上传相应证明文件并进行电子签章。 （3）财务状况报告：提供2024年或2025年度经审计的财务报告（包含审计报告和审计报告中所涉及的财务报表和报表附注），或提供2026年2月1日以来银行出具的资信证明，或提供财政部门认可的政府采购专业担保机构出具的响应担保函，或供应商注册时间至投标文件提交截止日不足一年的，也可提供在工商管理部门备案的公司章程（以上四种形式的资料提供任何一种即可）。供应商需在项目电子化交易系统中按要求上传相应证明文件并进行电子签章。 （4）社会保障资金缴纳证明：提供2025年7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两种形式的资料提供任何一种即可）。供应商需在项目电子化交易系统中按要求上传相应证明文件并进行电子签章。 （5）税收缴纳证明：提供2025年7月1日至投标文件递交截止日已缴纳的任意一个月的纳税证明或完税证明（时间以税款所属日期为准，提供增值税、企业所得税、印花税、附加税至少一种），纳税证明或完税证明上应有代收机构或税务机关的公章，依法免税的单位应提供相关证明材料（以上三种形式的资料提供任何一种即可）。供应商需在项目电子化交易系统中按要求上传相应证明文件并进行电子签章。 （6）书面声明（信用记录）：提供《供应商信用记录书面声明函》。经查，投标人未被列入“信用中国”网站记录的“失信被执行人”或“重大税收违法失信主体”名单；不处于“中国政府采购网”记录的“政府采购严重违法失信行为记录名单”中的禁止参加政府采购活动期间。供应商需在项目电子化交易系统中按要求上传相应证明文件并进行电子签章。 （7）承诺书：提供具有履行合同所必需的设备和专业技术能力的承诺。供应商需在项目电子化交易系统中按要求上传相应证明文件并进行电子签章。 （8）中小企业证明资料：本项目为专门面向中小企业采购，投标产品的制造商应为中型企业或小型、微型企业或监狱企业或残疾人福利性单位。投标产品的制造商为中型、小型、微型企业的，投标人提供《中小企业声明函》，且中小企业的划分标准所属行业为工业；投标产品的制造商为监狱企业的，投标人应提供投标产品制造商为监狱企业的证明文件（监狱企业视同小型、微型企业）；投标产品的制造商为残疾人福利性单位的，投标人应提供投标产品制造商为残疾人福利性单位的《残疾人福利性单位声明函》（残疾人福利性单位视同小型、微型企业）。</w:t>
            </w:r>
          </w:p>
        </w:tc>
        <w:tc>
          <w:tcPr>
            <w:tcW w:type="dxa" w:w="1661"/>
          </w:tcPr>
          <w:p>
            <w:pPr>
              <w:pStyle w:val="null3"/>
            </w:pPr>
            <w:r>
              <w:rPr>
                <w:rFonts w:ascii="仿宋_GB2312" w:hAnsi="仿宋_GB2312" w:cs="仿宋_GB2312" w:eastAsia="仿宋_GB2312"/>
              </w:rPr>
              <w:t>1.资格证明资料.docx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一、在评标过程中出现下列情形之一的，评标委员会应当启动异常低价投标审查程序： ①投标报价低于全部通过符合性审查投标人投标报价平均值50%的，即投标报价&lt;全部通过符合性审查投标人投标报价平均值×50%； ②投标报价低于通过符合性审查的次低报价投标人投标报价50%的，即投标报价&lt;通过符合性审查的次低报价投标人投标报价×50%； ③投标报价低于采购项目最高限价45%的，即投标报价&lt;采购项目最高限价×45%； ④评审委员会基于专业判断，认为投标人报价过低，有可能影响产品质量或者不能诚信履约的其他情形。 二、评审委员会启动异常低价投标审查后，属于前述①至④情形的，应当要求相关投标人在评审现场合理的时间（30分钟）内对投标价格作出解释，提供项目具体成本测算等与报价合理性相关的书面说明及必要的证明材料。书面说明应当包括：（1）按照国家财务会计制度的规定要求，逐项就投标人提供的货物、工程和服务的主营业务成本（应根据投标人企业类型予以区别）、税金及附加、原材料成本、人工成本、制造费用、销售费用、管理费用、财务费用等成本构成事项详细陈述。 （2）投标人以前完成类似规模项目与类似价格的业绩证明材料（合同、发票）。其中，属于③情形，投标人已随投标文件一并提交相关书面说明及必要的证明材料的，在评审现场可不再重复提交。 三、投标人提交的相关说明和证明材料，应当加盖投标人（法定名称）电子印章，在评标委员会要求的时间内通过项目电子化交易系统进行提交，否则提交的相关证明材料无效。投标人不能证明其投标报价合理性的或未在规定时间提交上述（1）（2）材料的或者提供的材料不齐全的或者提供的材料不被专家认可的，评标委员会均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供应商名称字章</w:t>
            </w:r>
          </w:p>
        </w:tc>
        <w:tc>
          <w:tcPr>
            <w:tcW w:type="dxa" w:w="3322"/>
          </w:tcPr>
          <w:p>
            <w:pPr>
              <w:pStyle w:val="null3"/>
            </w:pPr>
            <w:r>
              <w:rPr>
                <w:rFonts w:ascii="仿宋_GB2312" w:hAnsi="仿宋_GB2312" w:cs="仿宋_GB2312" w:eastAsia="仿宋_GB2312"/>
              </w:rPr>
              <w:t>供应商名称字章是否一致</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投标文件的签字盖章</w:t>
            </w:r>
          </w:p>
        </w:tc>
        <w:tc>
          <w:tcPr>
            <w:tcW w:type="dxa" w:w="3322"/>
          </w:tcPr>
          <w:p>
            <w:pPr>
              <w:pStyle w:val="null3"/>
            </w:pPr>
            <w:r>
              <w:rPr>
                <w:rFonts w:ascii="仿宋_GB2312" w:hAnsi="仿宋_GB2312" w:cs="仿宋_GB2312" w:eastAsia="仿宋_GB2312"/>
              </w:rPr>
              <w:t>投标文件的签字盖章是否按照招标文件要求进行</w:t>
            </w:r>
          </w:p>
        </w:tc>
        <w:tc>
          <w:tcPr>
            <w:tcW w:type="dxa" w:w="1661"/>
          </w:tcPr>
          <w:p>
            <w:pPr>
              <w:pStyle w:val="null3"/>
            </w:pPr>
            <w:r>
              <w:rPr>
                <w:rFonts w:ascii="仿宋_GB2312" w:hAnsi="仿宋_GB2312" w:cs="仿宋_GB2312" w:eastAsia="仿宋_GB2312"/>
              </w:rPr>
              <w:t>开标一览表 5.商务应答表.docx 投标函 标的清单 投标文件封面 2.拒绝政府采购领域商业贿赂承诺书.docx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投标有效期是否满足招标文件最低要求90天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投标报价有效性</w:t>
            </w:r>
          </w:p>
        </w:tc>
        <w:tc>
          <w:tcPr>
            <w:tcW w:type="dxa" w:w="3322"/>
          </w:tcPr>
          <w:p>
            <w:pPr>
              <w:pStyle w:val="null3"/>
            </w:pPr>
            <w:r>
              <w:rPr>
                <w:rFonts w:ascii="仿宋_GB2312" w:hAnsi="仿宋_GB2312" w:cs="仿宋_GB2312" w:eastAsia="仿宋_GB2312"/>
              </w:rPr>
              <w:t>投标报价是否唯一有效或投标报价是否未超过采购预算</w:t>
            </w:r>
          </w:p>
        </w:tc>
        <w:tc>
          <w:tcPr>
            <w:tcW w:type="dxa" w:w="1661"/>
          </w:tcPr>
          <w:p>
            <w:pPr>
              <w:pStyle w:val="null3"/>
            </w:pPr>
            <w:r>
              <w:rPr>
                <w:rFonts w:ascii="仿宋_GB2312" w:hAnsi="仿宋_GB2312" w:cs="仿宋_GB2312" w:eastAsia="仿宋_GB2312"/>
              </w:rPr>
              <w:t>开标一览表 3.分项报价表.docx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满足本招标文件3.4商务要求中交货时间、交货地点、质量保修范围和保修期要求的</w:t>
            </w:r>
          </w:p>
        </w:tc>
        <w:tc>
          <w:tcPr>
            <w:tcW w:type="dxa" w:w="1661"/>
          </w:tcPr>
          <w:p>
            <w:pPr>
              <w:pStyle w:val="null3"/>
            </w:pPr>
            <w:r>
              <w:rPr>
                <w:rFonts w:ascii="仿宋_GB2312" w:hAnsi="仿宋_GB2312" w:cs="仿宋_GB2312" w:eastAsia="仿宋_GB2312"/>
              </w:rPr>
              <w:t>5.商务应答表.docx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2.拒绝政府采购领域商业贿赂承诺书.docx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人所投产品技术参数对3.3技术参数与性能指标中“二、技术参数”的响应情况进行评审：得分=投标人满足采购人要求的参数数量/参数总数量（共40条）×40分，满分40分。得分保留小数点后两位数，小数点后第三位四舍五入。 备注：1.参数响应需提供佐证材料，佐证材料不限于产品彩页或检测报告或官网功能截图或性能指标证明材料等。2.佐证材料与技术响应偏离表响应内容不一致的，以佐证材料为准。同一指标提供佐证材料内容不一致的，以最不利于投标人的情形进行评审。</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1.技术参数.docx</w:t>
            </w:r>
          </w:p>
          <w:p>
            <w:pPr>
              <w:pStyle w:val="null3"/>
            </w:pPr>
            <w:r>
              <w:rPr>
                <w:rFonts w:ascii="仿宋_GB2312" w:hAnsi="仿宋_GB2312" w:cs="仿宋_GB2312" w:eastAsia="仿宋_GB2312"/>
              </w:rPr>
              <w:t>4.技术响应表.docx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投标人提供针对本项目的实施方案，包括但不限于①供货组织安排、物力调配及保障措施；②安装调试方案；③实施步骤、进度计划和保证措施；④验收方案；⑤保险方案等。 以上5项内容满足项目实施需求，无瑕疵，计6分； 每缺少1项扣1.2分，每项内容存在一处瑕疵扣0.6分； 本文所称“瑕疵”是指内容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2.实施方案.docx</w:t>
            </w:r>
          </w:p>
        </w:tc>
      </w:tr>
      <w:tr>
        <w:tc>
          <w:tcPr>
            <w:tcW w:type="dxa" w:w="831"/>
            <w:vMerge/>
          </w:tcPr>
          <w:p/>
        </w:tc>
        <w:tc>
          <w:tcPr>
            <w:tcW w:type="dxa" w:w="1661"/>
          </w:tcPr>
          <w:p>
            <w:pPr>
              <w:pStyle w:val="null3"/>
            </w:pPr>
            <w:r>
              <w:rPr>
                <w:rFonts w:ascii="仿宋_GB2312" w:hAnsi="仿宋_GB2312" w:cs="仿宋_GB2312" w:eastAsia="仿宋_GB2312"/>
              </w:rPr>
              <w:t>产品性能</w:t>
            </w:r>
          </w:p>
        </w:tc>
        <w:tc>
          <w:tcPr>
            <w:tcW w:type="dxa" w:w="2492"/>
          </w:tcPr>
          <w:p>
            <w:pPr>
              <w:pStyle w:val="null3"/>
            </w:pPr>
            <w:r>
              <w:rPr>
                <w:rFonts w:ascii="仿宋_GB2312" w:hAnsi="仿宋_GB2312" w:cs="仿宋_GB2312" w:eastAsia="仿宋_GB2312"/>
              </w:rPr>
              <w:t>投标人针对本项目所投产品性能进行说明，包括①安全材质性能；②结构稳定与力学性能；③耐用耐候性能；④环保与有害物质性能。 以上4项内容满足项目实施需求，无瑕疵，计6分；每缺少1项扣1.5分，每项内容存在一处瑕疵扣0.5分；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3.产品性能.docx</w:t>
            </w:r>
          </w:p>
        </w:tc>
      </w:tr>
      <w:tr>
        <w:tc>
          <w:tcPr>
            <w:tcW w:type="dxa" w:w="831"/>
            <w:vMerge/>
          </w:tcPr>
          <w:p/>
        </w:tc>
        <w:tc>
          <w:tcPr>
            <w:tcW w:type="dxa" w:w="1661"/>
          </w:tcPr>
          <w:p>
            <w:pPr>
              <w:pStyle w:val="null3"/>
            </w:pPr>
            <w:r>
              <w:rPr>
                <w:rFonts w:ascii="仿宋_GB2312" w:hAnsi="仿宋_GB2312" w:cs="仿宋_GB2312" w:eastAsia="仿宋_GB2312"/>
              </w:rPr>
              <w:t>供货来源渠道证明</w:t>
            </w:r>
          </w:p>
        </w:tc>
        <w:tc>
          <w:tcPr>
            <w:tcW w:type="dxa" w:w="2492"/>
          </w:tcPr>
          <w:p>
            <w:pPr>
              <w:pStyle w:val="null3"/>
            </w:pPr>
            <w:r>
              <w:rPr>
                <w:rFonts w:ascii="仿宋_GB2312" w:hAnsi="仿宋_GB2312" w:cs="仿宋_GB2312" w:eastAsia="仿宋_GB2312"/>
              </w:rPr>
              <w:t>投标人提供所投大型玩教具的合法来源渠道证明文件（包括但不限于销售协议或代理协议或原厂授权等），提供证明材料链条完整计2分，否则不计分。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4.供货来源渠道证明.docx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投标人针对本项目提供培训方案，方案应至少包括但不限于①培训时间计划及培训人员安排；②培训内容设计安排（适用方法、设备维护、故障排除等）。 以上2项内容满足项目实施需求，无瑕疵，计2分； 每缺少1项扣1分，每项内容存在一处瑕疵扣0.5分；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投标人针对本项目有具体的售后服务方案，包括但不限于 ①本地化服务能力说明、售后服务范围及保障措施；②响应时间、响应方式及故障处理机制；③定期回访计划安排、技术支持服务等。 以上3项内容满足项目实施需求，无瑕疵，计3分； 每缺少1项扣1分，每项内容存在一处瑕疵扣0.5分；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合同签订日期为准）至今同类项目业绩。业绩须提供合同扫描件，必须清晰体现签约主体和日期、合同名称及内容核心要素，否则不计为有效业绩。每提供1个有效业绩得2分，最高得10分。 备注：1.投标文件中提供合同扫描件加盖公章。2.同类指与正在采购的标的在功能、技术、规模、性质上相近似的业绩。</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投标人所投标的产品为环境标志产品经国家认证的计1分，（以经国家确定的认证机构出具的、处于有效期内的环境标志产品认证证书为准。）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满足招标文件要求且投标价格最低的投标报价为评标基准价，其价格分为满分30分。注：1.本项目为专门面向中小企业采购项目，不再进行小微企业价格扣除；2.本项目落实本国产品政策，用扣除后的价格参与价格分计算，扣除比例为20%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详见附件：1.资格证明资料.docx</w:t>
      </w:r>
    </w:p>
    <w:p>
      <w:pPr>
        <w:pStyle w:val="null3"/>
        <w:ind w:firstLine="960"/>
      </w:pPr>
      <w:r>
        <w:rPr>
          <w:rFonts w:ascii="仿宋_GB2312" w:hAnsi="仿宋_GB2312" w:cs="仿宋_GB2312" w:eastAsia="仿宋_GB2312"/>
        </w:rPr>
        <w:t>详见附件：2.拒绝政府采购领域商业贿赂承诺书.docx</w:t>
      </w:r>
    </w:p>
    <w:p>
      <w:pPr>
        <w:pStyle w:val="null3"/>
        <w:ind w:firstLine="960"/>
      </w:pPr>
      <w:r>
        <w:rPr>
          <w:rFonts w:ascii="仿宋_GB2312" w:hAnsi="仿宋_GB2312" w:cs="仿宋_GB2312" w:eastAsia="仿宋_GB2312"/>
        </w:rPr>
        <w:t>详见附件：3.分项报价表.docx</w:t>
      </w:r>
    </w:p>
    <w:p>
      <w:pPr>
        <w:pStyle w:val="null3"/>
        <w:ind w:firstLine="960"/>
      </w:pPr>
      <w:r>
        <w:rPr>
          <w:rFonts w:ascii="仿宋_GB2312" w:hAnsi="仿宋_GB2312" w:cs="仿宋_GB2312" w:eastAsia="仿宋_GB2312"/>
        </w:rPr>
        <w:t>详见附件：4.技术响应表.docx</w:t>
      </w:r>
    </w:p>
    <w:p>
      <w:pPr>
        <w:pStyle w:val="null3"/>
        <w:ind w:firstLine="960"/>
      </w:pPr>
      <w:r>
        <w:rPr>
          <w:rFonts w:ascii="仿宋_GB2312" w:hAnsi="仿宋_GB2312" w:cs="仿宋_GB2312" w:eastAsia="仿宋_GB2312"/>
        </w:rPr>
        <w:t>详见附件：5.商务应答表.docx</w:t>
      </w:r>
    </w:p>
    <w:p>
      <w:pPr>
        <w:pStyle w:val="null3"/>
        <w:ind w:firstLine="960"/>
      </w:pPr>
      <w:r>
        <w:rPr>
          <w:rFonts w:ascii="仿宋_GB2312" w:hAnsi="仿宋_GB2312" w:cs="仿宋_GB2312" w:eastAsia="仿宋_GB2312"/>
        </w:rPr>
        <w:t>详见附件：1.技术参数.docx</w:t>
      </w:r>
    </w:p>
    <w:p>
      <w:pPr>
        <w:pStyle w:val="null3"/>
        <w:ind w:firstLine="960"/>
      </w:pPr>
      <w:r>
        <w:rPr>
          <w:rFonts w:ascii="仿宋_GB2312" w:hAnsi="仿宋_GB2312" w:cs="仿宋_GB2312" w:eastAsia="仿宋_GB2312"/>
        </w:rPr>
        <w:t>详见附件：2.实施方案.docx</w:t>
      </w:r>
    </w:p>
    <w:p>
      <w:pPr>
        <w:pStyle w:val="null3"/>
        <w:ind w:firstLine="960"/>
      </w:pPr>
      <w:r>
        <w:rPr>
          <w:rFonts w:ascii="仿宋_GB2312" w:hAnsi="仿宋_GB2312" w:cs="仿宋_GB2312" w:eastAsia="仿宋_GB2312"/>
        </w:rPr>
        <w:t>详见附件：3.产品性能.docx</w:t>
      </w:r>
    </w:p>
    <w:p>
      <w:pPr>
        <w:pStyle w:val="null3"/>
        <w:ind w:firstLine="960"/>
      </w:pPr>
      <w:r>
        <w:rPr>
          <w:rFonts w:ascii="仿宋_GB2312" w:hAnsi="仿宋_GB2312" w:cs="仿宋_GB2312" w:eastAsia="仿宋_GB2312"/>
        </w:rPr>
        <w:t>详见附件：4.供货来源渠道证明.docx</w:t>
      </w:r>
    </w:p>
    <w:p>
      <w:pPr>
        <w:pStyle w:val="null3"/>
        <w:ind w:firstLine="960"/>
      </w:pPr>
      <w:r>
        <w:rPr>
          <w:rFonts w:ascii="仿宋_GB2312" w:hAnsi="仿宋_GB2312" w:cs="仿宋_GB2312" w:eastAsia="仿宋_GB2312"/>
        </w:rPr>
        <w:t>详见附件：5.培训方案.docx</w:t>
      </w:r>
    </w:p>
    <w:p>
      <w:pPr>
        <w:pStyle w:val="null3"/>
        <w:ind w:firstLine="960"/>
      </w:pPr>
      <w:r>
        <w:rPr>
          <w:rFonts w:ascii="仿宋_GB2312" w:hAnsi="仿宋_GB2312" w:cs="仿宋_GB2312" w:eastAsia="仿宋_GB2312"/>
        </w:rPr>
        <w:t>详见附件：6.售后服务方案.docx</w:t>
      </w:r>
    </w:p>
    <w:p>
      <w:pPr>
        <w:pStyle w:val="null3"/>
        <w:ind w:firstLine="960"/>
      </w:pPr>
      <w:r>
        <w:rPr>
          <w:rFonts w:ascii="仿宋_GB2312" w:hAnsi="仿宋_GB2312" w:cs="仿宋_GB2312" w:eastAsia="仿宋_GB2312"/>
        </w:rPr>
        <w:t>详见附件：7.业绩.docx</w:t>
      </w:r>
    </w:p>
    <w:p>
      <w:pPr>
        <w:pStyle w:val="null3"/>
        <w:ind w:firstLine="960"/>
      </w:pPr>
      <w:r>
        <w:rPr>
          <w:rFonts w:ascii="仿宋_GB2312" w:hAnsi="仿宋_GB2312" w:cs="仿宋_GB2312" w:eastAsia="仿宋_GB2312"/>
        </w:rPr>
        <w:t>详见附件：8.节能环保.docx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