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5CB4D">
      <w:pPr>
        <w:pStyle w:val="9"/>
        <w:widowControl w:val="0"/>
        <w:spacing w:line="400" w:lineRule="exact"/>
        <w:ind w:firstLine="0" w:firstLineChars="0"/>
        <w:jc w:val="center"/>
        <w:rPr>
          <w:rFonts w:ascii="仿宋" w:hAnsi="仿宋" w:eastAsia="仿宋" w:cs="仿宋"/>
          <w:bCs/>
          <w:color w:val="auto"/>
          <w:szCs w:val="28"/>
        </w:rPr>
      </w:pPr>
      <w:r>
        <w:rPr>
          <w:rFonts w:hint="eastAsia" w:ascii="仿宋" w:hAnsi="仿宋" w:eastAsia="仿宋" w:cs="仿宋"/>
          <w:bCs/>
          <w:color w:val="auto"/>
          <w:szCs w:val="28"/>
        </w:rPr>
        <w:t>咸阳师范学院科学教育实践平台建设项目合同</w:t>
      </w:r>
    </w:p>
    <w:p w14:paraId="584A0BD7">
      <w:pPr>
        <w:spacing w:line="400" w:lineRule="exact"/>
        <w:jc w:val="right"/>
        <w:rPr>
          <w:rFonts w:ascii="仿宋" w:hAnsi="仿宋" w:eastAsia="仿宋" w:cs="仿宋"/>
          <w:color w:val="auto"/>
          <w:sz w:val="24"/>
          <w:szCs w:val="28"/>
        </w:rPr>
      </w:pPr>
      <w:r>
        <w:rPr>
          <w:rFonts w:hint="eastAsia" w:ascii="仿宋" w:hAnsi="仿宋" w:eastAsia="仿宋" w:cs="仿宋"/>
          <w:color w:val="auto"/>
          <w:sz w:val="24"/>
          <w:szCs w:val="28"/>
        </w:rPr>
        <w:t>合同编号：****</w:t>
      </w:r>
    </w:p>
    <w:p w14:paraId="42017434">
      <w:pPr>
        <w:pStyle w:val="2"/>
        <w:tabs>
          <w:tab w:val="left" w:pos="1440"/>
        </w:tabs>
        <w:spacing w:line="400" w:lineRule="exact"/>
        <w:ind w:firstLine="480"/>
        <w:rPr>
          <w:rFonts w:ascii="仿宋" w:hAnsi="仿宋" w:eastAsia="仿宋" w:cs="仿宋"/>
          <w:bCs/>
          <w:color w:val="auto"/>
          <w:sz w:val="24"/>
          <w:szCs w:val="28"/>
          <w:u w:val="single"/>
        </w:rPr>
      </w:pPr>
      <w:r>
        <w:rPr>
          <w:rFonts w:hint="eastAsia" w:ascii="仿宋" w:hAnsi="仿宋" w:eastAsia="仿宋" w:cs="仿宋"/>
          <w:bCs/>
          <w:color w:val="auto"/>
          <w:sz w:val="24"/>
          <w:szCs w:val="28"/>
        </w:rPr>
        <w:t>甲方：</w:t>
      </w:r>
      <w:r>
        <w:rPr>
          <w:rFonts w:hint="eastAsia" w:ascii="仿宋" w:hAnsi="仿宋" w:eastAsia="仿宋" w:cs="仿宋"/>
          <w:bCs/>
          <w:color w:val="auto"/>
          <w:sz w:val="24"/>
          <w:szCs w:val="28"/>
          <w:u w:val="single"/>
        </w:rPr>
        <w:t xml:space="preserve">  咸阳师范学院  </w:t>
      </w:r>
    </w:p>
    <w:p w14:paraId="3036BF1F">
      <w:pPr>
        <w:pStyle w:val="2"/>
        <w:tabs>
          <w:tab w:val="left" w:pos="1440"/>
        </w:tabs>
        <w:spacing w:line="400" w:lineRule="exact"/>
        <w:ind w:firstLine="480"/>
        <w:rPr>
          <w:rFonts w:ascii="仿宋" w:hAnsi="仿宋" w:eastAsia="仿宋" w:cs="仿宋"/>
          <w:bCs/>
          <w:color w:val="auto"/>
          <w:sz w:val="24"/>
          <w:szCs w:val="28"/>
          <w:u w:val="single"/>
        </w:rPr>
      </w:pPr>
      <w:r>
        <w:rPr>
          <w:rFonts w:hint="eastAsia" w:ascii="仿宋" w:hAnsi="仿宋" w:eastAsia="仿宋" w:cs="仿宋"/>
          <w:bCs/>
          <w:color w:val="auto"/>
          <w:sz w:val="24"/>
          <w:szCs w:val="28"/>
        </w:rPr>
        <w:t>乙方：</w:t>
      </w:r>
      <w:r>
        <w:rPr>
          <w:rFonts w:hint="eastAsia" w:ascii="仿宋" w:hAnsi="仿宋" w:eastAsia="仿宋" w:cs="仿宋"/>
          <w:bCs/>
          <w:color w:val="auto"/>
          <w:sz w:val="24"/>
          <w:szCs w:val="28"/>
          <w:u w:val="single"/>
        </w:rPr>
        <w:t xml:space="preserve">                </w:t>
      </w:r>
    </w:p>
    <w:p w14:paraId="38090A0D">
      <w:pPr>
        <w:pStyle w:val="2"/>
        <w:tabs>
          <w:tab w:val="left" w:pos="1440"/>
        </w:tabs>
        <w:spacing w:line="400" w:lineRule="exact"/>
        <w:ind w:firstLine="480"/>
        <w:rPr>
          <w:rFonts w:ascii="仿宋" w:hAnsi="仿宋" w:eastAsia="仿宋" w:cs="仿宋"/>
          <w:color w:val="auto"/>
          <w:sz w:val="24"/>
          <w:szCs w:val="28"/>
        </w:rPr>
      </w:pPr>
      <w:r>
        <w:rPr>
          <w:rFonts w:hint="eastAsia" w:ascii="仿宋" w:hAnsi="仿宋" w:eastAsia="仿宋" w:cs="仿宋"/>
          <w:color w:val="auto"/>
          <w:sz w:val="24"/>
          <w:szCs w:val="28"/>
        </w:rPr>
        <w:t>根据《中华人民共和国民法典》等有关法律法规规定，结合甲方“</w:t>
      </w:r>
      <w:r>
        <w:rPr>
          <w:rFonts w:hint="eastAsia" w:ascii="仿宋" w:hAnsi="仿宋" w:eastAsia="仿宋" w:cs="仿宋"/>
          <w:color w:val="auto"/>
          <w:sz w:val="24"/>
          <w:szCs w:val="28"/>
          <w:u w:val="single"/>
        </w:rPr>
        <w:t>咸阳师范学院科学教育实践平台建设项目</w:t>
      </w:r>
      <w:r>
        <w:rPr>
          <w:rFonts w:hint="eastAsia" w:ascii="仿宋" w:hAnsi="仿宋" w:eastAsia="仿宋" w:cs="仿宋"/>
          <w:color w:val="auto"/>
          <w:sz w:val="24"/>
          <w:szCs w:val="28"/>
        </w:rPr>
        <w:t>”采购结果，遵循平等自愿、公平和诚实信用的原则，甲方与乙方经友好协商达成如下合同条款。</w:t>
      </w:r>
    </w:p>
    <w:p w14:paraId="2027D61E">
      <w:pPr>
        <w:pStyle w:val="9"/>
        <w:widowControl w:val="0"/>
        <w:numPr>
          <w:ilvl w:val="0"/>
          <w:numId w:val="1"/>
        </w:numPr>
        <w:spacing w:line="400" w:lineRule="exact"/>
        <w:ind w:firstLineChars="0"/>
        <w:rPr>
          <w:rFonts w:ascii="仿宋" w:hAnsi="仿宋" w:eastAsia="仿宋" w:cs="仿宋"/>
          <w:b/>
          <w:color w:val="auto"/>
          <w:szCs w:val="28"/>
        </w:rPr>
      </w:pPr>
      <w:r>
        <w:rPr>
          <w:rFonts w:hint="eastAsia" w:ascii="仿宋" w:hAnsi="仿宋" w:eastAsia="仿宋" w:cs="仿宋"/>
          <w:b/>
          <w:color w:val="auto"/>
          <w:szCs w:val="28"/>
        </w:rPr>
        <w:t>项目购置内容</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200"/>
        <w:gridCol w:w="808"/>
        <w:gridCol w:w="1488"/>
        <w:gridCol w:w="798"/>
        <w:gridCol w:w="806"/>
        <w:gridCol w:w="1346"/>
        <w:gridCol w:w="1207"/>
      </w:tblGrid>
      <w:tr w14:paraId="5D83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187E5249">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序号</w:t>
            </w:r>
          </w:p>
        </w:tc>
        <w:tc>
          <w:tcPr>
            <w:tcW w:w="704" w:type="pct"/>
            <w:vAlign w:val="center"/>
          </w:tcPr>
          <w:p w14:paraId="7FFE3B32">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设备名称</w:t>
            </w:r>
          </w:p>
        </w:tc>
        <w:tc>
          <w:tcPr>
            <w:tcW w:w="474" w:type="pct"/>
            <w:vAlign w:val="center"/>
          </w:tcPr>
          <w:p w14:paraId="11645484">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品牌</w:t>
            </w:r>
          </w:p>
        </w:tc>
        <w:tc>
          <w:tcPr>
            <w:tcW w:w="873" w:type="pct"/>
            <w:vAlign w:val="center"/>
          </w:tcPr>
          <w:p w14:paraId="2C571FDC">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型号/规格</w:t>
            </w:r>
          </w:p>
        </w:tc>
        <w:tc>
          <w:tcPr>
            <w:tcW w:w="468" w:type="pct"/>
            <w:vAlign w:val="center"/>
          </w:tcPr>
          <w:p w14:paraId="29E603A6">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数量</w:t>
            </w:r>
          </w:p>
        </w:tc>
        <w:tc>
          <w:tcPr>
            <w:tcW w:w="473" w:type="pct"/>
            <w:vAlign w:val="center"/>
          </w:tcPr>
          <w:p w14:paraId="6C2B26E0">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单位</w:t>
            </w:r>
          </w:p>
        </w:tc>
        <w:tc>
          <w:tcPr>
            <w:tcW w:w="790" w:type="pct"/>
            <w:vAlign w:val="center"/>
          </w:tcPr>
          <w:p w14:paraId="4FF80B39">
            <w:pPr>
              <w:spacing w:line="400" w:lineRule="exact"/>
              <w:jc w:val="center"/>
              <w:rPr>
                <w:rFonts w:ascii="仿宋" w:hAnsi="仿宋" w:eastAsia="仿宋" w:cs="仿宋"/>
                <w:b/>
                <w:bCs/>
                <w:color w:val="auto"/>
                <w:sz w:val="22"/>
                <w:szCs w:val="28"/>
              </w:rPr>
            </w:pPr>
            <w:r>
              <w:rPr>
                <w:rFonts w:hint="eastAsia" w:ascii="仿宋" w:hAnsi="仿宋" w:eastAsia="仿宋" w:cs="仿宋"/>
                <w:b/>
                <w:bCs/>
                <w:color w:val="auto"/>
                <w:sz w:val="22"/>
                <w:szCs w:val="28"/>
              </w:rPr>
              <w:t>含税单价</w:t>
            </w:r>
            <w:r>
              <w:rPr>
                <w:rFonts w:hint="eastAsia" w:ascii="仿宋" w:hAnsi="仿宋" w:eastAsia="仿宋" w:cs="仿宋"/>
                <w:bCs/>
                <w:color w:val="auto"/>
                <w:sz w:val="22"/>
                <w:szCs w:val="28"/>
              </w:rPr>
              <w:t>（元）</w:t>
            </w:r>
          </w:p>
        </w:tc>
        <w:tc>
          <w:tcPr>
            <w:tcW w:w="708" w:type="pct"/>
            <w:vAlign w:val="center"/>
          </w:tcPr>
          <w:p w14:paraId="2735F794">
            <w:pPr>
              <w:spacing w:line="400" w:lineRule="exact"/>
              <w:jc w:val="center"/>
              <w:rPr>
                <w:rFonts w:ascii="仿宋" w:hAnsi="仿宋" w:eastAsia="仿宋" w:cs="仿宋"/>
                <w:bCs/>
                <w:color w:val="auto"/>
                <w:sz w:val="22"/>
                <w:szCs w:val="28"/>
              </w:rPr>
            </w:pPr>
            <w:r>
              <w:rPr>
                <w:rFonts w:hint="eastAsia" w:ascii="仿宋" w:hAnsi="仿宋" w:eastAsia="仿宋" w:cs="仿宋"/>
                <w:b/>
                <w:bCs/>
                <w:color w:val="auto"/>
                <w:sz w:val="22"/>
                <w:szCs w:val="28"/>
              </w:rPr>
              <w:t>含税小计</w:t>
            </w:r>
            <w:r>
              <w:rPr>
                <w:rFonts w:hint="eastAsia" w:ascii="仿宋" w:hAnsi="仿宋" w:eastAsia="仿宋" w:cs="仿宋"/>
                <w:bCs/>
                <w:color w:val="auto"/>
                <w:sz w:val="22"/>
                <w:szCs w:val="28"/>
              </w:rPr>
              <w:t>（元）</w:t>
            </w:r>
          </w:p>
        </w:tc>
      </w:tr>
      <w:tr w14:paraId="7F30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6322C6E8">
            <w:pPr>
              <w:spacing w:line="400" w:lineRule="exact"/>
              <w:jc w:val="center"/>
              <w:rPr>
                <w:rFonts w:ascii="仿宋" w:hAnsi="仿宋" w:eastAsia="仿宋" w:cs="仿宋"/>
                <w:color w:val="auto"/>
                <w:sz w:val="22"/>
                <w:szCs w:val="28"/>
              </w:rPr>
            </w:pPr>
            <w:r>
              <w:rPr>
                <w:rFonts w:hint="eastAsia" w:ascii="仿宋" w:hAnsi="仿宋" w:eastAsia="仿宋" w:cs="仿宋"/>
                <w:color w:val="auto"/>
                <w:sz w:val="22"/>
                <w:szCs w:val="28"/>
              </w:rPr>
              <w:t>1</w:t>
            </w:r>
          </w:p>
        </w:tc>
        <w:tc>
          <w:tcPr>
            <w:tcW w:w="704" w:type="pct"/>
            <w:vAlign w:val="center"/>
          </w:tcPr>
          <w:p w14:paraId="11C5A23B">
            <w:pPr>
              <w:spacing w:line="400" w:lineRule="exact"/>
              <w:jc w:val="center"/>
              <w:rPr>
                <w:rFonts w:ascii="仿宋" w:hAnsi="仿宋" w:eastAsia="仿宋" w:cs="仿宋"/>
                <w:color w:val="auto"/>
                <w:sz w:val="22"/>
                <w:szCs w:val="28"/>
              </w:rPr>
            </w:pPr>
          </w:p>
        </w:tc>
        <w:tc>
          <w:tcPr>
            <w:tcW w:w="474" w:type="pct"/>
            <w:vAlign w:val="center"/>
          </w:tcPr>
          <w:p w14:paraId="457C2639">
            <w:pPr>
              <w:spacing w:line="400" w:lineRule="exact"/>
              <w:jc w:val="center"/>
              <w:rPr>
                <w:rFonts w:ascii="仿宋" w:hAnsi="仿宋" w:eastAsia="仿宋" w:cs="仿宋"/>
                <w:color w:val="auto"/>
                <w:sz w:val="22"/>
                <w:szCs w:val="28"/>
              </w:rPr>
            </w:pPr>
          </w:p>
        </w:tc>
        <w:tc>
          <w:tcPr>
            <w:tcW w:w="873" w:type="pct"/>
            <w:vAlign w:val="center"/>
          </w:tcPr>
          <w:p w14:paraId="335BCBF6">
            <w:pPr>
              <w:spacing w:line="400" w:lineRule="exact"/>
              <w:jc w:val="center"/>
              <w:rPr>
                <w:rFonts w:ascii="仿宋" w:hAnsi="仿宋" w:eastAsia="仿宋" w:cs="仿宋"/>
                <w:color w:val="auto"/>
                <w:sz w:val="22"/>
                <w:szCs w:val="28"/>
              </w:rPr>
            </w:pPr>
          </w:p>
        </w:tc>
        <w:tc>
          <w:tcPr>
            <w:tcW w:w="468" w:type="pct"/>
            <w:vAlign w:val="center"/>
          </w:tcPr>
          <w:p w14:paraId="1DC5CEB2">
            <w:pPr>
              <w:spacing w:line="400" w:lineRule="exact"/>
              <w:jc w:val="center"/>
              <w:rPr>
                <w:rFonts w:ascii="仿宋" w:hAnsi="仿宋" w:eastAsia="仿宋" w:cs="仿宋"/>
                <w:color w:val="auto"/>
                <w:sz w:val="22"/>
                <w:szCs w:val="28"/>
              </w:rPr>
            </w:pPr>
          </w:p>
        </w:tc>
        <w:tc>
          <w:tcPr>
            <w:tcW w:w="473" w:type="pct"/>
            <w:vAlign w:val="center"/>
          </w:tcPr>
          <w:p w14:paraId="70F746F7">
            <w:pPr>
              <w:spacing w:line="400" w:lineRule="exact"/>
              <w:jc w:val="center"/>
              <w:rPr>
                <w:rFonts w:ascii="仿宋" w:hAnsi="仿宋" w:eastAsia="仿宋" w:cs="仿宋"/>
                <w:color w:val="auto"/>
                <w:sz w:val="22"/>
                <w:szCs w:val="28"/>
              </w:rPr>
            </w:pPr>
          </w:p>
        </w:tc>
        <w:tc>
          <w:tcPr>
            <w:tcW w:w="790" w:type="pct"/>
            <w:vAlign w:val="center"/>
          </w:tcPr>
          <w:p w14:paraId="13DF8D34">
            <w:pPr>
              <w:spacing w:line="400" w:lineRule="exact"/>
              <w:jc w:val="center"/>
              <w:rPr>
                <w:rFonts w:ascii="仿宋" w:hAnsi="仿宋" w:eastAsia="仿宋" w:cs="仿宋"/>
                <w:color w:val="auto"/>
                <w:sz w:val="22"/>
                <w:szCs w:val="28"/>
              </w:rPr>
            </w:pPr>
          </w:p>
        </w:tc>
        <w:tc>
          <w:tcPr>
            <w:tcW w:w="708" w:type="pct"/>
            <w:vAlign w:val="center"/>
          </w:tcPr>
          <w:p w14:paraId="35EDCF70">
            <w:pPr>
              <w:spacing w:line="400" w:lineRule="exact"/>
              <w:jc w:val="center"/>
              <w:rPr>
                <w:rFonts w:ascii="仿宋" w:hAnsi="仿宋" w:eastAsia="仿宋" w:cs="仿宋"/>
                <w:color w:val="auto"/>
                <w:sz w:val="22"/>
                <w:szCs w:val="28"/>
              </w:rPr>
            </w:pPr>
          </w:p>
        </w:tc>
      </w:tr>
      <w:tr w14:paraId="28F3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0629B2F7">
            <w:pPr>
              <w:spacing w:line="400" w:lineRule="exact"/>
              <w:jc w:val="center"/>
              <w:rPr>
                <w:rFonts w:ascii="仿宋" w:hAnsi="仿宋" w:eastAsia="仿宋" w:cs="仿宋"/>
                <w:color w:val="auto"/>
                <w:sz w:val="22"/>
                <w:szCs w:val="28"/>
              </w:rPr>
            </w:pPr>
            <w:r>
              <w:rPr>
                <w:rFonts w:hint="eastAsia" w:ascii="仿宋" w:hAnsi="仿宋" w:eastAsia="仿宋" w:cs="仿宋"/>
                <w:color w:val="auto"/>
                <w:sz w:val="22"/>
                <w:szCs w:val="28"/>
              </w:rPr>
              <w:t>2</w:t>
            </w:r>
          </w:p>
        </w:tc>
        <w:tc>
          <w:tcPr>
            <w:tcW w:w="704" w:type="pct"/>
            <w:vAlign w:val="center"/>
          </w:tcPr>
          <w:p w14:paraId="40A4EE25">
            <w:pPr>
              <w:spacing w:line="400" w:lineRule="exact"/>
              <w:jc w:val="center"/>
              <w:rPr>
                <w:rFonts w:ascii="仿宋" w:hAnsi="仿宋" w:eastAsia="仿宋" w:cs="仿宋"/>
                <w:color w:val="auto"/>
                <w:sz w:val="22"/>
                <w:szCs w:val="28"/>
              </w:rPr>
            </w:pPr>
          </w:p>
        </w:tc>
        <w:tc>
          <w:tcPr>
            <w:tcW w:w="474" w:type="pct"/>
            <w:vAlign w:val="center"/>
          </w:tcPr>
          <w:p w14:paraId="269C4AA6">
            <w:pPr>
              <w:spacing w:line="400" w:lineRule="exact"/>
              <w:jc w:val="center"/>
              <w:rPr>
                <w:rFonts w:ascii="仿宋" w:hAnsi="仿宋" w:eastAsia="仿宋" w:cs="仿宋"/>
                <w:color w:val="auto"/>
                <w:sz w:val="22"/>
                <w:szCs w:val="28"/>
              </w:rPr>
            </w:pPr>
          </w:p>
        </w:tc>
        <w:tc>
          <w:tcPr>
            <w:tcW w:w="873" w:type="pct"/>
            <w:vAlign w:val="center"/>
          </w:tcPr>
          <w:p w14:paraId="0103AB4B">
            <w:pPr>
              <w:spacing w:line="400" w:lineRule="exact"/>
              <w:jc w:val="center"/>
              <w:rPr>
                <w:rFonts w:ascii="仿宋" w:hAnsi="仿宋" w:eastAsia="仿宋" w:cs="仿宋"/>
                <w:color w:val="auto"/>
                <w:sz w:val="22"/>
                <w:szCs w:val="28"/>
              </w:rPr>
            </w:pPr>
          </w:p>
        </w:tc>
        <w:tc>
          <w:tcPr>
            <w:tcW w:w="468" w:type="pct"/>
            <w:vAlign w:val="center"/>
          </w:tcPr>
          <w:p w14:paraId="0E75172B">
            <w:pPr>
              <w:spacing w:line="400" w:lineRule="exact"/>
              <w:jc w:val="center"/>
              <w:rPr>
                <w:rFonts w:ascii="仿宋" w:hAnsi="仿宋" w:eastAsia="仿宋" w:cs="仿宋"/>
                <w:color w:val="auto"/>
                <w:sz w:val="22"/>
                <w:szCs w:val="28"/>
              </w:rPr>
            </w:pPr>
          </w:p>
        </w:tc>
        <w:tc>
          <w:tcPr>
            <w:tcW w:w="473" w:type="pct"/>
            <w:vAlign w:val="center"/>
          </w:tcPr>
          <w:p w14:paraId="3824A4FD">
            <w:pPr>
              <w:spacing w:line="400" w:lineRule="exact"/>
              <w:jc w:val="center"/>
              <w:rPr>
                <w:rFonts w:ascii="仿宋" w:hAnsi="仿宋" w:eastAsia="仿宋" w:cs="仿宋"/>
                <w:color w:val="auto"/>
                <w:sz w:val="22"/>
                <w:szCs w:val="28"/>
              </w:rPr>
            </w:pPr>
          </w:p>
        </w:tc>
        <w:tc>
          <w:tcPr>
            <w:tcW w:w="790" w:type="pct"/>
            <w:vAlign w:val="center"/>
          </w:tcPr>
          <w:p w14:paraId="7A178687">
            <w:pPr>
              <w:spacing w:line="400" w:lineRule="exact"/>
              <w:jc w:val="center"/>
              <w:rPr>
                <w:rFonts w:ascii="仿宋" w:hAnsi="仿宋" w:eastAsia="仿宋" w:cs="仿宋"/>
                <w:color w:val="auto"/>
                <w:sz w:val="22"/>
                <w:szCs w:val="28"/>
              </w:rPr>
            </w:pPr>
          </w:p>
        </w:tc>
        <w:tc>
          <w:tcPr>
            <w:tcW w:w="708" w:type="pct"/>
            <w:vAlign w:val="center"/>
          </w:tcPr>
          <w:p w14:paraId="27906283">
            <w:pPr>
              <w:spacing w:line="400" w:lineRule="exact"/>
              <w:jc w:val="center"/>
              <w:rPr>
                <w:rFonts w:ascii="仿宋" w:hAnsi="仿宋" w:eastAsia="仿宋" w:cs="仿宋"/>
                <w:color w:val="auto"/>
                <w:sz w:val="22"/>
                <w:szCs w:val="28"/>
              </w:rPr>
            </w:pPr>
          </w:p>
        </w:tc>
      </w:tr>
      <w:tr w14:paraId="3EE0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11C4CA70">
            <w:pPr>
              <w:spacing w:line="400" w:lineRule="exact"/>
              <w:jc w:val="center"/>
              <w:rPr>
                <w:rFonts w:ascii="仿宋" w:hAnsi="仿宋" w:eastAsia="仿宋" w:cs="仿宋"/>
                <w:color w:val="auto"/>
                <w:sz w:val="22"/>
                <w:szCs w:val="28"/>
              </w:rPr>
            </w:pPr>
            <w:r>
              <w:rPr>
                <w:rFonts w:hint="eastAsia" w:ascii="仿宋" w:hAnsi="仿宋" w:eastAsia="仿宋" w:cs="仿宋"/>
                <w:color w:val="auto"/>
                <w:sz w:val="22"/>
                <w:szCs w:val="28"/>
              </w:rPr>
              <w:t>合计（含税）</w:t>
            </w:r>
          </w:p>
        </w:tc>
        <w:tc>
          <w:tcPr>
            <w:tcW w:w="3078" w:type="pct"/>
            <w:gridSpan w:val="5"/>
            <w:vAlign w:val="center"/>
          </w:tcPr>
          <w:p w14:paraId="4B4D7835">
            <w:pPr>
              <w:spacing w:line="400" w:lineRule="exact"/>
              <w:jc w:val="center"/>
              <w:rPr>
                <w:rFonts w:ascii="仿宋" w:hAnsi="仿宋" w:eastAsia="仿宋" w:cs="仿宋"/>
                <w:color w:val="auto"/>
                <w:sz w:val="22"/>
                <w:szCs w:val="28"/>
              </w:rPr>
            </w:pPr>
            <w:r>
              <w:rPr>
                <w:rFonts w:hint="eastAsia" w:ascii="仿宋" w:hAnsi="仿宋" w:eastAsia="仿宋" w:cs="仿宋"/>
                <w:color w:val="auto"/>
                <w:sz w:val="22"/>
                <w:szCs w:val="28"/>
              </w:rPr>
              <w:t>大写：</w:t>
            </w:r>
          </w:p>
        </w:tc>
        <w:tc>
          <w:tcPr>
            <w:tcW w:w="708" w:type="pct"/>
            <w:vAlign w:val="center"/>
          </w:tcPr>
          <w:p w14:paraId="74577E71">
            <w:pPr>
              <w:spacing w:line="400" w:lineRule="exact"/>
              <w:jc w:val="center"/>
              <w:textAlignment w:val="center"/>
              <w:rPr>
                <w:rFonts w:ascii="仿宋" w:hAnsi="仿宋" w:eastAsia="仿宋" w:cs="仿宋"/>
                <w:color w:val="auto"/>
                <w:sz w:val="22"/>
                <w:szCs w:val="28"/>
              </w:rPr>
            </w:pPr>
          </w:p>
        </w:tc>
      </w:tr>
      <w:tr w14:paraId="3C58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554DDE62">
            <w:pPr>
              <w:spacing w:line="400" w:lineRule="exact"/>
              <w:jc w:val="left"/>
              <w:rPr>
                <w:rFonts w:ascii="仿宋" w:hAnsi="仿宋" w:eastAsia="仿宋" w:cs="仿宋"/>
                <w:color w:val="auto"/>
                <w:sz w:val="22"/>
                <w:szCs w:val="28"/>
              </w:rPr>
            </w:pPr>
            <w:r>
              <w:rPr>
                <w:rFonts w:hint="eastAsia" w:ascii="仿宋" w:hAnsi="仿宋" w:eastAsia="仿宋" w:cs="仿宋"/>
                <w:color w:val="auto"/>
                <w:sz w:val="22"/>
                <w:szCs w:val="28"/>
              </w:rPr>
              <w:t>备注：技术参数详见附件。</w:t>
            </w:r>
          </w:p>
        </w:tc>
      </w:tr>
    </w:tbl>
    <w:p w14:paraId="2761724B">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二、合同金额及结算方式</w:t>
      </w:r>
    </w:p>
    <w:p w14:paraId="18CAA0EB">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1.合同总金额（含税）为人民币（大写）：  元整（￥： 元）。合同总金额为一次性总价，包括但不限于所供产品、运输费、安装调试费、质保期服务费、各项税费等乙方为完成本合同义务所需的一切费用，不受市场价格变化及税率波动的影响，并为结算的唯一依据。</w:t>
      </w:r>
    </w:p>
    <w:p w14:paraId="15DB6698">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2.本合同正式签订前，乙方须向甲方支付合同总金额的5%作为项目履约保证金，即人民币（大写）：  元整（￥： 元）。项目验收合格后，甲方顺利运行6个月后，甲方一次性无息返还至乙方指定账户。</w:t>
      </w:r>
    </w:p>
    <w:p w14:paraId="5DA502B2">
      <w:pPr>
        <w:spacing w:line="400" w:lineRule="exact"/>
        <w:ind w:firstLine="480" w:firstLineChars="200"/>
        <w:rPr>
          <w:rFonts w:ascii="仿宋" w:hAnsi="仿宋" w:eastAsia="仿宋" w:cs="仿宋"/>
          <w:color w:val="auto"/>
          <w:sz w:val="24"/>
          <w:szCs w:val="28"/>
        </w:rPr>
      </w:pPr>
      <w:r>
        <w:rPr>
          <w:rFonts w:hint="eastAsia" w:ascii="仿宋" w:hAnsi="仿宋" w:eastAsia="仿宋" w:cs="仿宋"/>
          <w:color w:val="auto"/>
          <w:sz w:val="24"/>
          <w:szCs w:val="28"/>
          <w:lang w:bidi="ar"/>
        </w:rPr>
        <w:t>3.合同签订后，达到付款条件起 15 日内，支付合同总金额的40.00%，项目验收合格且成交商向采购人开具、交付与合同总金额等值的增值税专用发票后，达到付款条件起 15 日内，支付合同总金额的 60.00%。</w:t>
      </w:r>
    </w:p>
    <w:p w14:paraId="1FEA9068">
      <w:pPr>
        <w:spacing w:line="400" w:lineRule="exact"/>
        <w:ind w:firstLine="472" w:firstLineChars="196"/>
        <w:rPr>
          <w:rFonts w:ascii="仿宋" w:hAnsi="仿宋" w:eastAsia="仿宋" w:cs="仿宋"/>
          <w:b/>
          <w:color w:val="auto"/>
          <w:sz w:val="24"/>
          <w:szCs w:val="28"/>
        </w:rPr>
      </w:pPr>
      <w:r>
        <w:rPr>
          <w:rFonts w:hint="eastAsia" w:ascii="仿宋" w:hAnsi="仿宋" w:eastAsia="仿宋" w:cs="仿宋"/>
          <w:b/>
          <w:color w:val="auto"/>
          <w:sz w:val="24"/>
          <w:szCs w:val="28"/>
        </w:rPr>
        <w:t>三、合同产品的供货期及质量要求</w:t>
      </w:r>
    </w:p>
    <w:p w14:paraId="3BB82B31">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1.本合同签订后</w:t>
      </w:r>
      <w:r>
        <w:rPr>
          <w:rFonts w:hint="eastAsia" w:ascii="仿宋" w:hAnsi="仿宋" w:eastAsia="仿宋" w:cs="仿宋"/>
          <w:color w:val="auto"/>
          <w:sz w:val="24"/>
          <w:szCs w:val="28"/>
          <w:u w:val="single"/>
          <w:lang w:bidi="ar"/>
        </w:rPr>
        <w:t xml:space="preserve">   </w:t>
      </w:r>
      <w:r>
        <w:rPr>
          <w:rFonts w:hint="eastAsia" w:ascii="仿宋" w:hAnsi="仿宋" w:eastAsia="仿宋" w:cs="仿宋"/>
          <w:color w:val="auto"/>
          <w:sz w:val="24"/>
          <w:szCs w:val="28"/>
          <w:lang w:bidi="ar"/>
        </w:rPr>
        <w:t>个日历日内，乙方完成约定项目全部内容（包括但不限于产品供货、安装调试、人员培训等）。</w:t>
      </w:r>
    </w:p>
    <w:p w14:paraId="086119EE">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乙方保证所供产品为制造商原厂生产的全新、未经使用并达到合同附件参数要求的产品；外观为未启封全新包装，序列号、包装箱号、出厂批号内外一致，并可追索查阅；供货产品型号规格、数量与约定购置内容一致，并且技术参数符合甲方招标要求，否则，甲方有权向乙方退货，或者要求乙方进行更换，乙方不得拒绝，乙方还应当承担因此产生的违约责任及由此产生的一切费用，同时甲方有权单方解除合同。</w:t>
      </w:r>
    </w:p>
    <w:p w14:paraId="4CA45D0C">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3.乙方应按甲方的时限要求，在现场对产品进行安装、调试和试运行，直至验收合格。乙方应提供全部安装、调试过程中所需的材料、设施设备、人工等。</w:t>
      </w:r>
    </w:p>
    <w:p w14:paraId="7EC1C260">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4.乙方应指派专人将合同产品运至甲方指定地点并完成安装调试；安装调试完毕且经甲方验收合格前，产品的安全及毁损灭失等风险由乙方负责承担。</w:t>
      </w:r>
    </w:p>
    <w:p w14:paraId="4447B49A">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5.乙方专业技术人员将所供合同产品拆封时，应及时通知甲方到场查验，共同对产品数量及型号规格进行核对，经核对无误后，乙方方可进行安装调试。</w:t>
      </w:r>
    </w:p>
    <w:p w14:paraId="4E5CCD23">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6.乙方须按照国家法规制度、相关政府部门规定，提前自行办理项目施工审批手续。如因乙方原因造成损失的，由乙方承担全部费用，任何责任与甲方无关，甲方承担责任的有权向乙方追偿或从应付款项中扣除。</w:t>
      </w:r>
    </w:p>
    <w:p w14:paraId="447E2143">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7.甲方应配合提供符合产品安装要求的外部条件。</w:t>
      </w:r>
    </w:p>
    <w:p w14:paraId="7AB6C3E5">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四、技术培训</w:t>
      </w:r>
    </w:p>
    <w:p w14:paraId="100ADADF">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1.乙方完成项目产品安装、调试后，免费为甲方技术及管理人员进行技术培训，直至确认甲方人员可以完成设备、软件的日常使用及维护。培训时间、地点、内容由甲乙双方协商确定，培训时长不少于3个工作日。</w:t>
      </w:r>
    </w:p>
    <w:p w14:paraId="44656A11">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2.乙方完成项目培训计划，甲方工作人员可独立运行、管理后，双方对项目正式验收。</w:t>
      </w:r>
    </w:p>
    <w:p w14:paraId="1260CC1A">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五、合同产品的验收</w:t>
      </w:r>
    </w:p>
    <w:p w14:paraId="2FD7F12E">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1.乙方按照合同要求完成项目所有内容及使用培训，经甲方建设单位同意后，乙方方可书面提出验收申请。甲方组织产品验收时，乙方应派人现场予以配合并提供所需的验收材料。</w:t>
      </w:r>
    </w:p>
    <w:p w14:paraId="7B9A9E10">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甲方有权拒绝付款。</w:t>
      </w:r>
    </w:p>
    <w:p w14:paraId="1A2ABA6F">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3.项目验收不合格的，乙方必须在接到通知后7个日历日内确保项目所有内容通过验收。如接到通知后7个日历日内验收仍不合格，乙方应承担合同金额15%的违约金，同时甲方可单方解除供货合同，并要求乙方承担因此产生的全部损失及额外费用。</w:t>
      </w:r>
    </w:p>
    <w:p w14:paraId="36FE97AD">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六、质保期及售后服务要求</w:t>
      </w:r>
    </w:p>
    <w:p w14:paraId="4E35D23E">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1.本合同产品质保期为验收合格后 </w:t>
      </w:r>
      <w:r>
        <w:rPr>
          <w:rFonts w:hint="eastAsia" w:ascii="仿宋" w:hAnsi="仿宋" w:eastAsia="仿宋" w:cs="仿宋"/>
          <w:color w:val="auto"/>
          <w:sz w:val="24"/>
          <w:szCs w:val="28"/>
          <w:u w:val="single"/>
          <w:lang w:bidi="ar"/>
        </w:rPr>
        <w:t xml:space="preserve">  </w:t>
      </w:r>
      <w:r>
        <w:rPr>
          <w:rFonts w:hint="eastAsia" w:ascii="仿宋" w:hAnsi="仿宋" w:eastAsia="仿宋" w:cs="仿宋"/>
          <w:color w:val="auto"/>
          <w:sz w:val="24"/>
          <w:szCs w:val="28"/>
          <w:lang w:bidi="ar"/>
        </w:rPr>
        <w:t>年。质保期内，除人为因素损坏外，乙方对所供产品实行免费维修或免费更换，免费提供所有设备正常使用所需的备品备件，且乙方维修所更换的配件和备品备件均为原设备厂家生产。质保期内，乙方对所售产品免费提供7*24小时技术支持（电话、邮件、传真、远程协助等方式）、每年不少于2次上门巡检等服务。</w:t>
      </w:r>
    </w:p>
    <w:p w14:paraId="5D45FAEB">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质保期内，乙方接到甲方维修通知，应在工作日2小时内(非工作日4小时内）或与甲方约定时间内，派人现场处理，并于4小时内完成修复；如经检测，无法在12小时内完成修复的，乙方应免费提供同档次或更高档次的备件，保证设备正常使用直至故障排除。乙方未在规定或约定时间进行维修，造成甲方人身、财产损害时，甲方有权要求乙方赔偿甲方的损失；如乙方不能及时到场，甲方可安排其他公司技术人员进行维修，期间产生的维修费用，均由乙方承担，由乙方支付给甲方；接到甲方维修通知后，乙方累计超过</w:t>
      </w:r>
      <w:r>
        <w:rPr>
          <w:rFonts w:hint="eastAsia" w:ascii="仿宋" w:hAnsi="仿宋" w:eastAsia="仿宋" w:cs="仿宋"/>
          <w:color w:val="auto"/>
          <w:sz w:val="24"/>
          <w:szCs w:val="28"/>
          <w:lang w:val="en-US" w:eastAsia="zh-CN" w:bidi="ar"/>
        </w:rPr>
        <w:t>4</w:t>
      </w:r>
      <w:r>
        <w:rPr>
          <w:rFonts w:hint="eastAsia" w:ascii="仿宋" w:hAnsi="仿宋" w:eastAsia="仿宋" w:cs="仿宋"/>
          <w:color w:val="auto"/>
          <w:sz w:val="24"/>
          <w:szCs w:val="28"/>
          <w:lang w:bidi="ar"/>
        </w:rPr>
        <w:t>次（含</w:t>
      </w:r>
      <w:r>
        <w:rPr>
          <w:rFonts w:hint="eastAsia" w:ascii="仿宋" w:hAnsi="仿宋" w:eastAsia="仿宋" w:cs="仿宋"/>
          <w:color w:val="auto"/>
          <w:sz w:val="24"/>
          <w:szCs w:val="28"/>
          <w:lang w:val="en-US" w:eastAsia="zh-CN" w:bidi="ar"/>
        </w:rPr>
        <w:t>4</w:t>
      </w:r>
      <w:r>
        <w:rPr>
          <w:rFonts w:hint="eastAsia" w:ascii="仿宋" w:hAnsi="仿宋" w:eastAsia="仿宋" w:cs="仿宋"/>
          <w:color w:val="auto"/>
          <w:sz w:val="24"/>
          <w:szCs w:val="28"/>
          <w:lang w:bidi="ar"/>
        </w:rPr>
        <w:t>次）未在约定保修时间内进行维修时，乙方应向甲方支付金额为未按约定维修涉及费用2倍的违约金。乙方不履行或不具备履行质保期维修能力时，甲方将上报政府采购部门处理。</w:t>
      </w:r>
    </w:p>
    <w:p w14:paraId="3EC74FAE">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3.质保期内，出现产品非人为因素损坏而造成短期停用时，则质保期相应顺延，如停用时间累计超过20天</w:t>
      </w:r>
      <w:r>
        <w:rPr>
          <w:rFonts w:hint="eastAsia" w:ascii="仿宋" w:hAnsi="仿宋" w:eastAsia="仿宋" w:cs="仿宋"/>
          <w:color w:val="auto"/>
          <w:sz w:val="24"/>
          <w:szCs w:val="28"/>
          <w:lang w:eastAsia="zh-CN" w:bidi="ar"/>
        </w:rPr>
        <w:t>（</w:t>
      </w:r>
      <w:r>
        <w:rPr>
          <w:rFonts w:hint="eastAsia" w:ascii="仿宋" w:hAnsi="仿宋" w:eastAsia="仿宋" w:cs="仿宋"/>
          <w:color w:val="auto"/>
          <w:sz w:val="24"/>
          <w:szCs w:val="28"/>
          <w:lang w:val="en-US" w:eastAsia="zh-CN" w:bidi="ar"/>
        </w:rPr>
        <w:t>含20天</w:t>
      </w:r>
      <w:r>
        <w:rPr>
          <w:rFonts w:hint="eastAsia" w:ascii="仿宋" w:hAnsi="仿宋" w:eastAsia="仿宋" w:cs="仿宋"/>
          <w:color w:val="auto"/>
          <w:sz w:val="24"/>
          <w:szCs w:val="28"/>
          <w:lang w:eastAsia="zh-CN" w:bidi="ar"/>
        </w:rPr>
        <w:t>）</w:t>
      </w:r>
      <w:r>
        <w:rPr>
          <w:rFonts w:hint="eastAsia" w:ascii="仿宋" w:hAnsi="仿宋" w:eastAsia="仿宋" w:cs="仿宋"/>
          <w:color w:val="auto"/>
          <w:sz w:val="24"/>
          <w:szCs w:val="28"/>
          <w:lang w:bidi="ar"/>
        </w:rPr>
        <w:t>，则质保期自产品修复之日起重新计算。</w:t>
      </w:r>
    </w:p>
    <w:p w14:paraId="7C9A6B0E">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4.质保到期前，乙方免费对所供设备进行一次全面维护保养服务。</w:t>
      </w:r>
    </w:p>
    <w:p w14:paraId="7F6745E0">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5.质保期满后，乙方继续为用户提供技术支持，包括设备维修、软件升级、故障排除、备品备件。乙方只收取相应的零部件费及合理的服务费。</w:t>
      </w:r>
    </w:p>
    <w:p w14:paraId="41419E1C">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七、违约责任</w:t>
      </w:r>
    </w:p>
    <w:p w14:paraId="284E4F30">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1、乙方未按合同要求交付合同产品，或合同生效后明确表示或以自己的行为表明不履行合同义务时，甲方有权会同招标组织机构终止合同并不予返还乙方交纳的合同履约保证金,即人民币（大写）：  元（￥： 元）。</w:t>
      </w:r>
    </w:p>
    <w:p w14:paraId="36BF5D65">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2.乙方未经甲方书面同意延迟完成项目的，须向甲方缴纳违约金。违约金应按履约保证金总金额10%/天计算，如逾期超过十日，甲方有权以书面通知形式单方解除合同，并不予返还乙方交纳的合同履约保证金，同时，给甲方造成损失的，乙方应当予以赔偿。</w:t>
      </w:r>
    </w:p>
    <w:p w14:paraId="33F804AB">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3.乙方所交付货物及伴随的工程或服务不符合其投标承诺，存在偷工减料、以次充好情形的，甲方要求更换一次后仍不符合约定的，乙方应承担合同总金额20%的违约金，同时甲方有权解除合同，并将有关情况上报政府采购监管部门处理，除违约金外，因此给甲方造成的损失均应由乙方承担。</w:t>
      </w:r>
    </w:p>
    <w:p w14:paraId="78C96ABD">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4.如因乙方违约，甲方依本合同约定单方解除合同的，乙方应退还甲方已支付的全部费用，并承担因此给甲方造成的全部损失（包括但不限于甲方因主张权利所产生的诉讼费、鉴定费、申请费、律师费等）。</w:t>
      </w:r>
    </w:p>
    <w:p w14:paraId="160D274A">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5.甲方未经乙方同意延迟支付乙方合同款项，甲方须向乙方支付违约金，违约金数额由双方协商确定。</w:t>
      </w:r>
    </w:p>
    <w:p w14:paraId="1FC139E4">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6.乙方应当确保提供的产品及其内容来源正当合法，不存在侵犯第三人知识产权等权利的行为。否则，乙方应承担合同总金额10%的违约金，同时因侵犯第三人权益而造成甲方损失或产生费用的，甲方有权向乙方追偿或从应付款项中予以扣除。</w:t>
      </w:r>
    </w:p>
    <w:p w14:paraId="457A846A">
      <w:pPr>
        <w:spacing w:line="400" w:lineRule="exact"/>
        <w:ind w:firstLine="480" w:firstLineChars="200"/>
        <w:rPr>
          <w:rFonts w:ascii="仿宋" w:hAnsi="仿宋" w:eastAsia="仿宋" w:cs="仿宋"/>
          <w:color w:val="auto"/>
          <w:sz w:val="24"/>
          <w:szCs w:val="28"/>
          <w:lang w:bidi="ar"/>
        </w:rPr>
      </w:pPr>
      <w:r>
        <w:rPr>
          <w:rFonts w:hint="eastAsia" w:ascii="仿宋" w:hAnsi="仿宋" w:eastAsia="仿宋" w:cs="仿宋"/>
          <w:color w:val="auto"/>
          <w:sz w:val="24"/>
          <w:szCs w:val="28"/>
          <w:lang w:bidi="ar"/>
        </w:rPr>
        <w:t>7.如乙方存在任何违约行为，甲方均有权拒绝付款。乙方未经甲方书面同意不得将本合同项下的全部或部分权利义务转移给第三方，否则甲方有权解除合同，并要求乙方承担10%的违约金。</w:t>
      </w:r>
    </w:p>
    <w:p w14:paraId="6B50F415">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八、发生不可抗力时合同运行方式</w:t>
      </w:r>
    </w:p>
    <w:p w14:paraId="4DD7E8C4">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03B513F4">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九、争议解决方式</w:t>
      </w:r>
    </w:p>
    <w:p w14:paraId="278F1B3D">
      <w:pPr>
        <w:snapToGrid w:val="0"/>
        <w:spacing w:line="400" w:lineRule="exact"/>
        <w:ind w:firstLine="480" w:firstLineChars="200"/>
        <w:rPr>
          <w:rFonts w:ascii="仿宋" w:hAnsi="仿宋" w:eastAsia="仿宋" w:cs="仿宋"/>
          <w:color w:val="auto"/>
          <w:sz w:val="24"/>
          <w:szCs w:val="28"/>
        </w:rPr>
      </w:pPr>
      <w:r>
        <w:rPr>
          <w:rFonts w:hint="eastAsia" w:ascii="仿宋" w:hAnsi="仿宋" w:eastAsia="仿宋" w:cs="仿宋"/>
          <w:color w:val="auto"/>
          <w:sz w:val="24"/>
          <w:szCs w:val="28"/>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48755493">
      <w:pPr>
        <w:spacing w:line="400" w:lineRule="exact"/>
        <w:ind w:firstLine="480" w:firstLineChars="200"/>
        <w:rPr>
          <w:rFonts w:ascii="仿宋" w:hAnsi="仿宋" w:eastAsia="仿宋" w:cs="仿宋"/>
          <w:color w:val="auto"/>
          <w:sz w:val="24"/>
          <w:szCs w:val="28"/>
        </w:rPr>
      </w:pPr>
      <w:r>
        <w:rPr>
          <w:rFonts w:hint="eastAsia" w:ascii="仿宋" w:hAnsi="仿宋" w:eastAsia="仿宋" w:cs="仿宋"/>
          <w:color w:val="auto"/>
          <w:sz w:val="24"/>
          <w:szCs w:val="28"/>
          <w:lang w:bidi="ar"/>
        </w:rPr>
        <w:t>2、在法院审理期间，除提交法院审理的事项外，合同其他事项和条款仍应继续履行。</w:t>
      </w:r>
    </w:p>
    <w:p w14:paraId="70095BA6">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十、合同生效</w:t>
      </w:r>
    </w:p>
    <w:p w14:paraId="04057318">
      <w:pPr>
        <w:pStyle w:val="10"/>
        <w:tabs>
          <w:tab w:val="left" w:pos="540"/>
        </w:tabs>
        <w:spacing w:before="0" w:beforeAutospacing="0" w:after="0" w:afterAutospacing="0" w:line="400" w:lineRule="exact"/>
        <w:ind w:firstLine="480" w:firstLineChars="200"/>
        <w:rPr>
          <w:rFonts w:ascii="仿宋" w:hAnsi="仿宋" w:eastAsia="仿宋" w:cs="仿宋"/>
          <w:color w:val="auto"/>
          <w:kern w:val="2"/>
          <w:szCs w:val="28"/>
        </w:rPr>
      </w:pPr>
      <w:r>
        <w:rPr>
          <w:rFonts w:hint="eastAsia" w:ascii="仿宋" w:hAnsi="仿宋" w:eastAsia="仿宋" w:cs="仿宋"/>
          <w:color w:val="auto"/>
          <w:kern w:val="2"/>
          <w:szCs w:val="28"/>
        </w:rPr>
        <w:t>本合同有效期自甲乙双方法定代表人或其授权代理人签字并加盖公章之日起生效。如双方签字、盖章日期不一致时，以最后盖章方的盖章日期为合同的生效日期。</w:t>
      </w:r>
    </w:p>
    <w:p w14:paraId="0CFD3E1E">
      <w:pPr>
        <w:pStyle w:val="10"/>
        <w:widowControl w:val="0"/>
        <w:spacing w:before="0" w:beforeAutospacing="0" w:after="0" w:afterAutospacing="0" w:line="400" w:lineRule="exact"/>
        <w:ind w:firstLine="482" w:firstLineChars="200"/>
        <w:rPr>
          <w:rFonts w:ascii="仿宋" w:hAnsi="仿宋" w:eastAsia="仿宋" w:cs="仿宋"/>
          <w:b/>
          <w:color w:val="auto"/>
          <w:szCs w:val="28"/>
        </w:rPr>
      </w:pPr>
      <w:r>
        <w:rPr>
          <w:rFonts w:hint="eastAsia" w:ascii="仿宋" w:hAnsi="仿宋" w:eastAsia="仿宋" w:cs="仿宋"/>
          <w:b/>
          <w:color w:val="auto"/>
          <w:szCs w:val="28"/>
        </w:rPr>
        <w:t>十一、送达地址</w:t>
      </w:r>
    </w:p>
    <w:p w14:paraId="1A174152">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双方指定的送达地址为：</w:t>
      </w:r>
    </w:p>
    <w:p w14:paraId="78F50B73">
      <w:pPr>
        <w:pStyle w:val="10"/>
        <w:widowControl w:val="0"/>
        <w:spacing w:before="0" w:beforeAutospacing="0" w:after="0" w:afterAutospacing="0" w:line="400" w:lineRule="exact"/>
        <w:ind w:firstLine="482" w:firstLineChars="200"/>
        <w:rPr>
          <w:rFonts w:ascii="仿宋" w:hAnsi="仿宋" w:eastAsia="仿宋" w:cs="仿宋"/>
          <w:color w:val="auto"/>
          <w:szCs w:val="28"/>
          <w:lang w:bidi="ar"/>
        </w:rPr>
      </w:pPr>
      <w:r>
        <w:rPr>
          <w:rFonts w:hint="eastAsia" w:ascii="仿宋" w:hAnsi="仿宋" w:eastAsia="仿宋" w:cs="仿宋"/>
          <w:b/>
          <w:color w:val="auto"/>
          <w:szCs w:val="28"/>
        </w:rPr>
        <w:t>甲方：咸阳师范学院</w:t>
      </w:r>
      <w:r>
        <w:rPr>
          <w:rFonts w:hint="eastAsia" w:ascii="仿宋" w:hAnsi="仿宋" w:eastAsia="仿宋" w:cs="仿宋"/>
          <w:color w:val="auto"/>
          <w:szCs w:val="28"/>
        </w:rPr>
        <w:t xml:space="preserve">                  </w:t>
      </w:r>
      <w:r>
        <w:rPr>
          <w:rFonts w:hint="eastAsia" w:ascii="仿宋" w:hAnsi="仿宋" w:eastAsia="仿宋" w:cs="仿宋"/>
          <w:b/>
          <w:color w:val="auto"/>
          <w:szCs w:val="28"/>
        </w:rPr>
        <w:t>乙方：</w:t>
      </w:r>
      <w:r>
        <w:rPr>
          <w:rFonts w:hint="eastAsia" w:ascii="仿宋" w:hAnsi="仿宋" w:eastAsia="仿宋" w:cs="仿宋"/>
          <w:bCs/>
          <w:color w:val="auto"/>
          <w:szCs w:val="28"/>
        </w:rPr>
        <w:t xml:space="preserve"> </w:t>
      </w:r>
    </w:p>
    <w:p w14:paraId="37C7FD71">
      <w:pPr>
        <w:tabs>
          <w:tab w:val="left" w:pos="4710"/>
        </w:tabs>
        <w:spacing w:line="400" w:lineRule="exact"/>
        <w:ind w:left="4980" w:leftChars="200" w:hanging="4560" w:hangingChars="1900"/>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送达地址：咸阳市渭城区文林路东段 </w:t>
      </w:r>
      <w:r>
        <w:rPr>
          <w:rFonts w:hint="eastAsia" w:ascii="仿宋" w:hAnsi="仿宋" w:eastAsia="仿宋" w:cs="仿宋"/>
          <w:color w:val="auto"/>
          <w:sz w:val="24"/>
          <w:szCs w:val="28"/>
        </w:rPr>
        <w:t xml:space="preserve">    </w:t>
      </w:r>
      <w:r>
        <w:rPr>
          <w:rFonts w:hint="eastAsia" w:ascii="仿宋" w:hAnsi="仿宋" w:eastAsia="仿宋" w:cs="仿宋"/>
          <w:color w:val="auto"/>
          <w:sz w:val="24"/>
          <w:szCs w:val="28"/>
          <w:lang w:bidi="ar"/>
        </w:rPr>
        <w:t>送达地址：</w:t>
      </w:r>
    </w:p>
    <w:p w14:paraId="504DD874">
      <w:pPr>
        <w:pStyle w:val="10"/>
        <w:widowControl w:val="0"/>
        <w:spacing w:before="0" w:beforeAutospacing="0" w:after="0" w:afterAutospacing="0" w:line="400" w:lineRule="exact"/>
        <w:ind w:firstLine="480" w:firstLineChars="200"/>
        <w:rPr>
          <w:rFonts w:ascii="仿宋" w:hAnsi="仿宋" w:eastAsia="仿宋" w:cs="仿宋"/>
          <w:color w:val="auto"/>
          <w:szCs w:val="28"/>
          <w:lang w:bidi="ar"/>
        </w:rPr>
      </w:pPr>
      <w:r>
        <w:rPr>
          <w:rFonts w:hint="eastAsia" w:ascii="仿宋" w:hAnsi="仿宋" w:eastAsia="仿宋" w:cs="仿宋"/>
          <w:color w:val="auto"/>
          <w:szCs w:val="28"/>
        </w:rPr>
        <w:t xml:space="preserve">收件人：                             </w:t>
      </w:r>
      <w:r>
        <w:rPr>
          <w:rFonts w:hint="eastAsia" w:ascii="仿宋" w:hAnsi="仿宋" w:eastAsia="仿宋" w:cs="仿宋"/>
          <w:color w:val="auto"/>
          <w:szCs w:val="28"/>
          <w:lang w:bidi="ar"/>
        </w:rPr>
        <w:t xml:space="preserve">收件人： </w:t>
      </w:r>
    </w:p>
    <w:p w14:paraId="694F6C01">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 xml:space="preserve">联系电话：                           </w:t>
      </w:r>
      <w:r>
        <w:rPr>
          <w:rFonts w:hint="eastAsia" w:ascii="仿宋" w:hAnsi="仿宋" w:eastAsia="仿宋" w:cs="仿宋"/>
          <w:color w:val="auto"/>
          <w:szCs w:val="28"/>
          <w:lang w:bidi="ar"/>
        </w:rPr>
        <w:t xml:space="preserve">联系电话： </w:t>
      </w:r>
    </w:p>
    <w:p w14:paraId="4300F3B5">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任何一方上述通讯信息如发生变更，应在变更之日起三日内书面通知合同对方；如未书面通知，则视为未变更。双方一致确认，任何一方向上述地址送达文件即视为送达成功，无论是否实际收到。</w:t>
      </w:r>
    </w:p>
    <w:p w14:paraId="70A1A381">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688B929C">
      <w:pPr>
        <w:pStyle w:val="10"/>
        <w:widowControl w:val="0"/>
        <w:spacing w:before="0" w:beforeAutospacing="0" w:after="0" w:afterAutospacing="0" w:line="400" w:lineRule="exact"/>
        <w:ind w:firstLine="480" w:firstLineChars="200"/>
        <w:rPr>
          <w:rFonts w:ascii="仿宋" w:hAnsi="仿宋" w:eastAsia="仿宋" w:cs="仿宋"/>
          <w:color w:val="auto"/>
          <w:szCs w:val="28"/>
        </w:rPr>
      </w:pPr>
      <w:r>
        <w:rPr>
          <w:rFonts w:hint="eastAsia" w:ascii="仿宋" w:hAnsi="仿宋" w:eastAsia="仿宋" w:cs="仿宋"/>
          <w:color w:val="auto"/>
          <w:szCs w:val="28"/>
        </w:rPr>
        <w:t>本合同履行过程中发生任何纠纷，则前述地址视为法院邮寄法律文书及各方邮寄律师函等文件的法定送达地址。</w:t>
      </w:r>
    </w:p>
    <w:p w14:paraId="56FEE75D">
      <w:pPr>
        <w:spacing w:line="400" w:lineRule="exact"/>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十二、其它</w:t>
      </w:r>
    </w:p>
    <w:p w14:paraId="4F3037E2">
      <w:pPr>
        <w:spacing w:line="400" w:lineRule="exact"/>
        <w:ind w:firstLine="480" w:firstLineChars="200"/>
        <w:rPr>
          <w:rFonts w:ascii="仿宋" w:hAnsi="仿宋" w:eastAsia="仿宋" w:cs="仿宋"/>
          <w:color w:val="auto"/>
          <w:sz w:val="24"/>
          <w:szCs w:val="28"/>
        </w:rPr>
      </w:pPr>
      <w:r>
        <w:rPr>
          <w:rFonts w:hint="eastAsia" w:ascii="仿宋" w:hAnsi="仿宋" w:eastAsia="仿宋" w:cs="仿宋"/>
          <w:color w:val="auto"/>
          <w:sz w:val="24"/>
          <w:szCs w:val="28"/>
          <w:lang w:bidi="ar"/>
        </w:rPr>
        <w:t>1、甲方招标文件、本合同附件及经双方签署确认的文件（包括乙方投标文件、补充协议），均为本合同不可分割的有效组成部分，与本合同具有同等的法律效力。其生效日为盖章确认之日。</w:t>
      </w:r>
    </w:p>
    <w:p w14:paraId="0DEECC4E">
      <w:pPr>
        <w:tabs>
          <w:tab w:val="left" w:pos="4710"/>
        </w:tabs>
        <w:spacing w:line="400" w:lineRule="exact"/>
        <w:ind w:left="181" w:leftChars="86" w:firstLine="240" w:firstLineChars="100"/>
        <w:rPr>
          <w:rFonts w:ascii="仿宋" w:hAnsi="仿宋" w:eastAsia="仿宋" w:cs="仿宋"/>
          <w:color w:val="auto"/>
          <w:sz w:val="24"/>
          <w:szCs w:val="28"/>
        </w:rPr>
      </w:pPr>
      <w:r>
        <w:rPr>
          <w:rFonts w:hint="eastAsia" w:ascii="仿宋" w:hAnsi="仿宋" w:eastAsia="仿宋" w:cs="仿宋"/>
          <w:color w:val="auto"/>
          <w:sz w:val="24"/>
          <w:szCs w:val="28"/>
          <w:lang w:bidi="ar"/>
        </w:rPr>
        <w:t>2、</w:t>
      </w:r>
      <w:r>
        <w:rPr>
          <w:rFonts w:hint="eastAsia" w:ascii="仿宋" w:hAnsi="仿宋" w:eastAsia="仿宋" w:cs="仿宋"/>
          <w:color w:val="auto"/>
          <w:sz w:val="24"/>
          <w:szCs w:val="28"/>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3CFC6613">
      <w:pPr>
        <w:tabs>
          <w:tab w:val="left" w:pos="4710"/>
        </w:tabs>
        <w:spacing w:line="400" w:lineRule="exact"/>
        <w:ind w:left="181" w:leftChars="86" w:firstLine="240" w:firstLineChars="100"/>
        <w:rPr>
          <w:rFonts w:ascii="仿宋" w:hAnsi="仿宋" w:eastAsia="仿宋" w:cs="仿宋"/>
          <w:color w:val="auto"/>
          <w:sz w:val="24"/>
          <w:szCs w:val="28"/>
        </w:rPr>
      </w:pPr>
      <w:r>
        <w:rPr>
          <w:rFonts w:hint="eastAsia" w:ascii="仿宋" w:hAnsi="仿宋" w:eastAsia="仿宋" w:cs="仿宋"/>
          <w:color w:val="auto"/>
          <w:sz w:val="24"/>
          <w:szCs w:val="28"/>
        </w:rPr>
        <w:t>3、本合同履行期间，鉴证方应按照甲方、鉴证方双方签</w:t>
      </w:r>
      <w:r>
        <w:rPr>
          <w:rFonts w:hint="eastAsia" w:ascii="仿宋" w:hAnsi="仿宋" w:eastAsia="仿宋" w:cs="仿宋"/>
          <w:color w:val="auto"/>
          <w:sz w:val="24"/>
          <w:szCs w:val="28"/>
          <w:lang w:bidi="ar"/>
        </w:rPr>
        <w:t>署确认的</w:t>
      </w:r>
      <w:r>
        <w:rPr>
          <w:rFonts w:hint="eastAsia" w:ascii="仿宋" w:hAnsi="仿宋" w:eastAsia="仿宋" w:cs="仿宋"/>
          <w:color w:val="auto"/>
          <w:sz w:val="24"/>
          <w:szCs w:val="28"/>
        </w:rPr>
        <w:t>文件（包括但不限于招标代理委托合同、招标文件）约定，履行相应的责任与义务。</w:t>
      </w:r>
    </w:p>
    <w:p w14:paraId="630384B7">
      <w:pPr>
        <w:tabs>
          <w:tab w:val="left" w:pos="4710"/>
        </w:tabs>
        <w:spacing w:line="400" w:lineRule="exact"/>
        <w:ind w:left="181" w:leftChars="86" w:firstLine="240" w:firstLineChars="100"/>
        <w:rPr>
          <w:rFonts w:ascii="仿宋" w:hAnsi="仿宋" w:eastAsia="仿宋" w:cs="仿宋"/>
          <w:b/>
          <w:color w:val="auto"/>
          <w:sz w:val="24"/>
          <w:szCs w:val="28"/>
        </w:rPr>
      </w:pPr>
      <w:r>
        <w:rPr>
          <w:rFonts w:hint="eastAsia" w:ascii="仿宋" w:hAnsi="仿宋" w:eastAsia="仿宋" w:cs="仿宋"/>
          <w:color w:val="auto"/>
          <w:sz w:val="24"/>
          <w:szCs w:val="28"/>
        </w:rPr>
        <w:t>4、本合同一式柒份，甲方执伍份、乙方执壹份、鉴证方执壹份，具有同等法律效力。</w:t>
      </w:r>
    </w:p>
    <w:p w14:paraId="0AD27FD8">
      <w:pPr>
        <w:tabs>
          <w:tab w:val="left" w:pos="4710"/>
        </w:tabs>
        <w:spacing w:line="400" w:lineRule="exact"/>
        <w:ind w:left="181" w:leftChars="86" w:firstLine="240" w:firstLineChars="100"/>
        <w:rPr>
          <w:rFonts w:ascii="仿宋" w:hAnsi="仿宋" w:eastAsia="仿宋" w:cs="仿宋"/>
          <w:color w:val="auto"/>
          <w:sz w:val="24"/>
          <w:szCs w:val="28"/>
        </w:rPr>
      </w:pPr>
      <w:r>
        <w:rPr>
          <w:rFonts w:hint="eastAsia" w:ascii="仿宋" w:hAnsi="仿宋" w:eastAsia="仿宋" w:cs="仿宋"/>
          <w:color w:val="auto"/>
          <w:sz w:val="24"/>
          <w:szCs w:val="28"/>
        </w:rPr>
        <w:t>【以下无正文】</w:t>
      </w:r>
    </w:p>
    <w:p w14:paraId="69AFA0AF">
      <w:pPr>
        <w:tabs>
          <w:tab w:val="left" w:pos="4710"/>
        </w:tabs>
        <w:spacing w:line="400" w:lineRule="exact"/>
        <w:ind w:firstLine="120" w:firstLineChars="50"/>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甲方：咸阳师范学院                    乙方： </w:t>
      </w:r>
    </w:p>
    <w:p w14:paraId="1B98335F">
      <w:pPr>
        <w:tabs>
          <w:tab w:val="left" w:pos="4710"/>
        </w:tabs>
        <w:spacing w:line="400" w:lineRule="exact"/>
        <w:ind w:firstLine="120" w:firstLineChars="50"/>
        <w:rPr>
          <w:rFonts w:ascii="仿宋" w:hAnsi="仿宋" w:eastAsia="仿宋" w:cs="仿宋"/>
          <w:color w:val="auto"/>
          <w:sz w:val="24"/>
          <w:szCs w:val="28"/>
          <w:lang w:bidi="ar"/>
        </w:rPr>
      </w:pPr>
      <w:r>
        <w:rPr>
          <w:rFonts w:hint="eastAsia" w:ascii="仿宋" w:hAnsi="仿宋" w:eastAsia="仿宋" w:cs="仿宋"/>
          <w:color w:val="auto"/>
          <w:sz w:val="24"/>
          <w:szCs w:val="28"/>
          <w:lang w:bidi="ar"/>
        </w:rPr>
        <w:t>（盖章）                               （盖章）</w:t>
      </w:r>
    </w:p>
    <w:p w14:paraId="5FBD39C4">
      <w:pPr>
        <w:tabs>
          <w:tab w:val="left" w:pos="4710"/>
        </w:tabs>
        <w:spacing w:line="400" w:lineRule="exact"/>
        <w:ind w:firstLine="120" w:firstLineChars="50"/>
        <w:rPr>
          <w:rFonts w:ascii="仿宋" w:hAnsi="仿宋" w:eastAsia="仿宋" w:cs="仿宋"/>
          <w:color w:val="auto"/>
          <w:sz w:val="24"/>
          <w:szCs w:val="28"/>
          <w:lang w:bidi="ar"/>
        </w:rPr>
      </w:pPr>
      <w:r>
        <w:rPr>
          <w:rFonts w:hint="eastAsia" w:ascii="仿宋" w:hAnsi="仿宋" w:eastAsia="仿宋" w:cs="仿宋"/>
          <w:color w:val="auto"/>
          <w:sz w:val="24"/>
          <w:szCs w:val="28"/>
          <w:lang w:bidi="ar"/>
        </w:rPr>
        <w:t>法定代表人或授权代理人                法定代表人或授权代理人</w:t>
      </w:r>
    </w:p>
    <w:p w14:paraId="6C402459">
      <w:pPr>
        <w:tabs>
          <w:tab w:val="left" w:pos="4710"/>
        </w:tabs>
        <w:spacing w:line="400" w:lineRule="exact"/>
        <w:ind w:firstLine="120" w:firstLineChars="50"/>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（签字）：                            （签字）： </w:t>
      </w:r>
    </w:p>
    <w:p w14:paraId="54255A99">
      <w:pPr>
        <w:tabs>
          <w:tab w:val="left" w:pos="4710"/>
        </w:tabs>
        <w:spacing w:line="400" w:lineRule="exact"/>
        <w:ind w:firstLine="4665" w:firstLineChars="1944"/>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开户行： </w:t>
      </w:r>
    </w:p>
    <w:p w14:paraId="4E69A838">
      <w:pPr>
        <w:tabs>
          <w:tab w:val="left" w:pos="4710"/>
        </w:tabs>
        <w:spacing w:line="400" w:lineRule="exact"/>
        <w:ind w:firstLine="4692" w:firstLineChars="1955"/>
        <w:rPr>
          <w:rFonts w:ascii="仿宋" w:hAnsi="仿宋" w:eastAsia="仿宋" w:cs="仿宋"/>
          <w:color w:val="auto"/>
          <w:sz w:val="24"/>
          <w:szCs w:val="28"/>
          <w:lang w:bidi="ar"/>
        </w:rPr>
      </w:pPr>
      <w:r>
        <w:rPr>
          <w:rFonts w:hint="eastAsia" w:ascii="仿宋" w:hAnsi="仿宋" w:eastAsia="仿宋" w:cs="仿宋"/>
          <w:color w:val="auto"/>
          <w:sz w:val="24"/>
          <w:szCs w:val="28"/>
          <w:lang w:bidi="ar"/>
        </w:rPr>
        <w:t>账号：</w:t>
      </w:r>
    </w:p>
    <w:p w14:paraId="145844F6">
      <w:pPr>
        <w:tabs>
          <w:tab w:val="left" w:pos="4710"/>
        </w:tabs>
        <w:spacing w:line="400" w:lineRule="exact"/>
        <w:ind w:firstLine="4692" w:firstLineChars="1955"/>
        <w:rPr>
          <w:rFonts w:ascii="仿宋" w:hAnsi="仿宋" w:eastAsia="仿宋" w:cs="仿宋"/>
          <w:color w:val="auto"/>
          <w:sz w:val="24"/>
          <w:szCs w:val="28"/>
          <w:lang w:bidi="ar"/>
        </w:rPr>
      </w:pPr>
      <w:r>
        <w:rPr>
          <w:rFonts w:hint="eastAsia" w:ascii="仿宋" w:hAnsi="仿宋" w:eastAsia="仿宋" w:cs="仿宋"/>
          <w:color w:val="auto"/>
          <w:sz w:val="24"/>
          <w:szCs w:val="28"/>
          <w:lang w:bidi="ar"/>
        </w:rPr>
        <w:t>开户行行号：</w:t>
      </w:r>
    </w:p>
    <w:p w14:paraId="63C0A266">
      <w:pPr>
        <w:tabs>
          <w:tab w:val="left" w:pos="4710"/>
        </w:tabs>
        <w:spacing w:line="400" w:lineRule="exact"/>
        <w:jc w:val="left"/>
        <w:rPr>
          <w:rFonts w:ascii="仿宋" w:hAnsi="仿宋" w:eastAsia="仿宋" w:cs="仿宋"/>
          <w:color w:val="auto"/>
          <w:sz w:val="24"/>
          <w:szCs w:val="28"/>
          <w:lang w:bidi="ar"/>
        </w:rPr>
      </w:pPr>
      <w:r>
        <w:rPr>
          <w:rFonts w:hint="eastAsia" w:ascii="仿宋" w:hAnsi="仿宋" w:eastAsia="仿宋" w:cs="仿宋"/>
          <w:color w:val="auto"/>
          <w:sz w:val="24"/>
          <w:szCs w:val="28"/>
          <w:lang w:bidi="ar"/>
        </w:rPr>
        <w:t xml:space="preserve">住所地：咸阳市渭城区文林路             住所地： </w:t>
      </w:r>
    </w:p>
    <w:p w14:paraId="6F86F860">
      <w:pPr>
        <w:tabs>
          <w:tab w:val="left" w:pos="4710"/>
        </w:tabs>
        <w:spacing w:line="400" w:lineRule="exact"/>
        <w:ind w:firstLine="5640" w:firstLineChars="2350"/>
        <w:jc w:val="left"/>
        <w:rPr>
          <w:rFonts w:ascii="仿宋" w:hAnsi="仿宋" w:eastAsia="仿宋" w:cs="仿宋"/>
          <w:color w:val="auto"/>
          <w:sz w:val="24"/>
          <w:szCs w:val="28"/>
          <w:lang w:bidi="ar"/>
        </w:rPr>
      </w:pPr>
    </w:p>
    <w:p w14:paraId="5A64086D">
      <w:pPr>
        <w:spacing w:line="400" w:lineRule="exact"/>
        <w:rPr>
          <w:color w:val="auto"/>
          <w:sz w:val="24"/>
          <w:szCs w:val="28"/>
        </w:rPr>
      </w:pPr>
      <w:r>
        <w:rPr>
          <w:rFonts w:hint="eastAsia" w:ascii="仿宋" w:hAnsi="仿宋" w:eastAsia="仿宋" w:cs="仿宋"/>
          <w:color w:val="auto"/>
          <w:sz w:val="24"/>
          <w:szCs w:val="28"/>
          <w:lang w:bidi="ar"/>
        </w:rPr>
        <w:t>日期：    年     月     日            日期：    年    月     日</w:t>
      </w:r>
    </w:p>
    <w:p w14:paraId="77CB1315">
      <w:pPr>
        <w:spacing w:line="400" w:lineRule="exact"/>
        <w:rPr>
          <w:color w:val="auto"/>
          <w:sz w:val="24"/>
          <w:szCs w:val="28"/>
        </w:rPr>
      </w:pPr>
    </w:p>
    <w:p w14:paraId="2C43ACBD">
      <w:pPr>
        <w:pStyle w:val="4"/>
        <w:spacing w:line="400" w:lineRule="exact"/>
        <w:rPr>
          <w:rFonts w:ascii="仿宋" w:hAnsi="仿宋" w:eastAsia="仿宋" w:cs="仿宋"/>
          <w:bCs/>
          <w:color w:val="auto"/>
          <w:sz w:val="24"/>
          <w:szCs w:val="28"/>
        </w:rPr>
      </w:pPr>
      <w:r>
        <w:rPr>
          <w:rFonts w:hint="eastAsia" w:ascii="仿宋" w:hAnsi="仿宋" w:eastAsia="仿宋" w:cs="仿宋"/>
          <w:color w:val="auto"/>
          <w:sz w:val="24"/>
          <w:szCs w:val="28"/>
          <w:lang w:bidi="ar"/>
        </w:rPr>
        <w:t>附件：</w:t>
      </w:r>
    </w:p>
    <w:p w14:paraId="3C11675F">
      <w:pPr>
        <w:pStyle w:val="9"/>
        <w:widowControl w:val="0"/>
        <w:spacing w:line="400" w:lineRule="exact"/>
        <w:ind w:firstLine="480"/>
        <w:jc w:val="center"/>
        <w:rPr>
          <w:rFonts w:ascii="仿宋" w:hAnsi="仿宋" w:eastAsia="仿宋" w:cs="仿宋"/>
          <w:bCs/>
          <w:color w:val="auto"/>
          <w:szCs w:val="28"/>
        </w:rPr>
      </w:pPr>
      <w:r>
        <w:rPr>
          <w:rFonts w:hint="eastAsia" w:ascii="仿宋" w:hAnsi="仿宋" w:eastAsia="仿宋" w:cs="仿宋"/>
          <w:bCs/>
          <w:color w:val="auto"/>
          <w:szCs w:val="28"/>
        </w:rPr>
        <w:t>合同购置内容及技术要求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57"/>
        <w:gridCol w:w="2040"/>
      </w:tblGrid>
      <w:tr w14:paraId="3290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272D6AFA">
            <w:pPr>
              <w:spacing w:line="400" w:lineRule="exact"/>
              <w:jc w:val="center"/>
              <w:rPr>
                <w:rFonts w:ascii="仿宋" w:hAnsi="仿宋" w:eastAsia="仿宋" w:cs="仿宋"/>
                <w:b/>
                <w:bCs/>
                <w:color w:val="auto"/>
                <w:sz w:val="24"/>
                <w:szCs w:val="28"/>
              </w:rPr>
            </w:pPr>
            <w:r>
              <w:rPr>
                <w:rFonts w:hint="eastAsia" w:ascii="仿宋" w:hAnsi="仿宋" w:eastAsia="仿宋" w:cs="仿宋"/>
                <w:b/>
                <w:bCs/>
                <w:color w:val="auto"/>
                <w:sz w:val="24"/>
                <w:szCs w:val="28"/>
              </w:rPr>
              <w:t>设备名称</w:t>
            </w:r>
          </w:p>
        </w:tc>
        <w:tc>
          <w:tcPr>
            <w:tcW w:w="1911" w:type="pct"/>
            <w:vAlign w:val="center"/>
          </w:tcPr>
          <w:p w14:paraId="3BA0948B">
            <w:pPr>
              <w:spacing w:line="400" w:lineRule="exact"/>
              <w:jc w:val="center"/>
              <w:rPr>
                <w:rFonts w:ascii="仿宋" w:hAnsi="仿宋" w:eastAsia="仿宋" w:cs="仿宋"/>
                <w:b/>
                <w:bCs/>
                <w:color w:val="auto"/>
                <w:sz w:val="24"/>
                <w:szCs w:val="28"/>
              </w:rPr>
            </w:pPr>
            <w:r>
              <w:rPr>
                <w:rFonts w:hint="eastAsia" w:ascii="仿宋" w:hAnsi="仿宋" w:eastAsia="仿宋" w:cs="仿宋"/>
                <w:b/>
                <w:bCs/>
                <w:color w:val="auto"/>
                <w:sz w:val="24"/>
                <w:szCs w:val="28"/>
              </w:rPr>
              <w:t>生产厂家</w:t>
            </w:r>
          </w:p>
        </w:tc>
        <w:tc>
          <w:tcPr>
            <w:tcW w:w="1197" w:type="pct"/>
            <w:vAlign w:val="center"/>
          </w:tcPr>
          <w:p w14:paraId="5520EEDA">
            <w:pPr>
              <w:spacing w:line="400" w:lineRule="exact"/>
              <w:jc w:val="center"/>
              <w:rPr>
                <w:rFonts w:ascii="仿宋" w:hAnsi="仿宋" w:eastAsia="仿宋" w:cs="仿宋"/>
                <w:b/>
                <w:bCs/>
                <w:color w:val="auto"/>
                <w:sz w:val="24"/>
                <w:szCs w:val="28"/>
              </w:rPr>
            </w:pPr>
            <w:r>
              <w:rPr>
                <w:rFonts w:hint="eastAsia" w:ascii="仿宋" w:hAnsi="仿宋" w:eastAsia="仿宋" w:cs="仿宋"/>
                <w:b/>
                <w:bCs/>
                <w:color w:val="auto"/>
                <w:sz w:val="24"/>
                <w:szCs w:val="28"/>
              </w:rPr>
              <w:t>型号/规格</w:t>
            </w:r>
          </w:p>
        </w:tc>
      </w:tr>
      <w:tr w14:paraId="6CE8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3ED99651">
            <w:pPr>
              <w:spacing w:line="400" w:lineRule="exact"/>
              <w:jc w:val="center"/>
              <w:rPr>
                <w:rFonts w:ascii="仿宋" w:hAnsi="仿宋" w:eastAsia="仿宋" w:cs="仿宋"/>
                <w:b/>
                <w:color w:val="auto"/>
                <w:sz w:val="24"/>
                <w:szCs w:val="28"/>
              </w:rPr>
            </w:pPr>
            <w:r>
              <w:rPr>
                <w:rFonts w:hint="eastAsia" w:ascii="仿宋" w:hAnsi="仿宋" w:eastAsia="仿宋" w:cs="仿宋"/>
                <w:b/>
                <w:bCs/>
                <w:color w:val="auto"/>
                <w:sz w:val="24"/>
                <w:szCs w:val="28"/>
              </w:rPr>
              <w:t>1、</w:t>
            </w:r>
          </w:p>
        </w:tc>
        <w:tc>
          <w:tcPr>
            <w:tcW w:w="1911" w:type="pct"/>
            <w:vAlign w:val="center"/>
          </w:tcPr>
          <w:p w14:paraId="0A02F4ED">
            <w:pPr>
              <w:spacing w:line="400" w:lineRule="exact"/>
              <w:jc w:val="center"/>
              <w:rPr>
                <w:rFonts w:ascii="仿宋" w:hAnsi="仿宋" w:eastAsia="仿宋" w:cs="仿宋"/>
                <w:b/>
                <w:bCs/>
                <w:color w:val="auto"/>
                <w:sz w:val="24"/>
                <w:szCs w:val="28"/>
              </w:rPr>
            </w:pPr>
          </w:p>
        </w:tc>
        <w:tc>
          <w:tcPr>
            <w:tcW w:w="1197" w:type="pct"/>
            <w:vAlign w:val="center"/>
          </w:tcPr>
          <w:p w14:paraId="2F8729B7">
            <w:pPr>
              <w:spacing w:line="400" w:lineRule="exact"/>
              <w:jc w:val="center"/>
              <w:rPr>
                <w:rFonts w:ascii="仿宋" w:hAnsi="仿宋" w:eastAsia="仿宋" w:cs="仿宋"/>
                <w:b/>
                <w:bCs/>
                <w:color w:val="auto"/>
                <w:sz w:val="24"/>
                <w:szCs w:val="28"/>
              </w:rPr>
            </w:pPr>
          </w:p>
        </w:tc>
      </w:tr>
      <w:tr w14:paraId="18DB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5F2822F0">
            <w:pPr>
              <w:spacing w:line="400" w:lineRule="exact"/>
              <w:rPr>
                <w:rFonts w:ascii="仿宋" w:hAnsi="仿宋" w:eastAsia="仿宋"/>
                <w:color w:val="auto"/>
                <w:szCs w:val="28"/>
                <w:lang w:bidi="ar"/>
              </w:rPr>
            </w:pPr>
            <w:r>
              <w:rPr>
                <w:rFonts w:hint="eastAsia" w:ascii="仿宋" w:hAnsi="仿宋" w:eastAsia="仿宋" w:cs="仿宋"/>
                <w:color w:val="auto"/>
                <w:sz w:val="24"/>
                <w:szCs w:val="28"/>
                <w:lang w:bidi="ar"/>
              </w:rPr>
              <w:t>技术参数：</w:t>
            </w:r>
          </w:p>
        </w:tc>
      </w:tr>
      <w:tr w14:paraId="3DA3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3714630B">
            <w:pPr>
              <w:pStyle w:val="4"/>
              <w:spacing w:line="400" w:lineRule="exact"/>
              <w:jc w:val="center"/>
              <w:rPr>
                <w:rFonts w:ascii="仿宋" w:hAnsi="仿宋" w:eastAsia="仿宋" w:cs="仿宋"/>
                <w:b/>
                <w:color w:val="auto"/>
                <w:sz w:val="24"/>
                <w:szCs w:val="28"/>
              </w:rPr>
            </w:pPr>
            <w:r>
              <w:rPr>
                <w:rFonts w:hint="eastAsia" w:ascii="仿宋" w:hAnsi="仿宋" w:eastAsia="仿宋" w:cs="仿宋"/>
                <w:b/>
                <w:color w:val="auto"/>
                <w:sz w:val="24"/>
                <w:szCs w:val="28"/>
              </w:rPr>
              <w:t>2、</w:t>
            </w:r>
          </w:p>
        </w:tc>
        <w:tc>
          <w:tcPr>
            <w:tcW w:w="1911" w:type="pct"/>
            <w:vAlign w:val="center"/>
          </w:tcPr>
          <w:p w14:paraId="7C37D153">
            <w:pPr>
              <w:pStyle w:val="4"/>
              <w:spacing w:line="400" w:lineRule="exact"/>
              <w:jc w:val="center"/>
              <w:rPr>
                <w:rFonts w:ascii="仿宋" w:hAnsi="仿宋" w:eastAsia="仿宋" w:cs="仿宋"/>
                <w:b/>
                <w:color w:val="auto"/>
                <w:sz w:val="24"/>
                <w:szCs w:val="28"/>
              </w:rPr>
            </w:pPr>
          </w:p>
        </w:tc>
        <w:tc>
          <w:tcPr>
            <w:tcW w:w="1197" w:type="pct"/>
            <w:vAlign w:val="center"/>
          </w:tcPr>
          <w:p w14:paraId="199AA948">
            <w:pPr>
              <w:pStyle w:val="4"/>
              <w:spacing w:line="400" w:lineRule="exact"/>
              <w:jc w:val="center"/>
              <w:rPr>
                <w:rFonts w:ascii="仿宋" w:hAnsi="仿宋" w:eastAsia="仿宋" w:cs="仿宋"/>
                <w:b/>
                <w:color w:val="auto"/>
                <w:sz w:val="24"/>
                <w:szCs w:val="28"/>
              </w:rPr>
            </w:pPr>
          </w:p>
        </w:tc>
      </w:tr>
      <w:tr w14:paraId="16F1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333BC897">
            <w:pPr>
              <w:pStyle w:val="4"/>
              <w:spacing w:line="400" w:lineRule="exact"/>
              <w:rPr>
                <w:rFonts w:ascii="仿宋" w:hAnsi="仿宋" w:eastAsia="仿宋" w:cs="仿宋"/>
                <w:color w:val="auto"/>
                <w:szCs w:val="28"/>
                <w:lang w:bidi="ar"/>
              </w:rPr>
            </w:pPr>
            <w:r>
              <w:rPr>
                <w:rFonts w:hint="eastAsia" w:ascii="仿宋" w:hAnsi="仿宋" w:eastAsia="仿宋" w:cs="仿宋"/>
                <w:color w:val="auto"/>
                <w:sz w:val="24"/>
                <w:szCs w:val="28"/>
                <w:lang w:bidi="ar"/>
              </w:rPr>
              <w:t xml:space="preserve">技术参数： </w:t>
            </w:r>
          </w:p>
        </w:tc>
      </w:tr>
    </w:tbl>
    <w:p w14:paraId="1B574200">
      <w:pPr>
        <w:pStyle w:val="8"/>
        <w:rPr>
          <w:rFonts w:hint="default"/>
          <w:color w:val="auto"/>
        </w:rPr>
      </w:pPr>
    </w:p>
    <w:p w14:paraId="7F15962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1DAB5360"/>
    <w:rsid w:val="23D739A5"/>
    <w:rsid w:val="2DB6295E"/>
    <w:rsid w:val="37607F59"/>
    <w:rsid w:val="39DA3FF3"/>
    <w:rsid w:val="3F03313E"/>
    <w:rsid w:val="7B9C7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Times New Roman" w:hAnsi="Times New Roman"/>
      <w:szCs w:val="24"/>
    </w:rPr>
  </w:style>
  <w:style w:type="paragraph" w:styleId="3">
    <w:name w:val="annotation text"/>
    <w:basedOn w:val="1"/>
    <w:qFormat/>
    <w:uiPriority w:val="0"/>
    <w:pPr>
      <w:jc w:val="left"/>
    </w:pPr>
  </w:style>
  <w:style w:type="paragraph" w:styleId="4">
    <w:name w:val="Plain Text"/>
    <w:basedOn w:val="1"/>
    <w:qFormat/>
    <w:uiPriority w:val="99"/>
    <w:rPr>
      <w:rFonts w:ascii="宋体" w:hAnsi="Courier New" w:cs="Courier New"/>
      <w:szCs w:val="21"/>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10">
    <w:name w:val="1"/>
    <w:basedOn w:val="1"/>
    <w:next w:val="5"/>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2151</Words>
  <Characters>2167</Characters>
  <Lines>0</Lines>
  <Paragraphs>0</Paragraphs>
  <TotalTime>0</TotalTime>
  <ScaleCrop>false</ScaleCrop>
  <LinksUpToDate>false</LinksUpToDate>
  <CharactersWithSpaces>2229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安安</cp:lastModifiedBy>
  <dcterms:modified xsi:type="dcterms:W3CDTF">2026-05-14T06:18:39Z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