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版本号：SZT2026-SN-XC-ZC-FW-052220260615001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2026年度警犬基地场地租赁项目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SZT2026-SN-XC-ZC-FW-0522</w:t>
      </w:r>
      <w:r>
        <w:br/>
      </w:r>
      <w:r>
        <w:br/>
      </w:r>
      <w:r>
        <w:br/>
      </w:r>
    </w:p>
    <w:p>
      <w:pPr>
        <w:pStyle w:val="null3"/>
        <w:jc w:val="center"/>
        <w:outlineLvl w:val="5"/>
      </w:pPr>
      <w:r>
        <w:rPr>
          <w:rFonts w:ascii="仿宋_GB2312" w:hAnsi="仿宋_GB2312" w:cs="仿宋_GB2312" w:eastAsia="仿宋_GB2312"/>
          <w:sz w:val="15"/>
          <w:b/>
        </w:rPr>
        <w:t>西安市公安局公交轨道公安局</w:t>
      </w:r>
    </w:p>
    <w:p>
      <w:pPr>
        <w:pStyle w:val="null3"/>
        <w:jc w:val="center"/>
        <w:outlineLvl w:val="5"/>
      </w:pPr>
      <w:r>
        <w:rPr>
          <w:rFonts w:ascii="仿宋_GB2312" w:hAnsi="仿宋_GB2312" w:cs="仿宋_GB2312" w:eastAsia="仿宋_GB2312"/>
          <w:sz w:val="15"/>
          <w:b/>
        </w:rPr>
        <w:t>陕西中技招标有限公司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西安市公安局公交轨道公安局</w:t>
      </w:r>
      <w:r>
        <w:rPr>
          <w:rFonts w:ascii="仿宋_GB2312" w:hAnsi="仿宋_GB2312" w:cs="仿宋_GB2312" w:eastAsia="仿宋_GB2312"/>
        </w:rPr>
        <w:t>委托，拟对</w:t>
      </w:r>
      <w:r>
        <w:rPr>
          <w:rFonts w:ascii="仿宋_GB2312" w:hAnsi="仿宋_GB2312" w:cs="仿宋_GB2312" w:eastAsia="仿宋_GB2312"/>
        </w:rPr>
        <w:t>2026年度警犬基地场地租赁项目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SZT2026-SN-XC-ZC-FW-0522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2026年度警犬基地场地租赁项目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警犬基地场地租赁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采购包1（2026年度警犬基地场地租赁项目）：属于专门面向中小企业采购。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谈判全过程，其中法定代表人直接参加谈判的，须出具法定代表人身份证，并与营业执照上信息一致。法定代表人授权代表参加谈判的，须出具法定代表人授权书及授权代表身份证。</w:t>
      </w:r>
    </w:p>
    <w:p>
      <w:pPr>
        <w:pStyle w:val="null3"/>
      </w:pPr>
      <w:r>
        <w:rPr>
          <w:rFonts w:ascii="仿宋_GB2312" w:hAnsi="仿宋_GB2312" w:cs="仿宋_GB2312" w:eastAsia="仿宋_GB2312"/>
        </w:rPr>
        <w:t>2、不接受联合体谈判：不接受联合体谈判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西安市公安局公交轨道公安局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029-86321089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崔敬、赵倩、李娜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029-88364979-850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中服务类收费标准收取（按成交金额计取）。在领取成交通知书时向采购代理机构一次性交纳。开户名称：陕西中技招标有限公司 开户银行：招商银行西安分行营业部 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西安市公安局公交轨道公安局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西安市公安局公交轨道公安局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警犬基地场地租赁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2026年度警犬基地场地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标的名称：2026年度警犬基地场地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1、提供城市饮用自来水接入按自来水公司价格进行水费的收取，乙方不得加价。</w:t>
            </w:r>
          </w:p>
          <w:p>
            <w:pPr>
              <w:pStyle w:val="null3"/>
            </w:pPr>
            <w:r>
              <w:rPr>
                <w:rFonts w:ascii="仿宋_GB2312" w:hAnsi="仿宋_GB2312" w:cs="仿宋_GB2312" w:eastAsia="仿宋_GB2312"/>
              </w:rPr>
              <w:t>2、提供380伏动力电源接入，并保证甲方正常办公、生活用电，双方约定乙方每月底须向甲方提供当月用电明细，电费按供电局标准执行，每度电根据供电局开具发票显示的月平均用电单价执行。</w:t>
            </w:r>
          </w:p>
          <w:p>
            <w:pPr>
              <w:pStyle w:val="null3"/>
            </w:pPr>
            <w:r>
              <w:rPr>
                <w:rFonts w:ascii="仿宋_GB2312" w:hAnsi="仿宋_GB2312" w:cs="仿宋_GB2312" w:eastAsia="仿宋_GB2312"/>
              </w:rPr>
              <w:t>3、提供每月垃圾清理及犬粪池清理服务，并保证每月将垃圾及犬粪及时清理，双方约定由甲方每月向乙方支付垃圾清理费1000元，由乙方开具相关发票，并按季度进行支付。</w:t>
            </w:r>
          </w:p>
          <w:p>
            <w:pPr>
              <w:pStyle w:val="null3"/>
            </w:pPr>
            <w:r>
              <w:rPr>
                <w:rFonts w:ascii="仿宋_GB2312" w:hAnsi="仿宋_GB2312" w:cs="仿宋_GB2312" w:eastAsia="仿宋_GB2312"/>
              </w:rPr>
              <w:t>4、提供男女分开的独立浴室、卫生间、洗衣间及相关设备供队员们使用，保证甲方正常洗浴、洗衣等生活状态。</w:t>
            </w:r>
          </w:p>
          <w:p>
            <w:pPr>
              <w:pStyle w:val="null3"/>
            </w:pPr>
            <w:r>
              <w:rPr>
                <w:rFonts w:ascii="仿宋_GB2312" w:hAnsi="仿宋_GB2312" w:cs="仿宋_GB2312" w:eastAsia="仿宋_GB2312"/>
              </w:rPr>
              <w:t>5、提供甲方所需的办公和宿舍家具、空调、洗衣机、热水器等设备。</w:t>
            </w:r>
          </w:p>
          <w:p>
            <w:pPr>
              <w:pStyle w:val="null3"/>
            </w:pPr>
            <w:r>
              <w:rPr>
                <w:rFonts w:ascii="仿宋_GB2312" w:hAnsi="仿宋_GB2312" w:cs="仿宋_GB2312" w:eastAsia="仿宋_GB2312"/>
              </w:rPr>
              <w:t>6、提供千兆电信网络的接入，做到无线网覆盖全部区域，网络费用由甲方自行缴纳。</w:t>
            </w:r>
          </w:p>
          <w:p>
            <w:pPr>
              <w:pStyle w:val="null3"/>
            </w:pPr>
            <w:r>
              <w:rPr>
                <w:rFonts w:ascii="仿宋_GB2312" w:hAnsi="仿宋_GB2312" w:cs="仿宋_GB2312" w:eastAsia="仿宋_GB2312"/>
              </w:rPr>
              <w:t>7、保证解决由于办公楼及场地在使用期间的问题和纠纷。</w:t>
            </w:r>
          </w:p>
          <w:p>
            <w:pPr>
              <w:pStyle w:val="null3"/>
            </w:pPr>
            <w:r>
              <w:rPr>
                <w:rFonts w:ascii="仿宋_GB2312" w:hAnsi="仿宋_GB2312" w:cs="仿宋_GB2312" w:eastAsia="仿宋_GB2312"/>
              </w:rPr>
              <w:t>8、提供在甲方租赁期间的设备及房屋场地的日常维护工作。</w:t>
            </w:r>
          </w:p>
          <w:p>
            <w:pPr>
              <w:pStyle w:val="null3"/>
            </w:pPr>
            <w:r>
              <w:rPr>
                <w:rFonts w:ascii="仿宋_GB2312" w:hAnsi="仿宋_GB2312" w:cs="仿宋_GB2312" w:eastAsia="仿宋_GB2312"/>
              </w:rPr>
              <w:t>9、提供按照甲方要求建设的犬舍及训练场及配套房屋设施。</w:t>
            </w:r>
          </w:p>
          <w:p>
            <w:pPr>
              <w:pStyle w:val="null3"/>
            </w:pPr>
            <w:r>
              <w:rPr>
                <w:rFonts w:ascii="仿宋_GB2312" w:hAnsi="仿宋_GB2312" w:cs="仿宋_GB2312" w:eastAsia="仿宋_GB2312"/>
              </w:rPr>
              <w:t>10、此租赁合同一旦生效，乙方应向甲方提供各项费用的国家正式发票（普通发票）。</w:t>
            </w:r>
          </w:p>
          <w:p>
            <w:pPr>
              <w:pStyle w:val="null3"/>
            </w:pPr>
            <w:r>
              <w:rPr>
                <w:rFonts w:ascii="仿宋_GB2312" w:hAnsi="仿宋_GB2312" w:cs="仿宋_GB2312" w:eastAsia="仿宋_GB2312"/>
              </w:rPr>
              <w:t>11、乙方保证拥有办公楼、场地及地上建筑的合法权，且保证拥有独立完整权，在合同履行期间对甲方的专有承租权，保证权属清晰无异议。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西安市高陵区梁村塬村七组</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进度款，政府采购程序办理完成公示后，达到付款条件起10个工作日内，支付合同总金额的55.0%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进度款，经甲方考核乙方服务合格后在2026年12月31日前，达到付款条件起10个工作日内，支付合同总金额的45.0%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3套（和上传文件保持一致的）纸质投标（响应）文件用于备案及档案保存。2、因系统编制原因，最终签订合同的付款方式是：租金每年分两次支付，待政府采购程序办理完成公示后，甲方需支付乙方租金：叁拾万圆整，¥：300000.00元；经甲方考核乙方服务合格后在2026年12月31日前支付剩余租金：贰拾伍万圆整，¥： 250000.00元。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6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6月1日以来任意时间段的社会保障资金缴存单据或社保机构开具的社会保险参保缴费情况证明。依法不需要缴纳社会保障资金的供应商应提供相关文件证明；4、具有履行合同所必需的设备和专业技术能力的书面声明：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供应商应提供健全的财务会计制度的证明材料.docx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供应商应授权合法的人员参加谈判全过程，其中法定代表人直接参加谈判的，须出具法定代表人身份证，并与营业执照上信息一致。法定代表人授权代表参加谈判的，须出具法定代表人授权书及授权代表身份证。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w:t>
            </w:r>
          </w:p>
        </w:tc>
        <w:tc>
          <w:tcPr>
            <w:tcW w:type="dxa" w:w="3322"/>
          </w:tcPr>
          <w:p>
            <w:pPr>
              <w:pStyle w:val="null3"/>
            </w:pPr>
            <w:r>
              <w:rPr>
                <w:rFonts w:ascii="仿宋_GB2312" w:hAnsi="仿宋_GB2312" w:cs="仿宋_GB2312" w:eastAsia="仿宋_GB2312"/>
              </w:rPr>
              <w:t>不接受联合体谈判</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本项目为专门面向中小企业</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谈判报价记录表.docx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谈判小组认为供应商响应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响应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谈判报价记录表.docx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谈判文件有效期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谈判报价记录表.docx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响应内容满足谈判文件要求，无重大偏离；服务内容明确，满足采购人使用需求</w:t>
            </w:r>
          </w:p>
        </w:tc>
        <w:tc>
          <w:tcPr>
            <w:tcW w:type="dxa" w:w="1661"/>
          </w:tcPr>
          <w:p>
            <w:pPr>
              <w:pStyle w:val="null3"/>
            </w:pPr>
            <w:r>
              <w:rPr>
                <w:rFonts w:ascii="仿宋_GB2312" w:hAnsi="仿宋_GB2312" w:cs="仿宋_GB2312" w:eastAsia="仿宋_GB2312"/>
              </w:rPr>
              <w:t>服务方案 服务内容及服务要求应答表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详见附件：谈判报价记录表.docx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详见附件：供应商应提供健全的财务会计制度的证明材料.docx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