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7527B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
          <w:bCs/>
          <w:i w:val="0"/>
          <w:iCs w:val="0"/>
          <w:caps w:val="0"/>
          <w:color w:val="auto"/>
          <w:spacing w:val="0"/>
          <w:sz w:val="28"/>
          <w:szCs w:val="28"/>
          <w:shd w:val="clear" w:fill="FFFFFF"/>
          <w:lang w:val="en-US" w:eastAsia="zh-CN"/>
        </w:rPr>
      </w:pPr>
      <w:r>
        <w:rPr>
          <w:rFonts w:hint="eastAsia" w:ascii="宋体" w:hAnsi="宋体" w:eastAsia="宋体" w:cs="宋体"/>
          <w:b/>
          <w:bCs/>
          <w:i w:val="0"/>
          <w:iCs w:val="0"/>
          <w:caps w:val="0"/>
          <w:color w:val="auto"/>
          <w:spacing w:val="0"/>
          <w:sz w:val="28"/>
          <w:szCs w:val="28"/>
          <w:shd w:val="clear" w:fill="FFFFFF"/>
          <w:lang w:val="en-US" w:eastAsia="zh-CN"/>
        </w:rPr>
        <w:t>采购需求</w:t>
      </w:r>
    </w:p>
    <w:p w14:paraId="0A6C4DC0">
      <w:pPr>
        <w:pStyle w:val="5"/>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sz w:val="24"/>
          <w:szCs w:val="24"/>
        </w:rPr>
      </w:pPr>
      <w:r>
        <w:rPr>
          <w:rFonts w:ascii="仿宋_GB2312" w:hAnsi="仿宋_GB2312" w:eastAsia="仿宋_GB2312" w:cs="仿宋_GB2312"/>
          <w:sz w:val="24"/>
          <w:szCs w:val="24"/>
        </w:rPr>
        <w:t>一、服务内容</w:t>
      </w:r>
    </w:p>
    <w:p w14:paraId="0D5EC67E">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1、即时档案数字化</w:t>
      </w:r>
      <w:bookmarkStart w:id="0" w:name="_GoBack"/>
      <w:bookmarkEnd w:id="0"/>
    </w:p>
    <w:p w14:paraId="0C2A04EB">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（1）档案数字化：内容涉及档案交接、档案扫描、图像处理、质量检查、还原装订、案件信息核对、打印目录著录、图像挂接、数据备份等服务。</w:t>
      </w:r>
    </w:p>
    <w:p w14:paraId="434F84CB">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（2）归档整理：对完成数字化的诉讼档案进行整理，并归档至档案室，完成入库上架工作。</w:t>
      </w:r>
    </w:p>
    <w:p w14:paraId="00660E79">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3）移交备份：移交所有数字化过程产生的各种数据。数据包括档案数字化产品数据、档案数字化管理过程数据、项目管理档案及资料。数据移交一定要保持完整性和彻底性。完整性是指移交的数据完整、准确不遗漏任何信息，彻底性是指移交完成后不私自保存任何用户的数字化产品、敏感资料等数据。</w:t>
      </w:r>
    </w:p>
    <w:p w14:paraId="24C49A38">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2、司法辅助集约化服务</w:t>
      </w:r>
    </w:p>
    <w:p w14:paraId="735F05F7">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（1）立案阶段：</w:t>
      </w:r>
    </w:p>
    <w:p w14:paraId="42BCA51D">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1.1案卷交接：供应商需在立案庭现场进行案卷交接，逐一核对案件明细及数量；</w:t>
      </w:r>
    </w:p>
    <w:p w14:paraId="438D968F">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1.2案卷整理：根据案卷目录将案卷材料进行整理、排序，</w:t>
      </w:r>
    </w:p>
    <w:p w14:paraId="2CD03965">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1.3案卷扫描：供应商将该阶段的材料进行扫描、图像处理，根据扫描质量进行纠偏、去污、拆边等，确保电子案卷端正、干净。</w:t>
      </w:r>
    </w:p>
    <w:p w14:paraId="5E1DAEBA">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1.4编目：根据案卷材料内容进行逐一编目，确保与案卷材料内容保持一致，无错别字；</w:t>
      </w:r>
    </w:p>
    <w:p w14:paraId="57DDB9AF">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1.5挂接：结合法院案卷材料归目标准上传至采购人的办案系统中，于接收到材料后两个自然日内完成；</w:t>
      </w:r>
    </w:p>
    <w:p w14:paraId="160B37F6">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1.6案卷保管：将案件材料根据案号分别放入独立文件袋，并制作案件信息标签粘贴在文件袋上，按照案号顺序存放至档案柜中，并将案件纸质起诉书副本移送承办部门内勤。</w:t>
      </w:r>
    </w:p>
    <w:p w14:paraId="7EC7308D">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（2）庭审阶段：</w:t>
      </w:r>
    </w:p>
    <w:p w14:paraId="0D288D37">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2.1案卷交接：根据庭审阶段产生案卷材料，书记员在接收或制作纸质诉讼材料后的2个工作日内存放至云柜中，供应商每日分多次在云柜中取卷，确保当日工作时间存入的材料在当日取出，同时确保云柜始终有足够空格口。</w:t>
      </w:r>
    </w:p>
    <w:p w14:paraId="73C1C059">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2.2案卷整理：根据案卷目录将案卷材料进行整理、排序，确保案卷顺利准确；</w:t>
      </w:r>
    </w:p>
    <w:p w14:paraId="6EC9E0D8">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2.3案卷扫描：供应商将该阶段的材料进行扫描、图像处理，根据扫描质量进行纠偏、去污、拆边等，确保电子案卷端正、干净。</w:t>
      </w:r>
    </w:p>
    <w:p w14:paraId="2EDAAB5E">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2.4编目：根据案卷材料内容进行逐一编目，确保与案卷材料内容保持一致，无错别字；</w:t>
      </w:r>
    </w:p>
    <w:p w14:paraId="230C8FF9">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2.5挂接：按照法院案卷材料归目标准上传至采购人的办案系统中，于接收到材料后两个自然日内完成；</w:t>
      </w:r>
    </w:p>
    <w:p w14:paraId="38F6CC67">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2.6案卷保管：根据案号，将对应案件材料插入所属档案袋中。</w:t>
      </w:r>
    </w:p>
    <w:p w14:paraId="12B843D0">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3）电子卷宗验收：在案件结案后，且诉讼材料符合归档要求后，由供应商对案件电子卷宗的诉讼材料进行整理，具体包括：去重、排序、归目准确性、核对材料签章、核对材料齐全、核对册页信息、图像质量。对完成验收电子卷宗的案件提交归档申请；</w:t>
      </w:r>
    </w:p>
    <w:p w14:paraId="23567B5B">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（4）纸质卷宗整理：取出已提交归档申请的案件的纸质材料，按照电子卷宗的顺序进行排序和编写页码，并打印电子卷宗的卷皮、目录、备考表，完成纸质卷宗装订成册；</w:t>
      </w:r>
    </w:p>
    <w:p w14:paraId="6F23F86A">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（5）案卷装订：采用三孔一线装订方式，根据案件材料厚度，进行卷皮脊背折叠，确保案卷装订紧实、无倒页，并加盖骑缝章及日期章；</w:t>
      </w:r>
    </w:p>
    <w:p w14:paraId="7EF1E422">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（6）案卷做卷：根据案卷信息进行系统查看，确定案卷册数，制作标签进行粘贴，并加盖保管期限章及归档章；</w:t>
      </w:r>
    </w:p>
    <w:p w14:paraId="158FDE6F">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（7）案卷移交归档：根据完成案卷情况，系统核对案卷册数，页数一致后，出具日验收单，案批次移交采购人，经采购人验收、检查合格后，办理签收；</w:t>
      </w:r>
    </w:p>
    <w:p w14:paraId="0F15EB92">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（8）入库上架：根据采购人验收合格案卷情况，采购人需协助入库，根据归档号顺序完成上架工作。</w:t>
      </w:r>
    </w:p>
    <w:p w14:paraId="68935229">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将最终工作成果批量上传至采购人指定的系统；在确保档案实体及信息的安全保密的前提下，实现电子诉讼档案的最大化利用。</w:t>
      </w:r>
    </w:p>
    <w:p w14:paraId="4FBB9917">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二、服务期限</w:t>
      </w:r>
    </w:p>
    <w:p w14:paraId="756D43A6">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自合同签订之日起至自预算完成之日止。</w:t>
      </w:r>
    </w:p>
    <w:p w14:paraId="200DBF13">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三、技术参数及标准</w:t>
      </w:r>
    </w:p>
    <w:p w14:paraId="6B8E3251">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1、扫描分辨率：不低于300dpi，对于字迹较小、较为不清楚的档案，须将分辨率提高到600dpi。</w:t>
      </w:r>
    </w:p>
    <w:p w14:paraId="66F045D9">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2、格式：图像采用JPEG格式储存。</w:t>
      </w:r>
    </w:p>
    <w:p w14:paraId="49439706">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3、扫描模式</w:t>
      </w:r>
    </w:p>
    <w:p w14:paraId="205E74A4">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扫描将依据国家档案局下发的《纸质档案数字化技术规范》的要求对页面为黑白两色，并且字迹清晰、不带插图的档案，采用300DPI分辨率黑白二值模式进行扫描；对页面为黑白两色但字迹清晰度差或带有插图的档案，以及页面为多色文字的档案，采用灰度或彩色模式扫描。</w:t>
      </w:r>
    </w:p>
    <w:p w14:paraId="579407BC">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4、诉讼档案数字化要求</w:t>
      </w:r>
    </w:p>
    <w:p w14:paraId="6ACA7B68">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（1）目录能全面反映案件材料信息，且与纸质目录一致。</w:t>
      </w:r>
    </w:p>
    <w:p w14:paraId="4F14709A">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（2）文字影像清晰，内容真实无误。没有倾斜、缺失、污点、黑边等。</w:t>
      </w:r>
    </w:p>
    <w:p w14:paraId="0DFA0720">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（3）电子的卷宗与纸质完全一致。</w:t>
      </w:r>
    </w:p>
    <w:p w14:paraId="3395AD4A">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（4）即时档案数字化加工成果分期验收后进行备份，数据一式叁份，存储介质为档案级专用移动硬盘。</w:t>
      </w:r>
    </w:p>
    <w:p w14:paraId="39BEA6BF">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5、归档整理要求：</w:t>
      </w:r>
    </w:p>
    <w:p w14:paraId="3A6C281F">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归档整理装订环节主要包括数字化后的档案移交、系统生成录入归档号、卷皮书写归档号、贴侧标、盖归档章、盖封存章、入库上架等工序。</w:t>
      </w:r>
    </w:p>
    <w:p w14:paraId="5FA6AFCA">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6、电子卷宗随案同步要求</w:t>
      </w:r>
    </w:p>
    <w:p w14:paraId="728C37DC">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（1）按照上级法院及本院要求案件应随案同步生成电子卷宗（包含司法辅助、随案同步等工作）。</w:t>
      </w:r>
    </w:p>
    <w:p w14:paraId="6E9B5E76">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（2）目录能全面反映案件材料信息，且与纸质目录一致。</w:t>
      </w:r>
    </w:p>
    <w:p w14:paraId="7EA9D79E">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（3）扫描图像清晰，内容真实无误。</w:t>
      </w:r>
    </w:p>
    <w:p w14:paraId="0F172E32">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（4）电子的卷宗与纸质完全一致。</w:t>
      </w:r>
    </w:p>
    <w:p w14:paraId="0E9FD56D">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7、配套安全保护设备要求</w:t>
      </w:r>
    </w:p>
    <w:p w14:paraId="1822EA44">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（1）动态视频监控管理：在数字化加工场地内安装网络高清红外监控设备并实时存储录像，保证加工过程无死角监控，并由专人进行管理，保障安全。</w:t>
      </w:r>
    </w:p>
    <w:p w14:paraId="15B0796A">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（2）安装的配套安全设备符合档案室安全保护要求及《纸质档案数字化加工外包安全管理规范》要求，并符合实际使用。</w:t>
      </w:r>
    </w:p>
    <w:p w14:paraId="45998446">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8、对项目投标方总体技术要求</w:t>
      </w:r>
    </w:p>
    <w:p w14:paraId="408BF01E">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档案数字化加工应实行全过程管理。制定各类管理、检查、培训制度；建立各类设备、载体、系统台账；建立各种项目过程交接、复制数据等表单；建立人员、设备报备、离场流程；建立数字化加工档案；明确岗位职责，落实各环节安全保密措施，确保管理过程可控、可查。</w:t>
      </w:r>
    </w:p>
    <w:p w14:paraId="2E4A968F">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（2）参与档案数字化的载体、信息系统、信息设备必须符合国家相关标准。</w:t>
      </w:r>
    </w:p>
    <w:p w14:paraId="07FA9044">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（3）供应商必须建立完整、可行的质量保证体系，确保项目的技术标准和质量标准符合相关规范。</w:t>
      </w:r>
    </w:p>
    <w:p w14:paraId="034AD37F">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（4）供应商应保证加工成品挂接至采购人指定的电子档案管理系统中。</w:t>
      </w:r>
    </w:p>
    <w:p w14:paraId="743ADE88">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（5）加工完成的数字化产品、备份数据必须符合项目和国家相关技术规范。</w:t>
      </w:r>
    </w:p>
    <w:p w14:paraId="3CE25C53">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6）移交所有数字化过程产生的各种数据。数据包括档案数字化产品数据、档案数字化管理过程数据、项目管理档案及资料。数据移交一定要保持完整性和彻底性。完整性是指移交的数据完整、准确不遗漏任何信息，彻底性是指移交完成后不私自保存任何用户的数字化产品、敏感资料等数据。</w:t>
      </w:r>
    </w:p>
    <w:p w14:paraId="199E6971">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（7）供应商须熟知法院审执工作流程，熟知全国法院“一张网”系统电子档案诉讼流程。响应文件需依据上述流程及相关系统提供可实施方案。</w:t>
      </w:r>
    </w:p>
    <w:p w14:paraId="114C28DF">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四、验收和评价</w:t>
      </w:r>
    </w:p>
    <w:p w14:paraId="109E9F67">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1、项目整体验收前中标供应商应自行对电子档案及档案原件完成自检。</w:t>
      </w:r>
    </w:p>
    <w:p w14:paraId="5171547E">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2、供应商必须制定严格的质量控制方案，并由采购人主管部门认可其方案，供应商必须对加工的数据进行自检，要逐页检查，电子档案务必和纸质档案一致，自检达标的数据才能递交采购人验收。</w:t>
      </w:r>
    </w:p>
    <w:p w14:paraId="7687C884">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3、档案原件验收必须逐卷清点，按档案数量，文件状况，卷内文件页数与顺序、装订要求等进行检查；顺序错误、装订不符要求、卷间文件颠倒等作为差错，需要重新调整。</w:t>
      </w:r>
    </w:p>
    <w:p w14:paraId="2F137980">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4、完成所有数字化扫描加工任务，试运行一个月后，由双方共同进行验收，验收通过时间以双方签署项目验收单为准。</w:t>
      </w:r>
    </w:p>
    <w:p w14:paraId="1034B3B6">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5、双方各指定专人做好档案的清点交接工作。</w:t>
      </w:r>
    </w:p>
    <w:p w14:paraId="58A461C8">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6、验收指标</w:t>
      </w:r>
    </w:p>
    <w:p w14:paraId="40F3AE84">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（1）目录数据库与图像文件挂接错误，或目录数据库、图像文件之一出现不完整、不清晰、有错误等质量问题时，抽检标记为“不合格”。</w:t>
      </w:r>
    </w:p>
    <w:p w14:paraId="3D9D9F4C">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（2）扫描结束后的最终抽检在全国法院“一张网”系统中进行，一个全宗的档案，数字化转换质量抽检的合格率达到99%以上（含99%）时，给予以验收“通过”。</w:t>
      </w:r>
    </w:p>
    <w:p w14:paraId="598FF6A6">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合格率=抽检合格的文件数/抽检文件总数×100%</w:t>
      </w:r>
    </w:p>
    <w:p w14:paraId="04B44691">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7、验收审核</w:t>
      </w:r>
    </w:p>
    <w:p w14:paraId="0A5B1FD0">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验收"通过"的结论，必须经分管领导审核、签字后方有效。</w:t>
      </w:r>
    </w:p>
    <w:p w14:paraId="0ED8A288">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8、验收登记</w:t>
      </w:r>
    </w:p>
    <w:p w14:paraId="417B58BA">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（1）认真填写纸质档案数字化验收登记表单。</w:t>
      </w:r>
    </w:p>
    <w:p w14:paraId="42C13459">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9、验收依据：</w:t>
      </w:r>
    </w:p>
    <w:p w14:paraId="4E2E5FFC">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（1）合同文本。</w:t>
      </w:r>
    </w:p>
    <w:p w14:paraId="7387C3C5">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（2）响应文件、磋商文件、澄清函。</w:t>
      </w:r>
    </w:p>
    <w:p w14:paraId="3390A0B3">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（3）国家和行业制定的相应的标准和规范。</w:t>
      </w:r>
    </w:p>
    <w:p w14:paraId="59DD4FF8">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五、项目其他要求</w:t>
      </w:r>
    </w:p>
    <w:p w14:paraId="7BACA3B7">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1、由采购人提供办公场所及必要的冬夏办公环境，工作区域增强亮度用光源。</w:t>
      </w:r>
    </w:p>
    <w:p w14:paraId="09AF8A94">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2、供应商自行提供实施服务所必须的扫描仪、电脑等设备和加工软件及耗材。</w:t>
      </w:r>
    </w:p>
    <w:p w14:paraId="351504F0">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3、双方各指定专人做好档案的清点交接工作，《纸质档案扫描工作流程单》随同档案一起交接。</w:t>
      </w:r>
    </w:p>
    <w:p w14:paraId="4B69FD1D">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4、供应商应成立实施小组，指定专人负责该项目，并列出具体的项目操作标准及流程、项目实施计划、人员及保证措施。</w:t>
      </w:r>
    </w:p>
    <w:p w14:paraId="590A3899">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5、要求供应商在合同签订后3个工作日内（具体按照合同要求），将有关扫描设备、人力配置等总体配备完毕。</w:t>
      </w:r>
    </w:p>
    <w:p w14:paraId="2738252A">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6、项目后期服务：项目验收通过后1年的免费质保服务，终生维护服务。</w:t>
      </w:r>
    </w:p>
    <w:p w14:paraId="6D5713F1">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7、在质保期内，供应商应提供7*24小时的服务响应，并提供技术支持人员的名单和联系方式。</w:t>
      </w:r>
    </w:p>
    <w:p w14:paraId="1FADC692">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8、技术培训：提供一般工作人员的操作培训和技术人员的免费技术培训，并提供相应的培训资料。培训时间、地点由采购人决定。</w:t>
      </w:r>
    </w:p>
    <w:p w14:paraId="7AAEBAA5">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9、为保障法院审判工作的即时性，成交方需在合同签订后三个工作日内进场开展项目服务工作（包含全部服务人员及设备的进场部署工作），若成交方合同签订后三个工作日内相关服务人员及设备还未部署完毕，或在进场之日起三个工作日内，成交方加工的档案未能通过质检并上传至法院系统进行查阅的，则视为成交方没有能力承接本次项目，采购人有权单方解除合约，并由成交方承担因此给采购人造成的全部损失（包括重新招标费用以及因成交方延误造成工期给采购人造成的全部损失）。（响应方需在响应文件中明确承诺，响应文件中未见承诺的投标不予接受）</w:t>
      </w:r>
    </w:p>
    <w:p w14:paraId="3C69BF71">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10、采购人在项目开始一个月内，中标单位若未能达到采购人要求，采购人有权单方解除合约，采购人有权不支付服务费用，并且投标单位需向甲方赔偿合同总金额的30%违约金。</w:t>
      </w:r>
    </w:p>
    <w:p w14:paraId="37960F29">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六、供应商权利和义务</w:t>
      </w:r>
    </w:p>
    <w:p w14:paraId="45A0BCEF">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1、供应商应严格按照合同要求，保质保量地完成项目工作任务；</w:t>
      </w:r>
    </w:p>
    <w:p w14:paraId="2C2873BD">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2、供应商享有委托服务范围内的项目管理权，现场工作的人员由之方统一管理；</w:t>
      </w:r>
    </w:p>
    <w:p w14:paraId="24F3A88D">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3、供应商应及时向采购人通报与本项目有关的重大事项，及时配合处理投诉；</w:t>
      </w:r>
    </w:p>
    <w:p w14:paraId="3D7FBECB">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4、供应商有接受采购人项目行业管理部门及政府有关部门的指导和监督的义务；</w:t>
      </w:r>
    </w:p>
    <w:p w14:paraId="1CFDCD0C">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5、供应商应将已扫描完毕的档案，按装订要求，及时完整地交还给采购人，并与采购人工作人员办理书面交接手续；</w:t>
      </w:r>
    </w:p>
    <w:p w14:paraId="3D5B8937">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6、供应商保证不得以任何形式备份工作中接触到的采购人全部文件，且不能查阅档案内容,对采购人提供的业务需求、技术资料、信息、数据等负有无限期的保密义务；</w:t>
      </w:r>
    </w:p>
    <w:p w14:paraId="0DA1E0AD">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7、供应商入场前向采购人提供《开工环境确认单》，经采购人同意及准备到位后，供应商安排人员及设备入场。项目验收结束后，供应商向采购人提交《设备离场申请表》，同时采购人必须以市场价采购供应商在完成档案数字化工作中所使用的存储硬盘，防止数据外泄；</w:t>
      </w:r>
    </w:p>
    <w:p w14:paraId="0235F645">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8、全部档案经采购人审核通过，供应商可离场。同时，供应商有义务协助采购人恢复加工现场原貌；</w:t>
      </w:r>
    </w:p>
    <w:p w14:paraId="6D798FF0">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9、供应商有义务在每次收到采购人的付款后向采购人开具对应金额的发票；</w:t>
      </w:r>
    </w:p>
    <w:p w14:paraId="101AE3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ascii="仿宋_GB2312" w:hAnsi="仿宋_GB2312" w:eastAsia="仿宋_GB2312" w:cs="仿宋_GB2312"/>
          <w:sz w:val="24"/>
          <w:szCs w:val="24"/>
        </w:rPr>
        <w:t>备注：供应商应充分了解法院档案实际情况与数字化需求，并与法院就本项目签订保密协议。</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1FF619F"/>
    <w:rsid w:val="721E63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paragraph" w:customStyle="1" w:styleId="5">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4218</Words>
  <Characters>4273</Characters>
  <Lines>0</Lines>
  <Paragraphs>0</Paragraphs>
  <TotalTime>0</TotalTime>
  <ScaleCrop>false</ScaleCrop>
  <LinksUpToDate>false</LinksUpToDate>
  <CharactersWithSpaces>4273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2026-05-22T08:12:00Z</dcterms:created>
  <dc:creator>DRZB</dc:creator>
  <cp:lastModifiedBy>zl</cp:lastModifiedBy>
  <dcterms:modified xsi:type="dcterms:W3CDTF">2026-05-22T09:33:20Z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eyJoZGlkIjoiYTFiMDNiZWQ5MWQxMjIzYjU0MTBhYTU0MzhiYWE1ZmUiLCJ1c2VySWQiOiIyNzQ5OTcwMTQifQ==</vt:lpwstr>
  </property>
  <property fmtid="{D5CDD505-2E9C-101B-9397-08002B2CF9AE}" pid="4" name="ICV">
    <vt:lpwstr>6FEB0BBD3CC94ACFA5099C591023DB7F_12</vt:lpwstr>
  </property>
</Properties>
</file>