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版本号：YD-202605020260730001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2026年上元观镇三星村中药材种植项目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YD-2026050</w:t>
      </w:r>
      <w:r>
        <w:br/>
      </w:r>
      <w:r>
        <w:br/>
      </w:r>
      <w:r>
        <w:br/>
      </w:r>
    </w:p>
    <w:p>
      <w:pPr>
        <w:pStyle w:val="null3"/>
        <w:jc w:val="center"/>
        <w:outlineLvl w:val="2"/>
      </w:pPr>
      <w:r>
        <w:rPr>
          <w:rFonts w:ascii="仿宋_GB2312" w:hAnsi="仿宋_GB2312" w:cs="仿宋_GB2312" w:eastAsia="仿宋_GB2312"/>
          <w:sz w:val="28"/>
          <w:b/>
        </w:rPr>
        <w:t>城固县上元观镇人民政府</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城固县上元观镇人民政府</w:t>
      </w:r>
      <w:r>
        <w:rPr>
          <w:rFonts w:ascii="仿宋_GB2312" w:hAnsi="仿宋_GB2312" w:cs="仿宋_GB2312" w:eastAsia="仿宋_GB2312"/>
        </w:rPr>
        <w:t>委托，拟对</w:t>
      </w:r>
      <w:r>
        <w:rPr>
          <w:rFonts w:ascii="仿宋_GB2312" w:hAnsi="仿宋_GB2312" w:cs="仿宋_GB2312" w:eastAsia="仿宋_GB2312"/>
        </w:rPr>
        <w:t>2026年上元观镇三星村中药材种植项目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YD-2026050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2026年上元观镇三星村中药材种植项目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新建中药材种植基地110亩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采购包1（2026年上元观镇三星村中药材种植项目）：属于专门面向中小企业采购。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供应商未被列入“信用中国”网站(h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本采购包专门面向中小企业采购：本项目为专门面向中小企业采购，供应商为监狱企业的，应提供监狱企业的证明文件:供应商为残疾人福利性单位的，应提供《残疾人福利性单位声明函》(监狱企业或残疾人福利性单位视同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城固县上元观镇人民政府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城固县上元观镇人民路10号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0916-7511301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开户名称：一鼎项目管理有限公司汉中分公司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城固县上元观镇人民政府</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城固县上元观镇人民政府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城固县上元观镇人民政府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依照合同约定执行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地址：汉中市汉台区石马路睿居品阁酒店17楼06室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新建中药材种植基地110亩。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中药材种植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标的名称：中药材种植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1"/>
                <w:b/>
              </w:rPr>
              <w:t>一、项目概况</w:t>
            </w:r>
          </w:p>
          <w:p>
            <w:pPr>
              <w:pStyle w:val="null3"/>
              <w:ind w:firstLine="480"/>
            </w:pPr>
            <w:r>
              <w:rPr>
                <w:rFonts w:ascii="仿宋_GB2312" w:hAnsi="仿宋_GB2312" w:cs="仿宋_GB2312" w:eastAsia="仿宋_GB2312"/>
                <w:sz w:val="21"/>
              </w:rPr>
              <w:t>本项目位于汉中市城固县上元观三星村及周边，新建中药材种植基地110亩，内容包含：1、龙牙百合种植基地50亩；2、天冬种植基地50亩；3、浙贝母种植基地10亩。</w:t>
            </w:r>
          </w:p>
          <w:p>
            <w:pPr>
              <w:pStyle w:val="null3"/>
              <w:ind w:firstLine="482"/>
            </w:pPr>
            <w:r>
              <w:rPr>
                <w:rFonts w:ascii="仿宋_GB2312" w:hAnsi="仿宋_GB2312" w:cs="仿宋_GB2312" w:eastAsia="仿宋_GB2312"/>
                <w:sz w:val="21"/>
                <w:b/>
              </w:rPr>
              <w:t>二、各品种种植核心技术参数及种苗种球规格</w:t>
            </w:r>
          </w:p>
          <w:p>
            <w:pPr>
              <w:pStyle w:val="null3"/>
              <w:ind w:firstLine="482"/>
            </w:pPr>
            <w:r>
              <w:rPr>
                <w:rFonts w:ascii="仿宋_GB2312" w:hAnsi="仿宋_GB2312" w:cs="仿宋_GB2312" w:eastAsia="仿宋_GB2312"/>
                <w:sz w:val="21"/>
                <w:b/>
              </w:rPr>
              <w:t>（一）龙牙百合（种植面积50亩）</w:t>
            </w:r>
            <w:r>
              <w:rPr>
                <w:rFonts w:ascii="仿宋_GB2312" w:hAnsi="仿宋_GB2312" w:cs="仿宋_GB2312" w:eastAsia="仿宋_GB2312"/>
                <w:sz w:val="21"/>
                <w:b/>
              </w:rPr>
              <w:t>（</w:t>
            </w:r>
            <w:r>
              <w:rPr>
                <w:rFonts w:ascii="仿宋_GB2312" w:hAnsi="仿宋_GB2312" w:cs="仿宋_GB2312" w:eastAsia="仿宋_GB2312"/>
                <w:sz w:val="21"/>
                <w:b/>
              </w:rPr>
              <w:t>管护期为1年</w:t>
            </w:r>
            <w:r>
              <w:rPr>
                <w:rFonts w:ascii="仿宋_GB2312" w:hAnsi="仿宋_GB2312" w:cs="仿宋_GB2312" w:eastAsia="仿宋_GB2312"/>
                <w:sz w:val="21"/>
                <w:b/>
              </w:rPr>
              <w:t>）</w:t>
            </w:r>
          </w:p>
          <w:p>
            <w:pPr>
              <w:pStyle w:val="null3"/>
              <w:ind w:firstLine="482"/>
            </w:pPr>
            <w:r>
              <w:rPr>
                <w:rFonts w:ascii="仿宋_GB2312" w:hAnsi="仿宋_GB2312" w:cs="仿宋_GB2312" w:eastAsia="仿宋_GB2312"/>
                <w:sz w:val="21"/>
                <w:b/>
              </w:rPr>
              <w:t>1、定植规格参数</w:t>
            </w:r>
          </w:p>
          <w:p>
            <w:pPr>
              <w:pStyle w:val="null3"/>
              <w:ind w:firstLine="480"/>
            </w:pPr>
            <w:r>
              <w:rPr>
                <w:rFonts w:ascii="仿宋_GB2312" w:hAnsi="仿宋_GB2312" w:cs="仿宋_GB2312" w:eastAsia="仿宋_GB2312"/>
                <w:sz w:val="21"/>
              </w:rPr>
              <w:t>严格按照标准化密度定植，田间行距30cm、株距16cm，亩定植7500株，整体定植疏密均匀、无缺苗断垄、无过密重叠现象。亩用优质种球300kg，根据地块平整度、土壤墒情微调用量，误差控制在5%以内。</w:t>
            </w:r>
          </w:p>
          <w:p>
            <w:pPr>
              <w:pStyle w:val="null3"/>
              <w:ind w:firstLine="482"/>
            </w:pPr>
            <w:r>
              <w:rPr>
                <w:rFonts w:ascii="仿宋_GB2312" w:hAnsi="仿宋_GB2312" w:cs="仿宋_GB2312" w:eastAsia="仿宋_GB2312"/>
                <w:sz w:val="21"/>
                <w:b/>
              </w:rPr>
              <w:t>2、种球规格要求</w:t>
            </w:r>
          </w:p>
          <w:p>
            <w:pPr>
              <w:pStyle w:val="null3"/>
              <w:ind w:firstLine="480"/>
            </w:pPr>
            <w:r>
              <w:rPr>
                <w:rFonts w:ascii="仿宋_GB2312" w:hAnsi="仿宋_GB2312" w:cs="仿宋_GB2312" w:eastAsia="仿宋_GB2312"/>
                <w:sz w:val="21"/>
              </w:rPr>
              <w:t>选用本地驯化、抗病性强、适应性广的优质龙牙百合种球，种球大小均匀、饱满充实，单球重量达标，无腐烂、无霉变、无虫眼、无机械损伤，根系完整、芽点饱满健壮。种球纯度≥98%，成活率≥95%，杜绝弱球、残球、病球、老化种球入田种植，从源头保障出苗整齐度。</w:t>
            </w:r>
          </w:p>
          <w:p>
            <w:pPr>
              <w:pStyle w:val="null3"/>
              <w:ind w:firstLine="482"/>
            </w:pPr>
            <w:r>
              <w:rPr>
                <w:rFonts w:ascii="仿宋_GB2312" w:hAnsi="仿宋_GB2312" w:cs="仿宋_GB2312" w:eastAsia="仿宋_GB2312"/>
                <w:sz w:val="21"/>
                <w:b/>
              </w:rPr>
              <w:t>（二）天冬（种植面积50亩）（</w:t>
            </w:r>
            <w:r>
              <w:rPr>
                <w:rFonts w:ascii="仿宋_GB2312" w:hAnsi="仿宋_GB2312" w:cs="仿宋_GB2312" w:eastAsia="仿宋_GB2312"/>
                <w:sz w:val="21"/>
                <w:b/>
              </w:rPr>
              <w:t>管护期为1年</w:t>
            </w:r>
            <w:r>
              <w:rPr>
                <w:rFonts w:ascii="仿宋_GB2312" w:hAnsi="仿宋_GB2312" w:cs="仿宋_GB2312" w:eastAsia="仿宋_GB2312"/>
                <w:sz w:val="21"/>
                <w:b/>
              </w:rPr>
              <w:t>）</w:t>
            </w:r>
          </w:p>
          <w:p>
            <w:pPr>
              <w:pStyle w:val="null3"/>
              <w:ind w:firstLine="482"/>
            </w:pPr>
            <w:r>
              <w:rPr>
                <w:rFonts w:ascii="仿宋_GB2312" w:hAnsi="仿宋_GB2312" w:cs="仿宋_GB2312" w:eastAsia="仿宋_GB2312"/>
                <w:sz w:val="21"/>
                <w:b/>
              </w:rPr>
              <w:t>1、定植规格参数</w:t>
            </w:r>
          </w:p>
          <w:p>
            <w:pPr>
              <w:pStyle w:val="null3"/>
              <w:ind w:firstLine="480"/>
            </w:pPr>
            <w:r>
              <w:rPr>
                <w:rFonts w:ascii="仿宋_GB2312" w:hAnsi="仿宋_GB2312" w:cs="仿宋_GB2312" w:eastAsia="仿宋_GB2312"/>
                <w:sz w:val="21"/>
              </w:rPr>
              <w:t>定植行距40cm、株距40cm，亩定植4000株，株行距横竖对齐，种植排布规整。亩用优质种苗350kg，根据地块肥力适度微调，保证田间种植密度均匀一致，通风透光条件良好。</w:t>
            </w:r>
          </w:p>
          <w:p>
            <w:pPr>
              <w:pStyle w:val="null3"/>
              <w:ind w:firstLine="482"/>
            </w:pPr>
            <w:r>
              <w:rPr>
                <w:rFonts w:ascii="仿宋_GB2312" w:hAnsi="仿宋_GB2312" w:cs="仿宋_GB2312" w:eastAsia="仿宋_GB2312"/>
                <w:sz w:val="21"/>
                <w:b/>
              </w:rPr>
              <w:t>2、种苗规格要求</w:t>
            </w:r>
          </w:p>
          <w:p>
            <w:pPr>
              <w:pStyle w:val="null3"/>
              <w:ind w:firstLine="480"/>
            </w:pPr>
            <w:r>
              <w:rPr>
                <w:rFonts w:ascii="仿宋_GB2312" w:hAnsi="仿宋_GB2312" w:cs="仿宋_GB2312" w:eastAsia="仿宋_GB2312"/>
                <w:sz w:val="21"/>
              </w:rPr>
              <w:t>选用一年生健壮天冬种苗，种苗根系发达、须根完整、茎秆粗壮、长势均匀，苗高统一、无徒长、无老化、无病虫害。种苗无枯萎黄叶、无烂根、无虫蛀，种苗纯度≥98%，移栽成活率≥95%，弱苗、病苗、残苗一律剔除，确保定植后长势统一。</w:t>
            </w:r>
          </w:p>
          <w:p>
            <w:pPr>
              <w:pStyle w:val="null3"/>
              <w:ind w:firstLine="482"/>
            </w:pPr>
            <w:r>
              <w:rPr>
                <w:rFonts w:ascii="仿宋_GB2312" w:hAnsi="仿宋_GB2312" w:cs="仿宋_GB2312" w:eastAsia="仿宋_GB2312"/>
                <w:sz w:val="21"/>
                <w:b/>
              </w:rPr>
              <w:t>（三）浙贝母（种植面积10亩）（</w:t>
            </w:r>
            <w:r>
              <w:rPr>
                <w:rFonts w:ascii="仿宋_GB2312" w:hAnsi="仿宋_GB2312" w:cs="仿宋_GB2312" w:eastAsia="仿宋_GB2312"/>
                <w:sz w:val="21"/>
                <w:b/>
              </w:rPr>
              <w:t>管护期为9个月</w:t>
            </w:r>
            <w:r>
              <w:rPr>
                <w:rFonts w:ascii="仿宋_GB2312" w:hAnsi="仿宋_GB2312" w:cs="仿宋_GB2312" w:eastAsia="仿宋_GB2312"/>
                <w:sz w:val="21"/>
                <w:b/>
              </w:rPr>
              <w:t>）</w:t>
            </w:r>
          </w:p>
          <w:p>
            <w:pPr>
              <w:pStyle w:val="null3"/>
              <w:ind w:firstLine="482"/>
            </w:pPr>
            <w:r>
              <w:rPr>
                <w:rFonts w:ascii="仿宋_GB2312" w:hAnsi="仿宋_GB2312" w:cs="仿宋_GB2312" w:eastAsia="仿宋_GB2312"/>
                <w:sz w:val="21"/>
                <w:b/>
              </w:rPr>
              <w:t>1、定植规格参数</w:t>
            </w:r>
          </w:p>
          <w:p>
            <w:pPr>
              <w:pStyle w:val="null3"/>
              <w:ind w:firstLine="480"/>
            </w:pPr>
            <w:r>
              <w:rPr>
                <w:rFonts w:ascii="仿宋_GB2312" w:hAnsi="仿宋_GB2312" w:cs="仿宋_GB2312" w:eastAsia="仿宋_GB2312"/>
                <w:sz w:val="21"/>
              </w:rPr>
              <w:t>定植行距20cm、株距15cm，亩定植9000株，密植均匀、排布整齐。亩用优质种鳞茎220kg，严格控制播种用量，保障合理密植，避免过密发病、过稀减产。</w:t>
            </w:r>
          </w:p>
          <w:p>
            <w:pPr>
              <w:pStyle w:val="null3"/>
              <w:ind w:firstLine="482"/>
            </w:pPr>
            <w:r>
              <w:rPr>
                <w:rFonts w:ascii="仿宋_GB2312" w:hAnsi="仿宋_GB2312" w:cs="仿宋_GB2312" w:eastAsia="仿宋_GB2312"/>
                <w:sz w:val="21"/>
                <w:b/>
              </w:rPr>
              <w:t>2、种鳞茎规格要求</w:t>
            </w:r>
          </w:p>
          <w:p>
            <w:pPr>
              <w:pStyle w:val="null3"/>
              <w:ind w:firstLine="480"/>
            </w:pPr>
            <w:r>
              <w:rPr>
                <w:rFonts w:ascii="仿宋_GB2312" w:hAnsi="仿宋_GB2312" w:cs="仿宋_GB2312" w:eastAsia="仿宋_GB2312"/>
                <w:sz w:val="21"/>
              </w:rPr>
              <w:t>选用优质健康浙贝母种鳞茎，鳞茎饱满、大小均匀、质地坚实，芽头健壮完整，无腐烂变质、无虫蛀孔洞、无机械破损、无冻害。种鳞茎纯度≥98%，出苗率≥96%，彻底淘汰病鳞、瘪鳞、破损鳞茎，保证出苗整齐、苗势健壮。</w:t>
            </w:r>
          </w:p>
          <w:p>
            <w:pPr>
              <w:pStyle w:val="null3"/>
              <w:ind w:firstLine="482"/>
            </w:pPr>
            <w:r>
              <w:rPr>
                <w:rFonts w:ascii="仿宋_GB2312" w:hAnsi="仿宋_GB2312" w:cs="仿宋_GB2312" w:eastAsia="仿宋_GB2312"/>
                <w:sz w:val="21"/>
                <w:b/>
              </w:rPr>
              <w:t>三、统一土地整理技术要求</w:t>
            </w:r>
          </w:p>
          <w:p>
            <w:pPr>
              <w:pStyle w:val="null3"/>
              <w:ind w:firstLine="480"/>
            </w:pPr>
            <w:r>
              <w:rPr>
                <w:rFonts w:ascii="仿宋_GB2312" w:hAnsi="仿宋_GB2312" w:cs="仿宋_GB2312" w:eastAsia="仿宋_GB2312"/>
                <w:sz w:val="21"/>
              </w:rPr>
              <w:t>基地所有种植地块需提前完成精细化整地，适配三种中药材生长习性，整体达到土层疏松、肥力均匀、排灌通畅的标准，具体要求如下：</w:t>
            </w:r>
          </w:p>
          <w:p>
            <w:pPr>
              <w:pStyle w:val="null3"/>
              <w:ind w:firstLine="480"/>
            </w:pPr>
            <w:r>
              <w:rPr>
                <w:rFonts w:ascii="仿宋_GB2312" w:hAnsi="仿宋_GB2312" w:cs="仿宋_GB2312" w:eastAsia="仿宋_GB2312"/>
                <w:sz w:val="21"/>
              </w:rPr>
              <w:t>1、</w:t>
            </w:r>
            <w:r>
              <w:rPr>
                <w:rFonts w:ascii="仿宋_GB2312" w:hAnsi="仿宋_GB2312" w:cs="仿宋_GB2312" w:eastAsia="仿宋_GB2312"/>
                <w:sz w:val="21"/>
                <w:b/>
              </w:rPr>
              <w:t>地块清理</w:t>
            </w:r>
            <w:r>
              <w:rPr>
                <w:rFonts w:ascii="仿宋_GB2312" w:hAnsi="仿宋_GB2312" w:cs="仿宋_GB2312" w:eastAsia="仿宋_GB2312"/>
                <w:sz w:val="21"/>
              </w:rPr>
              <w:t>：全面清除田间杂草、碎石、残根、塑料杂物等垃圾，清理彻底无残留，杜绝杂草、杂物争夺种苗养分、滋生病虫害。</w:t>
            </w:r>
          </w:p>
          <w:p>
            <w:pPr>
              <w:pStyle w:val="null3"/>
              <w:ind w:firstLine="480"/>
            </w:pPr>
            <w:r>
              <w:rPr>
                <w:rFonts w:ascii="仿宋_GB2312" w:hAnsi="仿宋_GB2312" w:cs="仿宋_GB2312" w:eastAsia="仿宋_GB2312"/>
                <w:sz w:val="21"/>
              </w:rPr>
              <w:t>2、</w:t>
            </w:r>
            <w:r>
              <w:rPr>
                <w:rFonts w:ascii="仿宋_GB2312" w:hAnsi="仿宋_GB2312" w:cs="仿宋_GB2312" w:eastAsia="仿宋_GB2312"/>
                <w:sz w:val="21"/>
                <w:b/>
              </w:rPr>
              <w:t>深耕翻土</w:t>
            </w:r>
            <w:r>
              <w:rPr>
                <w:rFonts w:ascii="仿宋_GB2312" w:hAnsi="仿宋_GB2312" w:cs="仿宋_GB2312" w:eastAsia="仿宋_GB2312"/>
                <w:sz w:val="21"/>
              </w:rPr>
              <w:t>：统一深耕整地，深耕深度不低于30cm，打破土壤板结层，疏松土壤、增强土壤透气性和透水性，深耕后细耙整平，做到土壤细碎、无大土块、土层疏松均匀。</w:t>
            </w:r>
          </w:p>
          <w:p>
            <w:pPr>
              <w:pStyle w:val="null3"/>
              <w:ind w:firstLine="480"/>
            </w:pPr>
            <w:r>
              <w:rPr>
                <w:rFonts w:ascii="仿宋_GB2312" w:hAnsi="仿宋_GB2312" w:cs="仿宋_GB2312" w:eastAsia="仿宋_GB2312"/>
                <w:sz w:val="21"/>
              </w:rPr>
              <w:t>3、</w:t>
            </w:r>
            <w:r>
              <w:rPr>
                <w:rFonts w:ascii="仿宋_GB2312" w:hAnsi="仿宋_GB2312" w:cs="仿宋_GB2312" w:eastAsia="仿宋_GB2312"/>
                <w:sz w:val="21"/>
                <w:b/>
              </w:rPr>
              <w:t>起垄做畦</w:t>
            </w:r>
            <w:r>
              <w:rPr>
                <w:rFonts w:ascii="仿宋_GB2312" w:hAnsi="仿宋_GB2312" w:cs="仿宋_GB2312" w:eastAsia="仿宋_GB2312"/>
                <w:sz w:val="21"/>
              </w:rPr>
              <w:t>：根据中药材生长及排水需求规范起垄，畦面平整、垄沟笔直，畦宽、沟深适配各品种种植密度，保证田间排水通畅，雨季无积水，杜绝涝害烂根。</w:t>
            </w:r>
          </w:p>
          <w:p>
            <w:pPr>
              <w:pStyle w:val="null3"/>
              <w:ind w:firstLine="480"/>
            </w:pPr>
            <w:r>
              <w:rPr>
                <w:rFonts w:ascii="仿宋_GB2312" w:hAnsi="仿宋_GB2312" w:cs="仿宋_GB2312" w:eastAsia="仿宋_GB2312"/>
                <w:sz w:val="21"/>
              </w:rPr>
              <w:t>4、</w:t>
            </w:r>
            <w:r>
              <w:rPr>
                <w:rFonts w:ascii="仿宋_GB2312" w:hAnsi="仿宋_GB2312" w:cs="仿宋_GB2312" w:eastAsia="仿宋_GB2312"/>
                <w:sz w:val="21"/>
                <w:b/>
              </w:rPr>
              <w:t>土壤改良与底肥施用</w:t>
            </w:r>
            <w:r>
              <w:rPr>
                <w:rFonts w:ascii="仿宋_GB2312" w:hAnsi="仿宋_GB2312" w:cs="仿宋_GB2312" w:eastAsia="仿宋_GB2312"/>
                <w:sz w:val="21"/>
              </w:rPr>
              <w:t>：结合整地施足腐熟有机肥作为底肥，搭配适量复合肥，均匀翻入土层内，实现土肥融合，提升土壤肥力，保障种苗前期生长养分供给。同时对土壤进行消杀处理，减少土壤病原菌、虫卵基数，降低后期病虫害发生概率。</w:t>
            </w:r>
          </w:p>
          <w:p>
            <w:pPr>
              <w:pStyle w:val="null3"/>
              <w:ind w:firstLine="480"/>
            </w:pPr>
            <w:r>
              <w:rPr>
                <w:rFonts w:ascii="仿宋_GB2312" w:hAnsi="仿宋_GB2312" w:cs="仿宋_GB2312" w:eastAsia="仿宋_GB2312"/>
                <w:sz w:val="21"/>
              </w:rPr>
              <w:t>5、</w:t>
            </w:r>
            <w:r>
              <w:rPr>
                <w:rFonts w:ascii="仿宋_GB2312" w:hAnsi="仿宋_GB2312" w:cs="仿宋_GB2312" w:eastAsia="仿宋_GB2312"/>
                <w:sz w:val="21"/>
                <w:b/>
              </w:rPr>
              <w:t>地块分区</w:t>
            </w:r>
            <w:r>
              <w:rPr>
                <w:rFonts w:ascii="仿宋_GB2312" w:hAnsi="仿宋_GB2312" w:cs="仿宋_GB2312" w:eastAsia="仿宋_GB2312"/>
                <w:sz w:val="21"/>
              </w:rPr>
              <w:t>：严格按照种植面积划分区块，龙牙百合、天冬、浙贝母分区清晰，边界规整，预留田间作业通道、排灌沟渠，方便后期管护、采收作业。</w:t>
            </w:r>
          </w:p>
          <w:p>
            <w:pPr>
              <w:pStyle w:val="null3"/>
              <w:ind w:firstLine="482"/>
            </w:pPr>
            <w:r>
              <w:rPr>
                <w:rFonts w:ascii="仿宋_GB2312" w:hAnsi="仿宋_GB2312" w:cs="仿宋_GB2312" w:eastAsia="仿宋_GB2312"/>
                <w:sz w:val="21"/>
                <w:b/>
              </w:rPr>
              <w:t>四、标准化人工管护内容要求</w:t>
            </w:r>
          </w:p>
          <w:p>
            <w:pPr>
              <w:pStyle w:val="null3"/>
              <w:ind w:firstLine="480"/>
            </w:pPr>
            <w:r>
              <w:rPr>
                <w:rFonts w:ascii="仿宋_GB2312" w:hAnsi="仿宋_GB2312" w:cs="仿宋_GB2312" w:eastAsia="仿宋_GB2312"/>
                <w:sz w:val="21"/>
              </w:rPr>
              <w:t>种植完成后全程落实精细化人工管护，遵循“预防为主、精细管护、科学调控”原则，保障中药材稳产优质，核心管护内容如下：</w:t>
            </w:r>
          </w:p>
          <w:p>
            <w:pPr>
              <w:pStyle w:val="null3"/>
              <w:ind w:firstLine="482"/>
            </w:pPr>
            <w:r>
              <w:rPr>
                <w:rFonts w:ascii="仿宋_GB2312" w:hAnsi="仿宋_GB2312" w:cs="仿宋_GB2312" w:eastAsia="仿宋_GB2312"/>
                <w:sz w:val="21"/>
                <w:b/>
              </w:rPr>
              <w:t>1、苗期管护（查苗补苗）</w:t>
            </w:r>
          </w:p>
          <w:p>
            <w:pPr>
              <w:pStyle w:val="null3"/>
              <w:ind w:firstLine="480"/>
            </w:pPr>
            <w:r>
              <w:rPr>
                <w:rFonts w:ascii="仿宋_GB2312" w:hAnsi="仿宋_GB2312" w:cs="仿宋_GB2312" w:eastAsia="仿宋_GB2312"/>
                <w:sz w:val="21"/>
              </w:rPr>
              <w:t>定植后7-15天完成全面查苗工作，及时排查缺苗、死苗、弱苗地块，及时补栽同规格健壮种苗、种球，确保田间出苗整齐，无大面积缺苗断垄，保障整体种植密度达标。补苗后及时浇水保墒，促进缓苗成活。</w:t>
            </w:r>
          </w:p>
          <w:p>
            <w:pPr>
              <w:pStyle w:val="null3"/>
              <w:ind w:firstLine="482"/>
            </w:pPr>
            <w:r>
              <w:rPr>
                <w:rFonts w:ascii="仿宋_GB2312" w:hAnsi="仿宋_GB2312" w:cs="仿宋_GB2312" w:eastAsia="仿宋_GB2312"/>
                <w:sz w:val="21"/>
                <w:b/>
              </w:rPr>
              <w:t>2、杂草清除</w:t>
            </w:r>
          </w:p>
          <w:p>
            <w:pPr>
              <w:pStyle w:val="null3"/>
              <w:ind w:firstLine="480"/>
            </w:pPr>
            <w:r>
              <w:rPr>
                <w:rFonts w:ascii="仿宋_GB2312" w:hAnsi="仿宋_GB2312" w:cs="仿宋_GB2312" w:eastAsia="仿宋_GB2312"/>
                <w:sz w:val="21"/>
              </w:rPr>
              <w:t>坚持人工除草为主、药剂除草为辅，苗期及时清除田间杂草，做到除早、除小、除净，避免杂草与中药材争夺水肥、光照、空间。生长期定期松土除草，疏松土壤，改善根系生长环境，杜绝杂草丛生引发病虫害。</w:t>
            </w:r>
          </w:p>
          <w:p>
            <w:pPr>
              <w:pStyle w:val="null3"/>
              <w:ind w:firstLine="482"/>
            </w:pPr>
            <w:r>
              <w:rPr>
                <w:rFonts w:ascii="仿宋_GB2312" w:hAnsi="仿宋_GB2312" w:cs="仿宋_GB2312" w:eastAsia="仿宋_GB2312"/>
                <w:sz w:val="21"/>
                <w:b/>
              </w:rPr>
              <w:t>3、水肥管控</w:t>
            </w:r>
          </w:p>
          <w:p>
            <w:pPr>
              <w:pStyle w:val="null3"/>
              <w:ind w:firstLine="480"/>
            </w:pPr>
            <w:r>
              <w:rPr>
                <w:rFonts w:ascii="仿宋_GB2312" w:hAnsi="仿宋_GB2312" w:cs="仿宋_GB2312" w:eastAsia="仿宋_GB2312"/>
                <w:sz w:val="21"/>
              </w:rPr>
              <w:t>根据土壤墒情、作物生长期合理浇水，保持土壤湿润不积水，干旱天气及时补水，雨季及时疏通沟渠排水防涝。结合长势分期追肥，苗期以速效肥促苗生长，生长期增施磷钾肥，提升植株抗病性和产量，严格控制施肥用量和频次，避免肥害、徒长。</w:t>
            </w:r>
          </w:p>
          <w:p>
            <w:pPr>
              <w:pStyle w:val="null3"/>
              <w:ind w:firstLine="482"/>
            </w:pPr>
            <w:r>
              <w:rPr>
                <w:rFonts w:ascii="仿宋_GB2312" w:hAnsi="仿宋_GB2312" w:cs="仿宋_GB2312" w:eastAsia="仿宋_GB2312"/>
                <w:sz w:val="21"/>
                <w:b/>
              </w:rPr>
              <w:t>4、病虫害绿色防控</w:t>
            </w:r>
          </w:p>
          <w:p>
            <w:pPr>
              <w:pStyle w:val="null3"/>
              <w:ind w:firstLine="480"/>
            </w:pPr>
            <w:r>
              <w:rPr>
                <w:rFonts w:ascii="仿宋_GB2312" w:hAnsi="仿宋_GB2312" w:cs="仿宋_GB2312" w:eastAsia="仿宋_GB2312"/>
                <w:sz w:val="21"/>
              </w:rPr>
              <w:t>日常巡查田间长势，密切关注病虫害发生情况，优先采用人工摘除病叶、物理诱杀、通风降湿等绿色防控方式。严格遵循绿色种植标准，合理、合规使用低毒、低残留农药，杜绝违禁农药使用，提前预防根腐病、叶斑病、虫害等常见病虫害，保障药材品质安全。</w:t>
            </w:r>
          </w:p>
          <w:p>
            <w:pPr>
              <w:pStyle w:val="null3"/>
              <w:ind w:firstLine="482"/>
            </w:pPr>
            <w:r>
              <w:rPr>
                <w:rFonts w:ascii="仿宋_GB2312" w:hAnsi="仿宋_GB2312" w:cs="仿宋_GB2312" w:eastAsia="仿宋_GB2312"/>
                <w:sz w:val="21"/>
                <w:b/>
              </w:rPr>
              <w:t>5、田间修整与管护</w:t>
            </w:r>
          </w:p>
          <w:p>
            <w:pPr>
              <w:pStyle w:val="null3"/>
              <w:ind w:firstLine="480"/>
            </w:pPr>
            <w:r>
              <w:rPr>
                <w:rFonts w:ascii="仿宋_GB2312" w:hAnsi="仿宋_GB2312" w:cs="仿宋_GB2312" w:eastAsia="仿宋_GB2312"/>
                <w:sz w:val="21"/>
              </w:rPr>
              <w:t>定期修整田间沟渠、垄畦，保证排灌系统通畅，及时清理田间病株、残叶、枯枝，带出田外集中销毁，减少病虫滋生源头。针对藤蔓类、倒伏风险植株，及时做好扶苗、固苗管护，保障植株正常生长。</w:t>
            </w:r>
          </w:p>
          <w:p>
            <w:pPr>
              <w:pStyle w:val="null3"/>
              <w:ind w:firstLine="482"/>
            </w:pPr>
            <w:r>
              <w:rPr>
                <w:rFonts w:ascii="仿宋_GB2312" w:hAnsi="仿宋_GB2312" w:cs="仿宋_GB2312" w:eastAsia="仿宋_GB2312"/>
                <w:sz w:val="21"/>
                <w:b/>
              </w:rPr>
              <w:t>6、生长期精细化巡查</w:t>
            </w:r>
          </w:p>
          <w:p>
            <w:pPr>
              <w:pStyle w:val="null3"/>
              <w:ind w:firstLine="480"/>
            </w:pPr>
            <w:r>
              <w:rPr>
                <w:rFonts w:ascii="仿宋_GB2312" w:hAnsi="仿宋_GB2312" w:cs="仿宋_GB2312" w:eastAsia="仿宋_GB2312"/>
                <w:sz w:val="21"/>
              </w:rPr>
              <w:t>建立日常巡查管护制度，每日巡查地块长势、墒情、病虫害、杂草情况，做好管护记录，根据作物生长状态及时调整管护措施，实现全周期标准化管护。</w:t>
            </w:r>
          </w:p>
          <w:p>
            <w:pPr>
              <w:pStyle w:val="null3"/>
              <w:ind w:firstLine="482"/>
            </w:pPr>
            <w:r>
              <w:rPr>
                <w:rFonts w:ascii="仿宋_GB2312" w:hAnsi="仿宋_GB2312" w:cs="仿宋_GB2312" w:eastAsia="仿宋_GB2312"/>
                <w:sz w:val="21"/>
                <w:b/>
              </w:rPr>
              <w:t>五、其他</w:t>
            </w:r>
            <w:r>
              <w:rPr>
                <w:rFonts w:ascii="仿宋_GB2312" w:hAnsi="仿宋_GB2312" w:cs="仿宋_GB2312" w:eastAsia="仿宋_GB2312"/>
                <w:sz w:val="21"/>
                <w:b/>
              </w:rPr>
              <w:t>要求</w:t>
            </w:r>
          </w:p>
          <w:p>
            <w:pPr>
              <w:pStyle w:val="null3"/>
              <w:ind w:firstLine="480"/>
            </w:pPr>
            <w:r>
              <w:rPr>
                <w:rFonts w:ascii="仿宋_GB2312" w:hAnsi="仿宋_GB2312" w:cs="仿宋_GB2312" w:eastAsia="仿宋_GB2312"/>
                <w:sz w:val="21"/>
              </w:rPr>
              <w:t>1、所有种植、管护工作严格按照专人负责分区管理、全程监督，确保定植密度、种苗规格、整地标准、管护流程全部达标。全程落实标准化种植，保障基地中药材长势均匀、品质优良、产量稳定，符合中药材规范化种植基地建设标准。</w:t>
            </w:r>
          </w:p>
          <w:p>
            <w:pPr>
              <w:pStyle w:val="null3"/>
              <w:ind w:firstLine="480"/>
            </w:pPr>
            <w:r>
              <w:rPr>
                <w:rFonts w:ascii="仿宋_GB2312" w:hAnsi="仿宋_GB2312" w:cs="仿宋_GB2312" w:eastAsia="仿宋_GB2312"/>
                <w:sz w:val="21"/>
              </w:rPr>
              <w:t>2、项目实施期间优先吸纳本地脱贫户、监测户、留守劳动力就业，增加群众务工收入。</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3、服务标准：达到国家及行业服务质量验收合格标准及完成自查总结。</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合同签订后至2026年9月30日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进度款，种植完成后，达到付款条件起30个工作日内，支付合同总金额的40.0%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1、在成交结果公⽰后，成交供应商向代理机构提交纸质投标⽂件叁份、分别胶装，加盖骑缝章，电⼦版U盘贰份，内容和通 过电⼦化交易平台实施的政府采购项⽬提交的投标⽂件⼀致。2、保证⾦若以⾦融机构、担保机构出具的保函形式则须在开标前⼀个⼯作⽇告知采购代理机构（联系⽅式：0916-2610065/邮箱：1042853189@qq.com）。3、投标⼈⾃⾏在系统规定处上传保证⾦凭证或保函，如未按系统要求上传，投标⼈⾃⾏承担开标过程中出现的后果及⻛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响应⽂件的电⼦签章</w:t>
            </w:r>
          </w:p>
        </w:tc>
        <w:tc>
          <w:tcPr>
            <w:tcW w:type="dxa" w:w="3322"/>
          </w:tcPr>
          <w:p>
            <w:pPr>
              <w:pStyle w:val="null3"/>
            </w:pPr>
            <w:r>
              <w:rPr>
                <w:rFonts w:ascii="仿宋_GB2312" w:hAnsi="仿宋_GB2312" w:cs="仿宋_GB2312" w:eastAsia="仿宋_GB2312"/>
              </w:rPr>
              <w:t>响应⽂件按磋商⽂件要求进⾏电⼦签章</w:t>
            </w:r>
          </w:p>
        </w:tc>
        <w:tc>
          <w:tcPr>
            <w:tcW w:type="dxa" w:w="1661"/>
          </w:tcPr>
          <w:p>
            <w:pPr>
              <w:pStyle w:val="null3"/>
            </w:pPr>
            <w:r>
              <w:rPr>
                <w:rFonts w:ascii="仿宋_GB2312" w:hAnsi="仿宋_GB2312" w:cs="仿宋_GB2312" w:eastAsia="仿宋_GB2312"/>
              </w:rPr>
              <w:t>业绩一览表.docx 中小企业声明函 商务应答表 供应商应提交的相关资格证明材料 服务内容及服务要求应答表 报价表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符合磋商⽂件要求，响应⽂件内容⻬全、⽆遗漏</w:t>
            </w:r>
          </w:p>
        </w:tc>
        <w:tc>
          <w:tcPr>
            <w:tcW w:type="dxa" w:w="1661"/>
          </w:tcPr>
          <w:p>
            <w:pPr>
              <w:pStyle w:val="null3"/>
            </w:pPr>
            <w:r>
              <w:rPr>
                <w:rFonts w:ascii="仿宋_GB2312" w:hAnsi="仿宋_GB2312" w:cs="仿宋_GB2312" w:eastAsia="仿宋_GB2312"/>
              </w:rPr>
              <w:t>业绩一览表.docx 中小企业声明函 商务应答表 供应商应提交的相关资格证明材料 服务内容及服务要求应答表 报价表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报价唯⼀，未超出采购预算或磋商⽂件规定的最⾼限价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不存在其他不符合法律法规或磋商⽂件规定的响应⽆效条款的情形</w:t>
            </w:r>
          </w:p>
        </w:tc>
        <w:tc>
          <w:tcPr>
            <w:tcW w:type="dxa" w:w="1661"/>
          </w:tcPr>
          <w:p>
            <w:pPr>
              <w:pStyle w:val="null3"/>
            </w:pPr>
            <w:r>
              <w:rPr>
                <w:rFonts w:ascii="仿宋_GB2312" w:hAnsi="仿宋_GB2312" w:cs="仿宋_GB2312" w:eastAsia="仿宋_GB2312"/>
              </w:rPr>
              <w:t>业绩一览表.docx 中小企业声明函 商务应答表 供应商应提交的相关资格证明材料 服务内容及服务要求应答表 报价表 汉中市政府采购供应商资格承诺函.docx 响应文件封面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项⽬实施方案</w:t>
            </w:r>
          </w:p>
        </w:tc>
        <w:tc>
          <w:tcPr>
            <w:tcW w:type="dxa" w:w="2492"/>
          </w:tcPr>
          <w:p>
            <w:pPr>
              <w:pStyle w:val="null3"/>
            </w:pPr>
            <w:r>
              <w:rPr>
                <w:rFonts w:ascii="仿宋_GB2312" w:hAnsi="仿宋_GB2312" w:cs="仿宋_GB2312" w:eastAsia="仿宋_GB2312"/>
              </w:rPr>
              <w:t>供应商针对本项目提出适用于本项目的实施方案。包括但不限于：1、项目目标及认知；2、项⽬实施重点难点分析；3、总体实施方案（包括但不限于：①整地；②挖穴；③栽植要点；④中耕除草；⑤病虫害防治）；4、水肥与灌溉管理；5、质量保证措施；6、进度保障措施；7、应急及风险防控措施（包括但不限于①气象灾害应急方案；②种苗供应应急方案）；8、后期管护措施。以上各项内容全面明确、阐述条理清晰得40分，每缺一项扣5分，每项中的内容存在缺陷，扣1-4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供应商提供2023年1月1日至今完成的类似业绩证明，每提供一份计2.5分，最高计5.0分；（以合同签订日期为准） 注：业绩须是供应商完成的类似项目，以成交通知书或协议书（合同）加盖公章的复印件为准。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①提供人员配置明细表得3分，不提供不得分；②项目负责人：具备相关专业高级农艺师/高级⼯程师职称得3分；相关专业中级职称得2分；相关专业初级职称得1分，本项最高3分，⽆职称不得分。③现场技术人员：为本项目配备专职种植技术人员，人员具备相关专业中级及以上职称，每提供1人得2分，本项最高4分，未提供不得分。④除项目负责人及现场技术人员外，提供5名及以上配置人员相关身份证得3分；提供4名配置人员相关身份证得2分， 提供3名配置人员相关身份证得1分，不足3人或不提供均不得分，本项最高3分；⑤提供主要人员到场及不随意更换人员承诺得2分， 不提供不得分。（注：相关专业包括但不限于农学、林学、园艺、中草药栽培等）。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入设备配置明细表得4分，不提供不得分；②提供拟投入设备及时进场承诺得3分，不提供不得分；③提供拟投入设备状况良好，满足项目需求的承诺得3分，不提供不得分；④应对突发事件具有足够的可调度设备储备确保工作任务正常进行， 提供承诺得3分，不提供不得分。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供应商提供项目能按时按质完成承诺得3分，不提供不得分；②供应商承诺项目开工前对作业人员开展《种植及养护培训》及《安全培训》（明确培训时长≥8小时）得3分，不提供不得分；③供应商承诺按照采购人要求提交生长、病虫害监测及管护台账得3分，不提供不得分；④供应商提供为采购方提供免费种植技术培训与后期养护指导的承诺得3分；不提供不得分；⑤供应商提供种苗合格证、产地检疫证明、苗木规格质量承诺得3分；不提供不得分；⑥供应商提供项目实施期、后期管护期优先考量本地化用工承诺得2分，不提供不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2、以满足本次磋商文件要求的最低报价为评标基准价，其价格为满分；3、供应商报价得分=（评标基准价/投标报价）×10（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