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版本号：HYX-ZFCG-2026-汉010号20260507001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勉县医院直线加速器、大孔径定位CT维保服务采购项目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HYX-ZFCG-2026-汉010号</w:t>
      </w:r>
      <w:r>
        <w:br/>
      </w:r>
      <w:r>
        <w:br/>
      </w:r>
      <w:r>
        <w:br/>
      </w:r>
    </w:p>
    <w:p>
      <w:pPr>
        <w:pStyle w:val="null3"/>
        <w:jc w:val="center"/>
        <w:outlineLvl w:val="2"/>
      </w:pPr>
      <w:r>
        <w:rPr>
          <w:rFonts w:ascii="仿宋_GB2312" w:hAnsi="仿宋_GB2312" w:cs="仿宋_GB2312" w:eastAsia="仿宋_GB2312"/>
          <w:sz w:val="28"/>
          <w:b/>
        </w:rPr>
        <w:t>陕西省勉县医院</w:t>
      </w:r>
    </w:p>
    <w:p>
      <w:pPr>
        <w:pStyle w:val="null3"/>
        <w:jc w:val="center"/>
        <w:outlineLvl w:val="2"/>
      </w:pPr>
      <w:r>
        <w:rPr>
          <w:rFonts w:ascii="仿宋_GB2312" w:hAnsi="仿宋_GB2312" w:cs="仿宋_GB2312" w:eastAsia="仿宋_GB2312"/>
          <w:sz w:val="28"/>
          <w:b/>
        </w:rPr>
        <w:t>华优信项目管理有限公司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华优信项目管理有限公司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陕西省勉县医院</w:t>
      </w:r>
      <w:r>
        <w:rPr>
          <w:rFonts w:ascii="仿宋_GB2312" w:hAnsi="仿宋_GB2312" w:cs="仿宋_GB2312" w:eastAsia="仿宋_GB2312"/>
        </w:rPr>
        <w:t>委托，拟对</w:t>
      </w:r>
      <w:r>
        <w:rPr>
          <w:rFonts w:ascii="仿宋_GB2312" w:hAnsi="仿宋_GB2312" w:cs="仿宋_GB2312" w:eastAsia="仿宋_GB2312"/>
        </w:rPr>
        <w:t>勉县医院直线加速器、大孔径定位CT维保服务采购项目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HYX-ZFCG-2026-汉010号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勉县医院直线加速器、大孔径定位CT维保服务采购项目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拟对我院一台飞利浦BigBoreRTCT机及一台医科达Synergy医用直线加速器进行为期一年的维保服务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采购包1（陕西省勉县医院直线加速器、大孔径定位CT维保服务采购项目）：属于专门面向中小企业采购。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中、小企业：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陕西省勉县医院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陕西省汉中市勉县定军山镇绿缘路西段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陕西省勉县医院经办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0916-3232072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陕西省汉中市汉台区七里街道办事处光辉社区C1区1幢A2层16号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万先生、杨女士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0916-8880708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中标服务费，交费金额参照国家计委颁布的《招标代理服务收费管理暂行办法》（计价格[2002]1980号）及发改办价格[2003]857号文件的规定标准收取； 2、本项目代理服务费按服务计取。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陕西省勉县医院</w:t>
      </w:r>
      <w:r>
        <w:rPr>
          <w:rFonts w:ascii="仿宋_GB2312" w:hAnsi="仿宋_GB2312" w:cs="仿宋_GB2312" w:eastAsia="仿宋_GB2312"/>
        </w:rPr>
        <w:t>和</w:t>
      </w:r>
      <w:r>
        <w:rPr>
          <w:rFonts w:ascii="仿宋_GB2312" w:hAnsi="仿宋_GB2312" w:cs="仿宋_GB2312" w:eastAsia="仿宋_GB2312"/>
        </w:rPr>
        <w:t>华优信项目管理有限公司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陕西省勉县医院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陕西省勉县医院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联系人：万先生、杨女士</w:t>
      </w:r>
    </w:p>
    <w:p>
      <w:pPr>
        <w:pStyle w:val="null3"/>
      </w:pPr>
      <w:r>
        <w:rPr>
          <w:rFonts w:ascii="仿宋_GB2312" w:hAnsi="仿宋_GB2312" w:cs="仿宋_GB2312" w:eastAsia="仿宋_GB2312"/>
        </w:rPr>
        <w:t>联系电话：0916-8880708</w:t>
      </w:r>
    </w:p>
    <w:p>
      <w:pPr>
        <w:pStyle w:val="null3"/>
      </w:pPr>
      <w:r>
        <w:rPr>
          <w:rFonts w:ascii="仿宋_GB2312" w:hAnsi="仿宋_GB2312" w:cs="仿宋_GB2312" w:eastAsia="仿宋_GB2312"/>
        </w:rPr>
        <w:t>地址：陕西省汉中市汉台区七里街道办事处光辉社区C1区1幢A2层16号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拟对我院一台飞利浦BigBoreRTCT机及一台医科达Synergy医用直线加速器进行为期一年的维保服务。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直线加速器及大孔径定位CT维保服务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标的名称：直线加速器及大孔径定位CT维保服务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color w:val="000000"/>
              </w:rPr>
              <w:t>第一部分：基础信息</w:t>
            </w:r>
          </w:p>
          <w:tbl>
            <w:tblPr>
              <w:tblInd w:type="dxa" w:w="135"/>
              <w:tblBorders>
                <w:top w:val="none" w:color="000000" w:sz="4"/>
                <w:left w:val="none" w:color="000000" w:sz="4"/>
                <w:bottom w:val="none" w:color="000000" w:sz="4"/>
                <w:right w:val="none" w:color="000000" w:sz="4"/>
                <w:insideH w:val="none"/>
                <w:insideV w:val="none"/>
              </w:tblBorders>
            </w:tblPr>
            <w:tblGrid>
              <w:gridCol w:w="348"/>
              <w:gridCol w:w="391"/>
              <w:gridCol w:w="348"/>
              <w:gridCol w:w="162"/>
              <w:gridCol w:w="286"/>
              <w:gridCol w:w="534"/>
              <w:gridCol w:w="472"/>
            </w:tblGrid>
            <w:tr>
              <w:tc>
                <w:tcPr>
                  <w:tcW w:type="dxa" w:w="348"/>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b/>
                      <w:color w:val="000000"/>
                    </w:rPr>
                    <w:t>设备类别</w:t>
                  </w:r>
                </w:p>
              </w:tc>
              <w:tc>
                <w:tcPr>
                  <w:tcW w:type="dxa" w:w="391"/>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b/>
                      <w:color w:val="000000"/>
                    </w:rPr>
                    <w:t>设备名称</w:t>
                  </w:r>
                </w:p>
              </w:tc>
              <w:tc>
                <w:tcPr>
                  <w:tcW w:type="dxa" w:w="348"/>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b/>
                      <w:color w:val="000000"/>
                    </w:rPr>
                    <w:t>品牌及型号</w:t>
                  </w:r>
                </w:p>
              </w:tc>
              <w:tc>
                <w:tcPr>
                  <w:tcW w:type="dxa" w:w="162"/>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b/>
                      <w:color w:val="000000"/>
                    </w:rPr>
                    <w:t>数量</w:t>
                  </w:r>
                </w:p>
              </w:tc>
              <w:tc>
                <w:tcPr>
                  <w:tcW w:type="dxa" w:w="286"/>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b/>
                      <w:color w:val="000000"/>
                    </w:rPr>
                    <w:t>保修年限</w:t>
                  </w:r>
                </w:p>
              </w:tc>
              <w:tc>
                <w:tcPr>
                  <w:tcW w:type="dxa" w:w="534"/>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b/>
                      <w:color w:val="000000"/>
                    </w:rPr>
                    <w:t>维修合同服务类别</w:t>
                  </w:r>
                </w:p>
              </w:tc>
              <w:tc>
                <w:tcPr>
                  <w:tcW w:type="dxa" w:w="472"/>
                  <w:tcBorders>
                    <w:top w:val="singl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b/>
                      <w:color w:val="000000"/>
                    </w:rPr>
                    <w:t>服务地点</w:t>
                  </w:r>
                </w:p>
              </w:tc>
            </w:tr>
            <w:tr>
              <w:tc>
                <w:tcPr>
                  <w:tcW w:type="dxa" w:w="348"/>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color w:val="000000"/>
                    </w:rPr>
                    <w:t>CT机</w:t>
                  </w:r>
                </w:p>
              </w:tc>
              <w:tc>
                <w:tcPr>
                  <w:tcW w:type="dxa" w:w="39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color w:val="000000"/>
                    </w:rPr>
                    <w:t>飞利浦</w:t>
                  </w:r>
                  <w:r>
                    <w:rPr>
                      <w:rFonts w:ascii="仿宋_GB2312" w:hAnsi="仿宋_GB2312" w:cs="仿宋_GB2312" w:eastAsia="仿宋_GB2312"/>
                      <w:sz w:val="21"/>
                      <w:color w:val="000000"/>
                    </w:rPr>
                    <w:t>BigBoreRTCT</w:t>
                  </w:r>
                </w:p>
              </w:tc>
              <w:tc>
                <w:tcPr>
                  <w:tcW w:type="dxa" w:w="348"/>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color w:val="000000"/>
                    </w:rPr>
                    <w:t>飞利浦</w:t>
                  </w:r>
                  <w:r>
                    <w:rPr>
                      <w:rFonts w:ascii="仿宋_GB2312" w:hAnsi="仿宋_GB2312" w:cs="仿宋_GB2312" w:eastAsia="仿宋_GB2312"/>
                      <w:sz w:val="21"/>
                      <w:color w:val="000000"/>
                    </w:rPr>
                    <w:t>BigBoreRT</w:t>
                  </w:r>
                </w:p>
              </w:tc>
              <w:tc>
                <w:tcPr>
                  <w:tcW w:type="dxa" w:w="162"/>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color w:val="000000"/>
                    </w:rPr>
                    <w:t>1台</w:t>
                  </w:r>
                </w:p>
              </w:tc>
              <w:tc>
                <w:tcPr>
                  <w:tcW w:type="dxa" w:w="286"/>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color w:val="000000"/>
                    </w:rPr>
                    <w:t>1年</w:t>
                  </w:r>
                </w:p>
              </w:tc>
              <w:tc>
                <w:tcPr>
                  <w:tcW w:type="dxa" w:w="534"/>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color w:val="000000"/>
                    </w:rPr>
                    <w:t>人工保（含约定范围内服务及相关人工）</w:t>
                  </w:r>
                </w:p>
              </w:tc>
              <w:tc>
                <w:tcPr>
                  <w:tcW w:type="dxa" w:w="472"/>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color w:val="000000"/>
                    </w:rPr>
                    <w:t>采购人指定地点</w:t>
                  </w:r>
                </w:p>
              </w:tc>
            </w:tr>
            <w:tr>
              <w:tc>
                <w:tcPr>
                  <w:tcW w:type="dxa" w:w="348"/>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color w:val="000000"/>
                    </w:rPr>
                    <w:t>直线加速器</w:t>
                  </w:r>
                </w:p>
              </w:tc>
              <w:tc>
                <w:tcPr>
                  <w:tcW w:type="dxa" w:w="391"/>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color w:val="000000"/>
                    </w:rPr>
                    <w:t>医用直线加速器</w:t>
                  </w:r>
                </w:p>
              </w:tc>
              <w:tc>
                <w:tcPr>
                  <w:tcW w:type="dxa" w:w="348"/>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color w:val="000000"/>
                    </w:rPr>
                    <w:t>医科达</w:t>
                  </w:r>
                  <w:r>
                    <w:rPr>
                      <w:rFonts w:ascii="仿宋_GB2312" w:hAnsi="仿宋_GB2312" w:cs="仿宋_GB2312" w:eastAsia="仿宋_GB2312"/>
                      <w:sz w:val="21"/>
                      <w:color w:val="000000"/>
                    </w:rPr>
                    <w:t>Synergy</w:t>
                  </w:r>
                </w:p>
              </w:tc>
              <w:tc>
                <w:tcPr>
                  <w:tcW w:type="dxa" w:w="162"/>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color w:val="000000"/>
                    </w:rPr>
                    <w:t>1台</w:t>
                  </w:r>
                </w:p>
              </w:tc>
              <w:tc>
                <w:tcPr>
                  <w:tcW w:type="dxa" w:w="286"/>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color w:val="000000"/>
                    </w:rPr>
                    <w:t>1年</w:t>
                  </w:r>
                </w:p>
              </w:tc>
              <w:tc>
                <w:tcPr>
                  <w:tcW w:type="dxa" w:w="534"/>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color w:val="000000"/>
                    </w:rPr>
                    <w:t>人工保（不含零配件）</w:t>
                  </w:r>
                </w:p>
              </w:tc>
              <w:tc>
                <w:tcPr>
                  <w:tcW w:type="dxa" w:w="472"/>
                  <w:tcBorders>
                    <w:top w:val="none" w:color="000000" w:sz="4"/>
                    <w:left w:val="single" w:color="000000" w:sz="4"/>
                    <w:bottom w:val="single" w:color="000000" w:sz="4"/>
                    <w:right w:val="single" w:color="000000" w:sz="4"/>
                  </w:tcBorders>
                  <w:tcMar>
                    <w:top w:type="dxa" w:w="135"/>
                    <w:left w:type="dxa" w:w="120"/>
                    <w:bottom w:type="dxa" w:w="135"/>
                    <w:right w:type="dxa" w:w="120"/>
                  </w:tcMar>
                  <w:vAlign w:val="top"/>
                </w:tcPr>
                <w:p>
                  <w:pPr>
                    <w:pStyle w:val="null3"/>
                    <w:jc w:val="center"/>
                  </w:pPr>
                  <w:r>
                    <w:rPr>
                      <w:rFonts w:ascii="仿宋_GB2312" w:hAnsi="仿宋_GB2312" w:cs="仿宋_GB2312" w:eastAsia="仿宋_GB2312"/>
                      <w:sz w:val="21"/>
                      <w:color w:val="000000"/>
                    </w:rPr>
                    <w:t>采购人指定地点</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21"/>
                <w:b/>
                <w:color w:val="000000"/>
              </w:rPr>
              <w:t>第二部分：飞利浦</w:t>
            </w:r>
            <w:r>
              <w:rPr>
                <w:rFonts w:ascii="仿宋_GB2312" w:hAnsi="仿宋_GB2312" w:cs="仿宋_GB2312" w:eastAsia="仿宋_GB2312"/>
                <w:sz w:val="21"/>
                <w:b/>
                <w:color w:val="000000"/>
              </w:rPr>
              <w:t>BigBoreRTCT专业维保要求</w:t>
            </w:r>
          </w:p>
          <w:p>
            <w:pPr>
              <w:pStyle w:val="null3"/>
              <w:jc w:val="left"/>
            </w:pPr>
            <w:r>
              <w:rPr>
                <w:rFonts w:ascii="仿宋_GB2312" w:hAnsi="仿宋_GB2312" w:cs="仿宋_GB2312" w:eastAsia="仿宋_GB2312"/>
                <w:sz w:val="21"/>
                <w:color w:val="000000"/>
              </w:rPr>
              <w:t>一、服务资质要求</w:t>
            </w:r>
          </w:p>
          <w:p>
            <w:pPr>
              <w:pStyle w:val="null3"/>
              <w:ind w:firstLine="48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必须能提供全部服务类型：定期保养、远程服务（电话支持、宽带远程支持、宽带自动预警保障系统）、现场服务。</w:t>
            </w:r>
          </w:p>
          <w:p>
            <w:pPr>
              <w:pStyle w:val="null3"/>
              <w:ind w:firstLine="48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须具有合法的设备维修密钥匙</w:t>
            </w:r>
            <w:r>
              <w:rPr>
                <w:rFonts w:ascii="仿宋_GB2312" w:hAnsi="仿宋_GB2312" w:cs="仿宋_GB2312" w:eastAsia="仿宋_GB2312"/>
                <w:sz w:val="21"/>
                <w:color w:val="000000"/>
              </w:rPr>
              <w:t>(ServiceKey)。</w:t>
            </w:r>
          </w:p>
          <w:p>
            <w:pPr>
              <w:pStyle w:val="null3"/>
              <w:ind w:firstLine="48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、供应商在陕西省内具有</w:t>
            </w:r>
            <w:r>
              <w:rPr>
                <w:rFonts w:ascii="仿宋_GB2312" w:hAnsi="仿宋_GB2312" w:cs="仿宋_GB2312" w:eastAsia="仿宋_GB2312"/>
                <w:sz w:val="21"/>
                <w:color w:val="000000"/>
              </w:rPr>
              <w:t>常驻</w:t>
            </w:r>
            <w:r>
              <w:rPr>
                <w:rFonts w:ascii="仿宋_GB2312" w:hAnsi="仿宋_GB2312" w:cs="仿宋_GB2312" w:eastAsia="仿宋_GB2312"/>
                <w:sz w:val="21"/>
                <w:color w:val="000000"/>
              </w:rPr>
              <w:t>CT产品服务工程师，需提供工程师名单</w:t>
            </w:r>
            <w:r>
              <w:rPr>
                <w:rFonts w:ascii="仿宋_GB2312" w:hAnsi="仿宋_GB2312" w:cs="仿宋_GB2312" w:eastAsia="仿宋_GB2312"/>
                <w:sz w:val="21"/>
                <w:color w:val="000000"/>
              </w:rPr>
              <w:t>，</w:t>
            </w:r>
            <w:r>
              <w:rPr>
                <w:rFonts w:ascii="仿宋_GB2312" w:hAnsi="仿宋_GB2312" w:cs="仿宋_GB2312" w:eastAsia="仿宋_GB2312"/>
                <w:sz w:val="21"/>
                <w:color w:val="000000"/>
              </w:rPr>
              <w:t>或承诺成交后在陕西省派驻</w:t>
            </w:r>
            <w:r>
              <w:rPr>
                <w:rFonts w:ascii="仿宋_GB2312" w:hAnsi="仿宋_GB2312" w:cs="仿宋_GB2312" w:eastAsia="仿宋_GB2312"/>
                <w:sz w:val="21"/>
                <w:color w:val="000000"/>
              </w:rPr>
              <w:t>CT产品服务工程师</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提供承诺函）。</w:t>
            </w:r>
          </w:p>
          <w:p>
            <w:pPr>
              <w:pStyle w:val="null3"/>
              <w:ind w:firstLine="48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维修人员需同时持有飞利浦授权且在有效期内的《维修资质证》（符合技术更新、考核合格的要求）。</w:t>
            </w:r>
          </w:p>
          <w:p>
            <w:pPr>
              <w:pStyle w:val="null3"/>
              <w:ind w:firstLine="48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能够随时</w:t>
            </w:r>
            <w:r>
              <w:rPr>
                <w:rFonts w:ascii="仿宋_GB2312" w:hAnsi="仿宋_GB2312" w:cs="仿宋_GB2312" w:eastAsia="仿宋_GB2312"/>
                <w:sz w:val="21"/>
                <w:color w:val="000000"/>
              </w:rPr>
              <w:t>获得</w:t>
            </w:r>
            <w:r>
              <w:rPr>
                <w:rFonts w:ascii="仿宋_GB2312" w:hAnsi="仿宋_GB2312" w:cs="仿宋_GB2312" w:eastAsia="仿宋_GB2312"/>
                <w:sz w:val="21"/>
                <w:color w:val="000000"/>
              </w:rPr>
              <w:t>设备生产</w:t>
            </w:r>
            <w:r>
              <w:rPr>
                <w:rFonts w:ascii="仿宋_GB2312" w:hAnsi="仿宋_GB2312" w:cs="仿宋_GB2312" w:eastAsia="仿宋_GB2312"/>
                <w:sz w:val="21"/>
                <w:color w:val="000000"/>
              </w:rPr>
              <w:t>方的</w:t>
            </w:r>
            <w:r>
              <w:rPr>
                <w:rFonts w:ascii="仿宋_GB2312" w:hAnsi="仿宋_GB2312" w:cs="仿宋_GB2312" w:eastAsia="仿宋_GB2312"/>
                <w:sz w:val="21"/>
                <w:color w:val="000000"/>
              </w:rPr>
              <w:t>技术支持。</w:t>
            </w:r>
          </w:p>
          <w:p>
            <w:pPr>
              <w:pStyle w:val="null3"/>
              <w:jc w:val="left"/>
            </w:pPr>
            <w:r>
              <w:rPr>
                <w:rFonts w:ascii="仿宋_GB2312" w:hAnsi="仿宋_GB2312" w:cs="仿宋_GB2312" w:eastAsia="仿宋_GB2312"/>
                <w:sz w:val="21"/>
                <w:color w:val="000000"/>
              </w:rPr>
              <w:t>二、维保服务内容</w:t>
            </w:r>
          </w:p>
          <w:p>
            <w:pPr>
              <w:pStyle w:val="null3"/>
              <w:ind w:firstLine="48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定期保养：每年</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w:t>
            </w:r>
            <w:r>
              <w:rPr>
                <w:rFonts w:ascii="仿宋_GB2312" w:hAnsi="仿宋_GB2312" w:cs="仿宋_GB2312" w:eastAsia="仿宋_GB2312"/>
                <w:sz w:val="21"/>
                <w:color w:val="000000"/>
              </w:rPr>
              <w:t>3次维护保养服务，保持原厂QC标准或国家质量计监部门标准，包含设备清洁、性能测试及校准、必要的电气环境检查、安全检查、影像质量检查，并出具检测报告；每次故障维修及保养后，必须提供完整保养记录。</w:t>
            </w:r>
          </w:p>
          <w:p>
            <w:pPr>
              <w:pStyle w:val="null3"/>
              <w:ind w:firstLine="48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维修服务：包含不限次人工所涉及的人工费用、交通差旅费等费用；当设备出现故障时，可拨打长期固定的维修服务热线，维保方在</w:t>
            </w:r>
            <w:r>
              <w:rPr>
                <w:rFonts w:ascii="仿宋_GB2312" w:hAnsi="仿宋_GB2312" w:cs="仿宋_GB2312" w:eastAsia="仿宋_GB2312"/>
                <w:sz w:val="21"/>
                <w:color w:val="000000"/>
              </w:rPr>
              <w:t>24小时内赶到现场派工程师进行指导或维修。</w:t>
            </w:r>
          </w:p>
          <w:p>
            <w:pPr>
              <w:pStyle w:val="null3"/>
              <w:ind w:firstLine="48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远程服务：可通过远程系统</w:t>
            </w:r>
            <w:r>
              <w:rPr>
                <w:rFonts w:ascii="仿宋_GB2312" w:hAnsi="仿宋_GB2312" w:cs="仿宋_GB2312" w:eastAsia="仿宋_GB2312"/>
                <w:sz w:val="21"/>
                <w:color w:val="000000"/>
              </w:rPr>
              <w:t>24小时不间断监测设备运行健康状况，提供自动预警、主动预防、远程诊断服务及技术支持。</w:t>
            </w:r>
          </w:p>
          <w:p>
            <w:pPr>
              <w:pStyle w:val="null3"/>
              <w:ind w:firstLine="48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持续改进：提供持续的改进措施，消除设备隐患故障。</w:t>
            </w:r>
          </w:p>
          <w:p>
            <w:pPr>
              <w:pStyle w:val="null3"/>
              <w:jc w:val="left"/>
            </w:pPr>
            <w:r>
              <w:rPr>
                <w:rFonts w:ascii="仿宋_GB2312" w:hAnsi="仿宋_GB2312" w:cs="仿宋_GB2312" w:eastAsia="仿宋_GB2312"/>
                <w:sz w:val="21"/>
                <w:color w:val="000000"/>
              </w:rPr>
              <w:t>三、响应及开机率要求</w:t>
            </w:r>
          </w:p>
          <w:p>
            <w:pPr>
              <w:pStyle w:val="null3"/>
              <w:ind w:firstLine="48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响应时间：用户维修服务响应</w:t>
            </w:r>
            <w:r>
              <w:rPr>
                <w:rFonts w:ascii="仿宋_GB2312" w:hAnsi="仿宋_GB2312" w:cs="仿宋_GB2312" w:eastAsia="仿宋_GB2312"/>
                <w:sz w:val="21"/>
                <w:color w:val="000000"/>
              </w:rPr>
              <w:t>≤半小时，到场≤24小时；提供24小时×365天在线电话技术支持，30分钟内做出回应。</w:t>
            </w:r>
          </w:p>
          <w:p>
            <w:pPr>
              <w:pStyle w:val="null3"/>
              <w:ind w:firstLine="48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故障修复：如电话无法解决问题，工程师应在</w:t>
            </w:r>
            <w:r>
              <w:rPr>
                <w:rFonts w:ascii="仿宋_GB2312" w:hAnsi="仿宋_GB2312" w:cs="仿宋_GB2312" w:eastAsia="仿宋_GB2312"/>
                <w:sz w:val="21"/>
                <w:color w:val="000000"/>
              </w:rPr>
              <w:t>24小时内携带相关工具及必要备件到达现场；一般故障在工程师到达现场后24小时内修复，特殊故障修复时间不超过72小时；如遇备件故障，免费提供备件，</w:t>
            </w:r>
            <w:r>
              <w:rPr>
                <w:rFonts w:ascii="仿宋_GB2312" w:hAnsi="仿宋_GB2312" w:cs="仿宋_GB2312" w:eastAsia="仿宋_GB2312"/>
                <w:sz w:val="21"/>
                <w:color w:val="000000"/>
              </w:rPr>
              <w:t>直至</w:t>
            </w:r>
            <w:r>
              <w:rPr>
                <w:rFonts w:ascii="仿宋_GB2312" w:hAnsi="仿宋_GB2312" w:cs="仿宋_GB2312" w:eastAsia="仿宋_GB2312"/>
                <w:sz w:val="21"/>
                <w:color w:val="000000"/>
              </w:rPr>
              <w:t>设备正常运行</w:t>
            </w:r>
            <w:r>
              <w:rPr>
                <w:rFonts w:ascii="仿宋_GB2312" w:hAnsi="仿宋_GB2312" w:cs="仿宋_GB2312" w:eastAsia="仿宋_GB2312"/>
                <w:sz w:val="21"/>
                <w:color w:val="000000"/>
              </w:rPr>
              <w:t>。</w:t>
            </w:r>
          </w:p>
          <w:p>
            <w:pPr>
              <w:pStyle w:val="null3"/>
              <w:ind w:firstLine="48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开机率保证：年度开机率</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5</w:t>
            </w:r>
            <w:r>
              <w:rPr>
                <w:rFonts w:ascii="仿宋_GB2312" w:hAnsi="仿宋_GB2312" w:cs="仿宋_GB2312" w:eastAsia="仿宋_GB2312"/>
                <w:sz w:val="21"/>
                <w:color w:val="000000"/>
              </w:rPr>
              <w:t>%，若未达约定开机率，每低于标准1%（不足1%按1%计算），合同服务期限相应延长5个日历日或每超过一自然天保修延长2天。</w:t>
            </w:r>
          </w:p>
          <w:p>
            <w:pPr>
              <w:pStyle w:val="null3"/>
              <w:jc w:val="left"/>
            </w:pPr>
            <w:r>
              <w:rPr>
                <w:rFonts w:ascii="仿宋_GB2312" w:hAnsi="仿宋_GB2312" w:cs="仿宋_GB2312" w:eastAsia="仿宋_GB2312"/>
                <w:sz w:val="21"/>
                <w:color w:val="000000"/>
              </w:rPr>
              <w:t>四、备件相关要求</w:t>
            </w:r>
          </w:p>
          <w:p>
            <w:pPr>
              <w:pStyle w:val="null3"/>
              <w:ind w:firstLine="48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备件质量：所有零部件必须为与原型号一致、经过原厂认证并测试合格的全新配件，技术参数符合设备原厂要求，安装完毕后达到设备运行标准（进口备件需提供备件报关证明及原厂证明文件）。</w:t>
            </w:r>
          </w:p>
          <w:p>
            <w:pPr>
              <w:pStyle w:val="null3"/>
              <w:ind w:firstLine="48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备件储备：</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需</w:t>
            </w:r>
            <w:r>
              <w:rPr>
                <w:rFonts w:ascii="仿宋_GB2312" w:hAnsi="仿宋_GB2312" w:cs="仿宋_GB2312" w:eastAsia="仿宋_GB2312"/>
                <w:sz w:val="21"/>
                <w:color w:val="000000"/>
              </w:rPr>
              <w:t>具</w:t>
            </w:r>
            <w:r>
              <w:rPr>
                <w:rFonts w:ascii="仿宋_GB2312" w:hAnsi="仿宋_GB2312" w:cs="仿宋_GB2312" w:eastAsia="仿宋_GB2312"/>
                <w:sz w:val="21"/>
                <w:color w:val="000000"/>
              </w:rPr>
              <w:t>有专业、充足的设备零备件仓库，需提供零备件仓库</w:t>
            </w:r>
            <w:r>
              <w:rPr>
                <w:rFonts w:ascii="仿宋_GB2312" w:hAnsi="仿宋_GB2312" w:cs="仿宋_GB2312" w:eastAsia="仿宋_GB2312"/>
                <w:sz w:val="21"/>
                <w:color w:val="000000"/>
              </w:rPr>
              <w:t>证明材料（包括但不限于场地照片、租房协议、购销清单）</w:t>
            </w:r>
            <w:r>
              <w:rPr>
                <w:rFonts w:ascii="仿宋_GB2312" w:hAnsi="仿宋_GB2312" w:cs="仿宋_GB2312" w:eastAsia="仿宋_GB2312"/>
                <w:sz w:val="21"/>
                <w:color w:val="000000"/>
              </w:rPr>
              <w:t>。</w:t>
            </w:r>
          </w:p>
          <w:p>
            <w:pPr>
              <w:pStyle w:val="null3"/>
              <w:ind w:firstLine="48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系统升级：能及时获取并提供全套原厂系统软硬件升级措施</w:t>
            </w:r>
            <w:r>
              <w:rPr>
                <w:rFonts w:ascii="仿宋_GB2312" w:hAnsi="仿宋_GB2312" w:cs="仿宋_GB2312" w:eastAsia="仿宋_GB2312"/>
                <w:sz w:val="21"/>
                <w:color w:val="000000"/>
              </w:rPr>
              <w:t>(FCO)。</w:t>
            </w:r>
          </w:p>
          <w:p>
            <w:pPr>
              <w:pStyle w:val="null3"/>
              <w:jc w:val="left"/>
            </w:pPr>
            <w:r>
              <w:rPr>
                <w:rFonts w:ascii="仿宋_GB2312" w:hAnsi="仿宋_GB2312" w:cs="仿宋_GB2312" w:eastAsia="仿宋_GB2312"/>
                <w:sz w:val="21"/>
                <w:color w:val="000000"/>
              </w:rPr>
              <w:t>五、培训要求</w:t>
            </w:r>
          </w:p>
          <w:p>
            <w:pPr>
              <w:pStyle w:val="null3"/>
              <w:ind w:firstLine="480"/>
              <w:jc w:val="left"/>
            </w:pPr>
            <w:r>
              <w:rPr>
                <w:rFonts w:ascii="仿宋_GB2312" w:hAnsi="仿宋_GB2312" w:cs="仿宋_GB2312" w:eastAsia="仿宋_GB2312"/>
                <w:sz w:val="21"/>
                <w:color w:val="000000"/>
              </w:rPr>
              <w:t>提供现场、远程操作和维修技术原厂培训，保证使用人员正常操作设备的各种功能。</w:t>
            </w:r>
          </w:p>
          <w:p>
            <w:pPr>
              <w:pStyle w:val="null3"/>
              <w:jc w:val="left"/>
            </w:pPr>
            <w:r>
              <w:rPr>
                <w:rFonts w:ascii="仿宋_GB2312" w:hAnsi="仿宋_GB2312" w:cs="仿宋_GB2312" w:eastAsia="仿宋_GB2312"/>
                <w:sz w:val="21"/>
                <w:color w:val="000000"/>
              </w:rPr>
              <w:t>六、其他</w:t>
            </w:r>
          </w:p>
          <w:p>
            <w:pPr>
              <w:pStyle w:val="null3"/>
              <w:ind w:firstLine="48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、甲方有权自行采购配件。</w:t>
            </w:r>
          </w:p>
          <w:p>
            <w:pPr>
              <w:pStyle w:val="null3"/>
            </w:pPr>
            <w:r>
              <w:rPr>
                <w:rFonts w:ascii="仿宋_GB2312" w:hAnsi="仿宋_GB2312" w:cs="仿宋_GB2312" w:eastAsia="仿宋_GB2312"/>
                <w:sz w:val="21"/>
                <w:color w:val="000000"/>
              </w:rPr>
              <w:t xml:space="preserve">         2</w:t>
            </w:r>
            <w:r>
              <w:rPr>
                <w:rFonts w:ascii="仿宋_GB2312" w:hAnsi="仿宋_GB2312" w:cs="仿宋_GB2312" w:eastAsia="仿宋_GB2312"/>
                <w:sz w:val="21"/>
                <w:color w:val="000000"/>
              </w:rPr>
              <w:t>、遵守数据保密安全规定，不得泄露甲方医疗数据。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21"/>
                <w:b/>
                <w:color w:val="000000"/>
              </w:rPr>
              <w:t>第三部分：医科达</w:t>
            </w:r>
            <w:r>
              <w:rPr>
                <w:rFonts w:ascii="仿宋_GB2312" w:hAnsi="仿宋_GB2312" w:cs="仿宋_GB2312" w:eastAsia="仿宋_GB2312"/>
                <w:sz w:val="21"/>
                <w:b/>
                <w:color w:val="000000"/>
              </w:rPr>
              <w:t>Synergy直线加速器专业维保要求</w:t>
            </w:r>
          </w:p>
          <w:p>
            <w:pPr>
              <w:pStyle w:val="null3"/>
              <w:jc w:val="left"/>
            </w:pPr>
            <w:r>
              <w:rPr>
                <w:rFonts w:ascii="仿宋_GB2312" w:hAnsi="仿宋_GB2312" w:cs="仿宋_GB2312" w:eastAsia="仿宋_GB2312"/>
                <w:sz w:val="21"/>
                <w:color w:val="000000"/>
              </w:rPr>
              <w:t>一、服务资质要求</w:t>
            </w:r>
          </w:p>
          <w:p>
            <w:pPr>
              <w:pStyle w:val="null3"/>
              <w:ind w:firstLine="48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、供应商需</w:t>
            </w:r>
            <w:r>
              <w:rPr>
                <w:rFonts w:ascii="仿宋_GB2312" w:hAnsi="仿宋_GB2312" w:cs="仿宋_GB2312" w:eastAsia="仿宋_GB2312"/>
                <w:sz w:val="21"/>
                <w:color w:val="000000"/>
              </w:rPr>
              <w:t>具备销售、使用、维修放射性装置资格，提供国家环保部认证的辐射安全许可证。</w:t>
            </w:r>
          </w:p>
          <w:p>
            <w:pPr>
              <w:pStyle w:val="null3"/>
              <w:ind w:firstLine="48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服务维修工程师应具有医科达厂家出具的有效期内培训证书，且证书上标明本次招标设备</w:t>
            </w:r>
            <w:r>
              <w:rPr>
                <w:rFonts w:ascii="仿宋_GB2312" w:hAnsi="仿宋_GB2312" w:cs="仿宋_GB2312" w:eastAsia="仿宋_GB2312"/>
                <w:sz w:val="21"/>
                <w:color w:val="000000"/>
              </w:rPr>
              <w:t>类型</w:t>
            </w:r>
            <w:r>
              <w:rPr>
                <w:rFonts w:ascii="仿宋_GB2312" w:hAnsi="仿宋_GB2312" w:cs="仿宋_GB2312" w:eastAsia="仿宋_GB2312"/>
                <w:sz w:val="21"/>
                <w:color w:val="000000"/>
              </w:rPr>
              <w:t>；提供现场服务的工程师必须是经过原厂培训合格的工程师，需提供承诺函。</w:t>
            </w:r>
          </w:p>
          <w:p>
            <w:pPr>
              <w:pStyle w:val="null3"/>
              <w:ind w:firstLine="48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能够随时</w:t>
            </w:r>
            <w:r>
              <w:rPr>
                <w:rFonts w:ascii="仿宋_GB2312" w:hAnsi="仿宋_GB2312" w:cs="仿宋_GB2312" w:eastAsia="仿宋_GB2312"/>
                <w:sz w:val="21"/>
                <w:color w:val="000000"/>
              </w:rPr>
              <w:t>获得</w:t>
            </w:r>
            <w:r>
              <w:rPr>
                <w:rFonts w:ascii="仿宋_GB2312" w:hAnsi="仿宋_GB2312" w:cs="仿宋_GB2312" w:eastAsia="仿宋_GB2312"/>
                <w:sz w:val="21"/>
                <w:color w:val="000000"/>
              </w:rPr>
              <w:t>设备生产</w:t>
            </w:r>
            <w:r>
              <w:rPr>
                <w:rFonts w:ascii="仿宋_GB2312" w:hAnsi="仿宋_GB2312" w:cs="仿宋_GB2312" w:eastAsia="仿宋_GB2312"/>
                <w:sz w:val="21"/>
                <w:color w:val="000000"/>
              </w:rPr>
              <w:t>方的</w:t>
            </w:r>
            <w:r>
              <w:rPr>
                <w:rFonts w:ascii="仿宋_GB2312" w:hAnsi="仿宋_GB2312" w:cs="仿宋_GB2312" w:eastAsia="仿宋_GB2312"/>
                <w:sz w:val="21"/>
                <w:color w:val="000000"/>
              </w:rPr>
              <w:t>技术支持。</w:t>
            </w:r>
          </w:p>
          <w:p>
            <w:pPr>
              <w:pStyle w:val="null3"/>
              <w:ind w:firstLine="48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维保服务范围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直线加速器（主机、床、控制系统）、多叶光栅、</w:t>
            </w:r>
            <w:r>
              <w:rPr>
                <w:rFonts w:ascii="仿宋_GB2312" w:hAnsi="仿宋_GB2312" w:cs="仿宋_GB2312" w:eastAsia="仿宋_GB2312"/>
                <w:sz w:val="21"/>
                <w:color w:val="000000"/>
              </w:rPr>
              <w:t>iView-GT验证系统、XVI球管、XVI影像板、Mosaiq肿瘤信息管理系统、医科达Monaco治疗计划系统、水冷系统、VMAT容积旋转调强系统等整机的技术保修（不含零配件）。</w:t>
            </w:r>
          </w:p>
          <w:p>
            <w:pPr>
              <w:pStyle w:val="null3"/>
              <w:jc w:val="left"/>
            </w:pPr>
            <w:r>
              <w:rPr>
                <w:rFonts w:ascii="仿宋_GB2312" w:hAnsi="仿宋_GB2312" w:cs="仿宋_GB2312" w:eastAsia="仿宋_GB2312"/>
                <w:sz w:val="21"/>
                <w:color w:val="000000"/>
              </w:rPr>
              <w:t>二</w:t>
            </w:r>
            <w:r>
              <w:rPr>
                <w:rFonts w:ascii="仿宋_GB2312" w:hAnsi="仿宋_GB2312" w:cs="仿宋_GB2312" w:eastAsia="仿宋_GB2312"/>
                <w:sz w:val="21"/>
                <w:color w:val="000000"/>
              </w:rPr>
              <w:t>、维保服务内容</w:t>
            </w:r>
          </w:p>
          <w:p>
            <w:pPr>
              <w:pStyle w:val="null3"/>
              <w:ind w:firstLine="48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定期保养：</w:t>
            </w:r>
            <w:r>
              <w:rPr>
                <w:rFonts w:ascii="仿宋_GB2312" w:hAnsi="仿宋_GB2312" w:cs="仿宋_GB2312" w:eastAsia="仿宋_GB2312"/>
                <w:sz w:val="21"/>
                <w:color w:val="000000"/>
              </w:rPr>
              <w:t>每年</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1次保养服务，</w:t>
            </w:r>
            <w:r>
              <w:rPr>
                <w:rFonts w:ascii="仿宋_GB2312" w:hAnsi="仿宋_GB2312" w:cs="仿宋_GB2312" w:eastAsia="仿宋_GB2312"/>
                <w:sz w:val="21"/>
                <w:color w:val="000000"/>
              </w:rPr>
              <w:t>出具检测报告</w:t>
            </w:r>
            <w:r>
              <w:rPr>
                <w:rFonts w:ascii="仿宋_GB2312" w:hAnsi="仿宋_GB2312" w:cs="仿宋_GB2312" w:eastAsia="仿宋_GB2312"/>
                <w:sz w:val="21"/>
                <w:color w:val="000000"/>
              </w:rPr>
              <w:t>及</w:t>
            </w:r>
            <w:r>
              <w:rPr>
                <w:rFonts w:ascii="仿宋_GB2312" w:hAnsi="仿宋_GB2312" w:cs="仿宋_GB2312" w:eastAsia="仿宋_GB2312"/>
                <w:sz w:val="21"/>
                <w:color w:val="000000"/>
              </w:rPr>
              <w:t>完整保养记录</w:t>
            </w:r>
            <w:r>
              <w:rPr>
                <w:rFonts w:ascii="仿宋_GB2312" w:hAnsi="仿宋_GB2312" w:cs="仿宋_GB2312" w:eastAsia="仿宋_GB2312"/>
                <w:sz w:val="21"/>
                <w:color w:val="000000"/>
              </w:rPr>
              <w:t>。</w:t>
            </w:r>
          </w:p>
          <w:p>
            <w:pPr>
              <w:pStyle w:val="null3"/>
              <w:ind w:firstLine="48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维修服务：提供整机的技术保修，含人工、保养等；提供维修、零配件更换指导（不含备件）和维修劳务等各种服务，保证设备维护达到国家质量标准。</w:t>
            </w:r>
          </w:p>
          <w:p>
            <w:pPr>
              <w:pStyle w:val="null3"/>
              <w:ind w:firstLine="48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远程服务：能通过远程网络连接加速器，实时监测设备性能，提供故障提醒及诊断服务，需提供产品彩页及对应详细说明为证。</w:t>
            </w:r>
          </w:p>
          <w:p>
            <w:pPr>
              <w:pStyle w:val="null3"/>
              <w:ind w:firstLine="48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软件维护：提供主机软件维护，配合采购方升级更新软件的安全性或功能性；所有提供的升级软件须为正版软件，投标时需提供厂家软件版权证书；保修期内，</w:t>
            </w:r>
            <w:r>
              <w:rPr>
                <w:rFonts w:ascii="仿宋_GB2312" w:hAnsi="仿宋_GB2312" w:cs="仿宋_GB2312" w:eastAsia="仿宋_GB2312"/>
                <w:sz w:val="21"/>
                <w:color w:val="000000"/>
              </w:rPr>
              <w:t>必须</w:t>
            </w:r>
            <w:r>
              <w:rPr>
                <w:rFonts w:ascii="仿宋_GB2312" w:hAnsi="仿宋_GB2312" w:cs="仿宋_GB2312" w:eastAsia="仿宋_GB2312"/>
                <w:sz w:val="21"/>
                <w:color w:val="000000"/>
              </w:rPr>
              <w:t>纠正已被证实和重复出现的软件非功能性缺陷，并免费提供必要的软件补丁升级服务。</w:t>
            </w:r>
          </w:p>
          <w:p>
            <w:pPr>
              <w:pStyle w:val="null3"/>
              <w:ind w:firstLine="48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特殊服务：保证能提供加速管的更换，并提供两家以上国内成功的维修案例</w:t>
            </w:r>
            <w:r>
              <w:rPr>
                <w:rFonts w:ascii="仿宋_GB2312" w:hAnsi="仿宋_GB2312" w:cs="仿宋_GB2312" w:eastAsia="仿宋_GB2312"/>
                <w:sz w:val="21"/>
                <w:color w:val="000000"/>
              </w:rPr>
              <w:t>。</w:t>
            </w:r>
          </w:p>
          <w:p>
            <w:pPr>
              <w:pStyle w:val="null3"/>
              <w:ind w:firstLine="480"/>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、响应及开机率要求</w:t>
            </w:r>
          </w:p>
          <w:p>
            <w:pPr>
              <w:pStyle w:val="null3"/>
              <w:ind w:firstLine="48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响应时间：用户维修服务响应</w:t>
            </w:r>
            <w:r>
              <w:rPr>
                <w:rFonts w:ascii="仿宋_GB2312" w:hAnsi="仿宋_GB2312" w:cs="仿宋_GB2312" w:eastAsia="仿宋_GB2312"/>
                <w:sz w:val="21"/>
                <w:color w:val="000000"/>
              </w:rPr>
              <w:t>≤半小时，到场≤24小时；提供24小时×365天在线电话技术支持，30分钟内做出回应。</w:t>
            </w:r>
          </w:p>
          <w:p>
            <w:pPr>
              <w:pStyle w:val="null3"/>
              <w:ind w:firstLine="48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故障修复：如电话无法解决问题，工程师应在</w:t>
            </w:r>
            <w:r>
              <w:rPr>
                <w:rFonts w:ascii="仿宋_GB2312" w:hAnsi="仿宋_GB2312" w:cs="仿宋_GB2312" w:eastAsia="仿宋_GB2312"/>
                <w:sz w:val="21"/>
                <w:color w:val="000000"/>
              </w:rPr>
              <w:t>24小时内携带相关工具及必要备件到达现场；一般故障在工程师到达现场后24小时内修复，特殊故障修复时间不超过72小时；如遇备件故障，免费提供备件，</w:t>
            </w:r>
            <w:r>
              <w:rPr>
                <w:rFonts w:ascii="仿宋_GB2312" w:hAnsi="仿宋_GB2312" w:cs="仿宋_GB2312" w:eastAsia="仿宋_GB2312"/>
                <w:sz w:val="21"/>
                <w:color w:val="000000"/>
              </w:rPr>
              <w:t>直至</w:t>
            </w:r>
            <w:r>
              <w:rPr>
                <w:rFonts w:ascii="仿宋_GB2312" w:hAnsi="仿宋_GB2312" w:cs="仿宋_GB2312" w:eastAsia="仿宋_GB2312"/>
                <w:sz w:val="21"/>
                <w:color w:val="000000"/>
              </w:rPr>
              <w:t>设备正常运行</w:t>
            </w:r>
            <w:r>
              <w:rPr>
                <w:rFonts w:ascii="仿宋_GB2312" w:hAnsi="仿宋_GB2312" w:cs="仿宋_GB2312" w:eastAsia="仿宋_GB2312"/>
                <w:sz w:val="21"/>
                <w:color w:val="000000"/>
              </w:rPr>
              <w:t>。</w:t>
            </w:r>
          </w:p>
          <w:p>
            <w:pPr>
              <w:pStyle w:val="null3"/>
              <w:ind w:firstLine="48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开机率保证：年度开机率</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5</w:t>
            </w:r>
            <w:r>
              <w:rPr>
                <w:rFonts w:ascii="仿宋_GB2312" w:hAnsi="仿宋_GB2312" w:cs="仿宋_GB2312" w:eastAsia="仿宋_GB2312"/>
                <w:sz w:val="21"/>
                <w:color w:val="000000"/>
              </w:rPr>
              <w:t>%，若未达约定开机率，每低于标准1%（不足1%按1%计算），合同服务期限相应延长5个日历日或每超过一自然天保修延长2天。</w:t>
            </w:r>
          </w:p>
          <w:p>
            <w:pPr>
              <w:pStyle w:val="null3"/>
              <w:jc w:val="left"/>
            </w:pPr>
            <w:r>
              <w:rPr>
                <w:rFonts w:ascii="仿宋_GB2312" w:hAnsi="仿宋_GB2312" w:cs="仿宋_GB2312" w:eastAsia="仿宋_GB2312"/>
                <w:sz w:val="21"/>
                <w:color w:val="000000"/>
              </w:rPr>
              <w:t>四</w:t>
            </w:r>
            <w:r>
              <w:rPr>
                <w:rFonts w:ascii="仿宋_GB2312" w:hAnsi="仿宋_GB2312" w:cs="仿宋_GB2312" w:eastAsia="仿宋_GB2312"/>
                <w:sz w:val="21"/>
                <w:color w:val="000000"/>
              </w:rPr>
              <w:t>、备件相关要求</w:t>
            </w:r>
          </w:p>
          <w:p>
            <w:pPr>
              <w:pStyle w:val="null3"/>
              <w:ind w:firstLine="48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备件质量：所有零部件必须为与原型号一致、经过原厂认证并测试合格的全新配件，技术参数符合设备原厂要求，安装完毕后达到设备运行标准（进口备件需提供备件报关证明及原厂证明文件）。</w:t>
            </w:r>
          </w:p>
          <w:p>
            <w:pPr>
              <w:pStyle w:val="null3"/>
              <w:ind w:firstLine="48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备件储备：</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需</w:t>
            </w:r>
            <w:r>
              <w:rPr>
                <w:rFonts w:ascii="仿宋_GB2312" w:hAnsi="仿宋_GB2312" w:cs="仿宋_GB2312" w:eastAsia="仿宋_GB2312"/>
                <w:sz w:val="21"/>
                <w:color w:val="000000"/>
              </w:rPr>
              <w:t>具</w:t>
            </w:r>
            <w:r>
              <w:rPr>
                <w:rFonts w:ascii="仿宋_GB2312" w:hAnsi="仿宋_GB2312" w:cs="仿宋_GB2312" w:eastAsia="仿宋_GB2312"/>
                <w:sz w:val="21"/>
                <w:color w:val="000000"/>
              </w:rPr>
              <w:t>有专业、充足的设备零备件仓库，需提供零备件仓库</w:t>
            </w:r>
            <w:r>
              <w:rPr>
                <w:rFonts w:ascii="仿宋_GB2312" w:hAnsi="仿宋_GB2312" w:cs="仿宋_GB2312" w:eastAsia="仿宋_GB2312"/>
                <w:sz w:val="21"/>
                <w:color w:val="000000"/>
              </w:rPr>
              <w:t>证明材料（包括但不限于场地照片、租房协议、购销清单）。</w:t>
            </w:r>
          </w:p>
          <w:p>
            <w:pPr>
              <w:pStyle w:val="null3"/>
              <w:jc w:val="left"/>
            </w:pPr>
            <w:r>
              <w:rPr>
                <w:rFonts w:ascii="仿宋_GB2312" w:hAnsi="仿宋_GB2312" w:cs="仿宋_GB2312" w:eastAsia="仿宋_GB2312"/>
                <w:sz w:val="21"/>
                <w:color w:val="000000"/>
              </w:rPr>
              <w:t>五、培训要求</w:t>
            </w:r>
          </w:p>
          <w:p>
            <w:pPr>
              <w:pStyle w:val="null3"/>
              <w:ind w:firstLine="480"/>
              <w:jc w:val="left"/>
            </w:pPr>
            <w:r>
              <w:rPr>
                <w:rFonts w:ascii="仿宋_GB2312" w:hAnsi="仿宋_GB2312" w:cs="仿宋_GB2312" w:eastAsia="仿宋_GB2312"/>
                <w:sz w:val="21"/>
                <w:color w:val="000000"/>
              </w:rPr>
              <w:t>提供现场、远程操作和维修技术原厂培训，保证使用人员正常操作设备的各种功能。</w:t>
            </w:r>
          </w:p>
          <w:p>
            <w:pPr>
              <w:pStyle w:val="null3"/>
              <w:jc w:val="left"/>
            </w:pPr>
            <w:r>
              <w:rPr>
                <w:rFonts w:ascii="仿宋_GB2312" w:hAnsi="仿宋_GB2312" w:cs="仿宋_GB2312" w:eastAsia="仿宋_GB2312"/>
                <w:sz w:val="21"/>
                <w:color w:val="000000"/>
              </w:rPr>
              <w:t>六、其他</w:t>
            </w:r>
          </w:p>
          <w:p>
            <w:pPr>
              <w:pStyle w:val="null3"/>
              <w:ind w:firstLine="48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、甲方有权自行采购配件。</w:t>
            </w:r>
          </w:p>
          <w:p>
            <w:pPr>
              <w:pStyle w:val="null3"/>
              <w:ind w:firstLine="48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、遵守数据保密安全规定，不得泄露甲方医疗数据。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满足项目人员配备要求。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根据项目实际情况提供实施设备。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质量：符合国家、行业要求，达到合格标准。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合同签订后，开具对应金额的发票后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合同履行满6个月，开具对应金额的发票后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①采购人及供应商双方必须遵守采购合同并执行合同中的各项规定，保证采购合同的正常履行。任何一方违约给对方造成的直接损失均负有赔偿责任，对方均有权视情况要求对方继续履行合同或提出解除合同。 ②如因供应商在履行过程中的疏忽、失职、过错等故意或者过失原因给采购人造成损失或侵害，包括但不限于采购人本身的财产损失、由此而导致的采购人对任何第三方的法律责任等，供应商对此均应承担全部的赔偿责任。 ③如供应商提交的成果达不到相关质量要求或未按采购人时间进度安排完成成果或最终为通过消防验收，采购人有权扣除合同支付金额和提出解除合同。 （2）争议解决办法 ①采购人及供应商双方就采购合同所产生的任何争议都应该进行友好协商，协商解决不成的，任何一方均可向项目所在地法院申请诉讼。 ②诉讼费应由败诉方承担。 ③在诉讼期间，除正在进行诉讼的部分外，合同其他部分继续执行。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因本项目为不见面开标，供应商无需在开标现场提交纸质响应文件，待采购结果发布后3个工作日内由中标供应商向代理机构提交纸质版响应文件以便于存档，响应文件包括:正本一份、副本二份，电子版U盘二份 (含响应文件全部内容)。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面推行政府采购供应商基本资格条件承诺制的通知》（汉财办采管【2024】20号）文件要求，供应商无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服务内容及服务邀请应答表 供应商应提交的相关资格证明材料.docx 中小企业声明函 残疾人福利性单位声明函 商务应答表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响应文件是否按磋商文件要求签署、盖章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标的清单 报价表 响应函 项目服务实施方案.docx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响应文件报价唯一，且没有高于项目预算</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供应商提供2023年1月1日以来完成的类似项目业绩，每提供一个得2.5分，最高得5分。（提供完整的合同协议书原件或加盖公章的复印件）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技术评审满分30分，磋商响应文件完全响应磋商文件技术要求、无负偏离的得基准满分；技术条款每存在一项负偏离扣2分，扣完本项分值为止；若存在正偏离，供应商须同步提供有效佐证材料，经评审小组审核，确属于正偏离的，每项正偏离加1分，本项得分最高不超过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供应商需针对本项目制定完善的人员配置方案，包含①人员资质与岗位匹配度、②人员配置数量与排班计划、③人员管理与保障措施。方案合理完善，每项计3分，最高计9分，若上述内容存在缺陷，每项每出现一处缺陷扣1分，每项最多扣3分。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维修响应方案</w:t>
            </w:r>
          </w:p>
        </w:tc>
        <w:tc>
          <w:tcPr>
            <w:tcW w:type="dxa" w:w="2492"/>
          </w:tcPr>
          <w:p>
            <w:pPr>
              <w:pStyle w:val="null3"/>
            </w:pPr>
            <w:r>
              <w:rPr>
                <w:rFonts w:ascii="仿宋_GB2312" w:hAnsi="仿宋_GB2312" w:cs="仿宋_GB2312" w:eastAsia="仿宋_GB2312"/>
              </w:rPr>
              <w:t>供应商需针对本项目制定完善的维修响应方案，包含①响应时效与流程、②故障处理与技术支持、③应急保障与备用资源。方案合理完善，每项计3分，最高计9分，若上述内容存在缺陷，每项每出现一处缺陷扣1分，每项最多扣3分。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供应商需针对本项目制定完善的维保方案，包含①维保周期与内容、②维保标准与质量控制、③维保安全与风险防范。方案合理完善，每项计3分，最高计9分，若上述内容存在缺陷，每项每出现一处缺陷扣1分，每项最多扣3分。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供应商需针对本项目制定完善的项目管理方案，包含①组织架构与职责分工、②进度管理与沟通机制、③质量监督与投诉处理。方案合理完善，每项计3分，最高计9分，若上述内容存在缺陷，每项每出现一处缺陷扣1分，每项最多扣3分。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备件保障与资源储备方案</w:t>
            </w:r>
          </w:p>
        </w:tc>
        <w:tc>
          <w:tcPr>
            <w:tcW w:type="dxa" w:w="2492"/>
          </w:tcPr>
          <w:p>
            <w:pPr>
              <w:pStyle w:val="null3"/>
            </w:pPr>
            <w:r>
              <w:rPr>
                <w:rFonts w:ascii="仿宋_GB2312" w:hAnsi="仿宋_GB2312" w:cs="仿宋_GB2312" w:eastAsia="仿宋_GB2312"/>
              </w:rPr>
              <w:t>供应商需针对本项目制定完善的备件保障与资源储备方案，包含①关键备件库存与本地化储备、②备件采购渠道与供应时效、③备件质量与溯源管理。方案合理完善，每项计3分，最高计9分，若上述内容存在缺陷，每项每出现一处缺陷扣1分，每项最多扣 3 分。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服务承诺与增值服务</w:t>
            </w:r>
          </w:p>
        </w:tc>
        <w:tc>
          <w:tcPr>
            <w:tcW w:type="dxa" w:w="2492"/>
          </w:tcPr>
          <w:p>
            <w:pPr>
              <w:pStyle w:val="null3"/>
            </w:pPr>
            <w:r>
              <w:rPr>
                <w:rFonts w:ascii="仿宋_GB2312" w:hAnsi="仿宋_GB2312" w:cs="仿宋_GB2312" w:eastAsia="仿宋_GB2312"/>
              </w:rPr>
              <w:t>供应商需针对本项目提供明确的服务承诺与增值服务方案，包含①免费培训与技术支持服务、②优化改进与合理化建议。方案合理完善，每项计3分，最高计6分，若上述内容存在缺陷，每项每出现一处缺陷扣1分，每项最多扣3分。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保密承诺与信息安全保障方案</w:t>
            </w:r>
          </w:p>
        </w:tc>
        <w:tc>
          <w:tcPr>
            <w:tcW w:type="dxa" w:w="2492"/>
          </w:tcPr>
          <w:p>
            <w:pPr>
              <w:pStyle w:val="null3"/>
            </w:pPr>
            <w:r>
              <w:rPr>
                <w:rFonts w:ascii="仿宋_GB2312" w:hAnsi="仿宋_GB2312" w:cs="仿宋_GB2312" w:eastAsia="仿宋_GB2312"/>
              </w:rPr>
              <w:t>1、提供保密承诺的计1分； 2、供应商需针对本项目制定完善的保密承诺与信息安全保障方案，包含①患者隐私与医疗数据保密措施、②医院内部信息系统与设备数据安全防护、③维保人员保密管理与责任机制。方案合理完善，每项计1分，最高计3分，若上述内容存在缺陷，每项每出现一处缺陷扣0.5分，每项最多扣1分。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价格分采用低价优先法得算，即满足磋商文件要求且投标报价最低的报价为评标基准价，其价格分为满分。其他投标人的价格分统一按照下列公式得算：报价得分=(评标基准价／投标报价)×10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详见附件：项目服务实施方案.docx</w:t>
      </w:r>
    </w:p>
    <w:p>
      <w:pPr>
        <w:pStyle w:val="null3"/>
        <w:ind w:firstLine="960"/>
      </w:pPr>
      <w:r>
        <w:rPr>
          <w:rFonts w:ascii="仿宋_GB2312" w:hAnsi="仿宋_GB2312" w:cs="仿宋_GB2312" w:eastAsia="仿宋_GB2312"/>
        </w:rPr>
        <w:t>详见附件：类似业绩.docx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