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B4573">
      <w:pPr>
        <w:spacing w:line="480" w:lineRule="auto"/>
        <w:jc w:val="center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陕西铁路工程职业技术学院</w:t>
      </w:r>
    </w:p>
    <w:p w14:paraId="60BAF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center"/>
        <w:textAlignment w:val="auto"/>
        <w:rPr>
          <w:rFonts w:hint="default" w:ascii="Times New Roman" w:hAnsi="Times New Roman" w:eastAsia="仿宋_GB2312" w:cs="Times New Roman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2026年暑期粉刷项目合同</w:t>
      </w:r>
    </w:p>
    <w:p w14:paraId="61B77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甲方：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ab/>
      </w:r>
    </w:p>
    <w:p w14:paraId="2D1D4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乙方：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ab/>
      </w:r>
    </w:p>
    <w:p w14:paraId="59B25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按照《中华人民共和国民法典》的规定，结合本工程具体情况及该工程竞争性磋商文件要求，甲、乙双方经过协商，签订以下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合同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</w:p>
    <w:p w14:paraId="1DBF2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一、工程内容及要求</w:t>
      </w:r>
    </w:p>
    <w:p w14:paraId="54994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1.粉刷区域：临渭校区教学楼和高新校区教学楼教室共计352间，临渭校区学生公寓宿舍和高新校区学生公寓宿舍共计546间，两校区对应粉刷宿舍楼层的公共区域，具体粉刷面积见工程量清单。</w:t>
      </w:r>
    </w:p>
    <w:p w14:paraId="3D2A3E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2.进行墙面铲除及修补基层，刮腻子不少于2遍，喷涂前打磨平整，2遍乳胶漆。</w:t>
      </w:r>
    </w:p>
    <w:p w14:paraId="7DBE9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3.粉刷颜色均与墙面原有颜色保持一致。</w:t>
      </w:r>
    </w:p>
    <w:p w14:paraId="71907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.粉刷的乳胶漆品牌为市场一线品牌，需经甲方认质后使用。且所有主材、辅材要有出厂合格证及相关检测报告，材料每次进场前必须经甲方相关人员验收。进场后如需对主材进行取样送检复试，相关费用由乙方承担。</w:t>
      </w:r>
    </w:p>
    <w:p w14:paraId="37236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5.工序严格执行招标文件相关要求，每一道工序结束后必须经甲方相关人员验收，验收合格后才可进行下一道工序，且每道工序必须留有相关影像和文字资料。</w:t>
      </w:r>
    </w:p>
    <w:p w14:paraId="4AC14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6.施工完成后，必须将宿舍楼内、教学楼内打扫干净，垃圾运出校外。所有设施设备回归原位，检查宿舍楼内、教学楼内灯具、插座、风扇、开关、空调等，如有损坏或松动现象，必须进行更换或维修。</w:t>
      </w:r>
    </w:p>
    <w:p w14:paraId="00E45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7.遵守学院规章制度，做到文明施工、安全施工。</w:t>
      </w:r>
    </w:p>
    <w:p w14:paraId="5B839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8.参加竣工验收，编制工程结算，提交甲方审定。</w:t>
      </w:r>
    </w:p>
    <w:p w14:paraId="1A72D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9.做好竣工资料的整理归档工作，竣工前交完整资料两套。</w:t>
      </w:r>
    </w:p>
    <w:p w14:paraId="1E052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10.完成工程质量保修期内的维修任务，质保期为从竣工验收之日起两年。质保期内出现质量问题，乙方须在接到甲方通知48小时内到场维修，否则甲方可自行或委托第三方处理，相关费用由乙方承担。</w:t>
      </w:r>
    </w:p>
    <w:p w14:paraId="26AE2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11.施工时注意做好周边警示和防护。供应商必须对其现场人员、设备及财产的安全负责。高空作业人员须持证上岗。在施工及材料的运输等过程中发生的一切人身安全、财产损失、损害、意外事故及对第三方造成的损失，均由中标人承担，发包方不承担任何经济及连带责任。</w:t>
      </w:r>
    </w:p>
    <w:p w14:paraId="229AC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12.如实际情况确不能完成施工的，须经发包方同意变更方案后，方能实施，设计变更产生的费用由乙方承担。</w:t>
      </w:r>
    </w:p>
    <w:p w14:paraId="7E9A3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13.做好竣工资料的整理归档工作，竣工前交完整资料两套。施工完成后须提交竣工全部资料。做好竣工资料的整理归档工作，承包人提交的竣工资料的内容包括但不限于：施工文件、现场文件、竣工图、验收文件等档案资料。竣工归档资料应齐全、完整，图物相符、技术数据可靠、签字、盖章手续完备。</w:t>
      </w:r>
    </w:p>
    <w:p w14:paraId="1FD37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本项目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需执行的国家相关标准、行业标准、地方标准或者其他标准、规范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包含但不限于以下规范：</w:t>
      </w:r>
    </w:p>
    <w:p w14:paraId="72B24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（1）《油漆与粉刷作业安全规范》AQ 5205-2008</w:t>
      </w:r>
    </w:p>
    <w:p w14:paraId="24E61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（2）《印刷企业粉尘防爆安全规程》T/CPF 0050-2022</w:t>
      </w:r>
    </w:p>
    <w:p w14:paraId="47362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（3）《全装修住宅室内装饰装修工程验收标准》DB22/T 5126-2022</w:t>
      </w:r>
    </w:p>
    <w:p w14:paraId="62895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、该工程项目的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文件、响应文件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视为本合同的重要组成部分，与本合同同具法律效力。</w:t>
      </w:r>
    </w:p>
    <w:p w14:paraId="69AD0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二、合同价款与工期</w:t>
      </w:r>
    </w:p>
    <w:p w14:paraId="7854B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1.合同价格形式：总价合同（包工包料），最终结算以实际的工程量结算。（附工程量清单报价）</w:t>
      </w:r>
    </w:p>
    <w:p w14:paraId="38301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2.合同总价（含税）：人民币（大写）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元整（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元）。（附2026年暑期粉刷项目费用清单表）</w:t>
      </w:r>
    </w:p>
    <w:p w14:paraId="558B8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注明：甲乙双方约定费用清单表中综合单价四舍五入保留两位小数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。</w:t>
      </w:r>
    </w:p>
    <w:p w14:paraId="0D412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、合同单价包括但不限于产品的报价所发生的：人工费、设备费（主材及辅材，材质要求符合国家相关标准及采购人要求）、机械费、包装、运输、仓储、保管、保险、装卸（卸货至采购人指定地点）规费、税金、利润、运杂费（含保险）、现场安装费、调试费、维保期内的维保费用、措施费、垃圾清运费用、检测费、市场价格风险、社会干扰因素排除费、知识版权费用、政府关于监测、技术监督、执法、质量监督等相关职能部门手续办理相关费用等在内的一切费用。</w:t>
      </w:r>
    </w:p>
    <w:p w14:paraId="0E91F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、工期：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下发通知单后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开始施工，2026年8月20日前完工。</w:t>
      </w:r>
    </w:p>
    <w:p w14:paraId="56A02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三、工程质量及验收标准</w:t>
      </w:r>
    </w:p>
    <w:p w14:paraId="5DECE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1、主材：腻子粉、石膏、乳胶漆。</w:t>
      </w:r>
    </w:p>
    <w:p w14:paraId="237EF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2、主材、辅材要有出厂合格证及相关检测报告，材料每次进场前必须经甲方相关人员验收。进场后如果对主材进行取样送检复试，相关费用由乙方承担。</w:t>
      </w:r>
    </w:p>
    <w:p w14:paraId="3EA11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3、工程质量等级：达到国家规范及行业要求标准，工程为合格工程。主材、辅材规格、品种必须符合施工规范及室内环保管规范要求。</w:t>
      </w:r>
    </w:p>
    <w:p w14:paraId="160D5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4、本项目整体质保期：验收合格之日起2年。</w:t>
      </w:r>
    </w:p>
    <w:p w14:paraId="30D2B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四、工程付款与审计</w:t>
      </w:r>
    </w:p>
    <w:p w14:paraId="56FBA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1、工程付款</w:t>
      </w:r>
    </w:p>
    <w:p w14:paraId="42AAB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（1）合同签订后，达到甲方付款条件起10个工作日内支付合同总金额的40%；</w:t>
      </w:r>
    </w:p>
    <w:p w14:paraId="05CFC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（2）项目完工经甲方验收合格且工程审计结算完成后，以工程审计最终价为结算金额，达到甲方付款条件起10个工作日内，支付剩余所有工程审计价金额。甲方付款前，乙方应先向甲方提供等额增值税专票，否则甲方有权暂不付款，且不影响乙方应继续履行合同义务。 </w:t>
      </w:r>
    </w:p>
    <w:p w14:paraId="5EAB2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（3）工程审价审减额在5%以上时，审计费用应由乙方承担；工程审价审减额在5%以内时（含5%），审计费用由甲方承担。</w:t>
      </w:r>
    </w:p>
    <w:p w14:paraId="6C5FE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、乙方须在工程付款前支付合同价0.4%的电费。</w:t>
      </w:r>
    </w:p>
    <w:p w14:paraId="3669D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3.履约保证金：乙方在与甲方签订合同前，须缴纳履约保证金；履约保证金金额为合同总价款的3% 。待验收合格后凭验收单和缴款收据，履约保证金一次性无息退还。</w:t>
      </w:r>
    </w:p>
    <w:p w14:paraId="7A2CE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开户名称：</w:t>
      </w:r>
    </w:p>
    <w:p w14:paraId="5CDCB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开户银行：</w:t>
      </w:r>
    </w:p>
    <w:p w14:paraId="44D5D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银行账号：</w:t>
      </w:r>
    </w:p>
    <w:p w14:paraId="7A916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仿宋" w:hAnsi="仿宋" w:eastAsia="仿宋" w:cs="仿宋"/>
          <w:b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备注信息：</w:t>
      </w:r>
    </w:p>
    <w:p w14:paraId="17A46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五、甲方责任</w:t>
      </w:r>
    </w:p>
    <w:p w14:paraId="0CF8A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1、对乙方进行施工现场交底。</w:t>
      </w:r>
    </w:p>
    <w:p w14:paraId="5F4F5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2、指定专人负责督促、协调、解决有关问题。</w:t>
      </w:r>
    </w:p>
    <w:p w14:paraId="430BB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3、对工程质量、进度进行监督检查。</w:t>
      </w:r>
    </w:p>
    <w:p w14:paraId="23EC7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4、在施工中如停水、停电或因不可抗拒的自然因素影响乙方施工时，工期相应顺延。</w:t>
      </w:r>
    </w:p>
    <w:p w14:paraId="0AB60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5、按合同规定及时支付工程款。</w:t>
      </w:r>
    </w:p>
    <w:p w14:paraId="101EAE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六、乙方责任</w:t>
      </w:r>
    </w:p>
    <w:p w14:paraId="66C35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、不得进行债权转让。</w:t>
      </w:r>
    </w:p>
    <w:p w14:paraId="18C83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、乙方所提供的材料规格、品种必须符合设计要求、施工规范和响应文件的约定，经甲方认质（不认价）后，方可使用。</w:t>
      </w:r>
    </w:p>
    <w:p w14:paraId="41422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3、施工过程中注意保护甲方设施，如有损坏照价赔偿；完工后将施工垃圾清理出校园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34E97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4、施工中人、财、物安全及外围关系由乙方负责。施工时注意做好周边警示和防护。施工方必须对其现场人员、设备及财产的安全负责。在施工及材料的运输等过程中发生的一切人身安全、财产损失、损害、意外事故及对第三方造成的损失，均由乙方承担，甲方不承担任何经济及连带责任。</w:t>
      </w:r>
    </w:p>
    <w:p w14:paraId="0AE435BF">
      <w:pPr>
        <w:spacing w:line="360" w:lineRule="auto"/>
        <w:ind w:firstLine="420" w:firstLineChars="175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隐蔽工程及其他各项施工严格按工序开展，各道工序必须经甲方的验收认可后方可进行下道工序，否则，甲方将不予认可。所导致的工期延长由乙方自行负责。</w:t>
      </w:r>
    </w:p>
    <w:p w14:paraId="2488E975">
      <w:pPr>
        <w:spacing w:line="360" w:lineRule="auto"/>
        <w:ind w:firstLine="420" w:firstLineChars="175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6、乙方应按甲方现场交底，进行施工安排，应标单位进场需确定项目负责人。乙方应精心组织施工，保质、保量、按期完成工程范围内的工作任务。</w:t>
      </w:r>
    </w:p>
    <w:p w14:paraId="7713537B">
      <w:pPr>
        <w:spacing w:line="360" w:lineRule="auto"/>
        <w:ind w:firstLine="420" w:firstLineChars="175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7、乙方在施工期间需做好对已有工程的保护，如有损坏，自行免费修补。施工完成后必须将现场打扫干净、垃圾运出校外。所有设施设备回归原位。</w:t>
      </w:r>
    </w:p>
    <w:p w14:paraId="3E266341">
      <w:pPr>
        <w:spacing w:line="360" w:lineRule="auto"/>
        <w:ind w:firstLine="420" w:firstLineChars="175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8、参加竣工验收，编制工程结算，提交甲方审定。</w:t>
      </w:r>
    </w:p>
    <w:p w14:paraId="7B99E859">
      <w:pPr>
        <w:spacing w:line="360" w:lineRule="auto"/>
        <w:ind w:firstLine="420" w:firstLineChars="175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9、乙方提交的竣工资料移交时间：初步验收之前完成组卷，竣工验收合格后30日内移交竣工资料。</w:t>
      </w:r>
    </w:p>
    <w:p w14:paraId="2EEEBBD1">
      <w:pPr>
        <w:spacing w:line="360" w:lineRule="auto"/>
        <w:ind w:firstLine="420" w:firstLineChars="175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10、乙方提交的竣工资料的费用由乙方承担。</w:t>
      </w:r>
    </w:p>
    <w:p w14:paraId="132E09AD">
      <w:pPr>
        <w:spacing w:line="360" w:lineRule="auto"/>
        <w:ind w:firstLine="420" w:firstLineChars="175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11、乙方应在规定时间内提交上述资料并经甲方检验合格有效。逾期提交的应当承担逾期违约金，因逾期造成甲方损失的，应当承担赔偿责任。</w:t>
      </w:r>
    </w:p>
    <w:p w14:paraId="010866D5">
      <w:pPr>
        <w:spacing w:line="360" w:lineRule="auto"/>
        <w:ind w:firstLine="420" w:firstLineChars="175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12、完成工程质量保修期内的维修任务，质保期为从竣工验收之日起两年。质保期内出现质量问题，乙方须在接到甲方通知48小时内到场维修，否则甲方可自行或委托第三方处理，相关费用由乙方承担。</w:t>
      </w:r>
    </w:p>
    <w:p w14:paraId="4CBD70B0">
      <w:pPr>
        <w:spacing w:line="360" w:lineRule="auto"/>
        <w:ind w:firstLine="420" w:firstLineChars="175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13、乙方负责照管工程及工程相关的材料、工程设备的起始时间：自甲方向乙方移交施工现场之日起，乙方应负责照管工程及工程相关的材料、工程设备，直到工程竣工验收合格之日止。</w:t>
      </w:r>
    </w:p>
    <w:p w14:paraId="3ACE005C">
      <w:pPr>
        <w:spacing w:line="360" w:lineRule="auto"/>
        <w:ind w:firstLine="420" w:firstLineChars="175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14、隐蔽工程及其他各项施工严格按工序开展，各道工序必须经甲方和监理单位的验收认可后方可进行下道工序，否则，甲方将不予认可。所导致的工期延长由乙方自行负责。</w:t>
      </w:r>
    </w:p>
    <w:p w14:paraId="3EEED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15、</w:t>
      </w:r>
      <w:r>
        <w:rPr>
          <w:rFonts w:hint="default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超过地面2米属高空作业，高空施工作业人员必须持有高空作业证，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乙方</w:t>
      </w:r>
      <w:r>
        <w:rPr>
          <w:rFonts w:hint="default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须为其购买相应保险，作业时严格遵守《建筑施工高处作业安全技术规范》，并做好所有安全保护措施。</w:t>
      </w:r>
    </w:p>
    <w:p w14:paraId="29BF9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16、乙方须保证工人身体健康，没有感染传染性疾病，并做好工人防护工作。按照甲方要求进出校园并服从甲方后勤安保处管理。</w:t>
      </w:r>
    </w:p>
    <w:p w14:paraId="0A641A58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17、乙方施工过程中如对市政和校园的绿化、道路等既有设施造成破坏的，需恢复至原状，费用自理。</w:t>
      </w:r>
    </w:p>
    <w:p w14:paraId="61504FE8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18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、因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原因造成工期推迟，不能按时交付使用，按1000元/天进行处罚。</w:t>
      </w:r>
    </w:p>
    <w:p w14:paraId="7CCB00AB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19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、现场所有施工工艺环节均需严格按照规范要求进行施工，不得随意减少、调整、变更工序、做法，未施作或未按标准进行施作的，甲方将按2000元/次进行处罚并扣减相关工程量和费用。</w:t>
      </w:r>
    </w:p>
    <w:p w14:paraId="2F732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在施工过程中应服从甲方代表下发的现场指令，若无故不服从或者拖延不整改的，视情节轻重处以1000元/次（或天）的罚款。</w:t>
      </w:r>
    </w:p>
    <w:p w14:paraId="3571E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21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、未能及时支付农民工工资造成工期延误和恶劣影响的，工期不予顺延，如发生围堵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或影响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正常办公时，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有权对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处以1万元/次（或天）的处罚；若类似事件发生超过2次，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有权解除合同并扣除已完成工程量20%的工程款。</w:t>
      </w:r>
    </w:p>
    <w:p w14:paraId="79E46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22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、工程质量验收若一次性达不到规范要求，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必须返工以达到约定的质量标准，返工费用由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承担；若返工后仍达不到约定的质量标准，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继续完善该部分工程直至合格，同时处以该分部分项工程造价5%的罚款；若造成永久质量缺陷但不影响正常使用时处以该分部分项工程造价20%-50%的罚款。</w:t>
      </w:r>
    </w:p>
    <w:p w14:paraId="1B4B3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23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、如甲方在工程交付使用后，发现工程存在质量问题或乙方未按图纸及规范要求进行施工的，乙方须免费维修，同时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保留对乙方追诉、处罚等权利。</w:t>
      </w:r>
    </w:p>
    <w:p w14:paraId="721A9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24、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不得将本项目挂靠、分包、转包。</w:t>
      </w:r>
    </w:p>
    <w:p w14:paraId="1CA5D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、协议争端解决</w:t>
      </w:r>
    </w:p>
    <w:p w14:paraId="5FB86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本合同在履行期间，双方发生争议时，双方可采取协商解决，协商不成时，可向甲方所在地人民法院起诉。</w:t>
      </w:r>
    </w:p>
    <w:p w14:paraId="4D54A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、协议生效与终止</w:t>
      </w:r>
    </w:p>
    <w:p w14:paraId="067FD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1、本协议未尽事宜，双方可另行协商解决。</w:t>
      </w:r>
    </w:p>
    <w:p w14:paraId="169A0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2、本合同一式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份，甲方执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份，乙方执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份。各方签字盖章后生效，合同执行完毕自动失效。（合同的服务承诺则长期有效）。</w:t>
      </w:r>
    </w:p>
    <w:p w14:paraId="71E21599">
      <w:pPr>
        <w:pStyle w:val="2"/>
      </w:pPr>
    </w:p>
    <w:tbl>
      <w:tblPr>
        <w:tblStyle w:val="3"/>
        <w:tblW w:w="9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854"/>
      </w:tblGrid>
      <w:tr w14:paraId="60943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0101F">
            <w:pP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甲  方</w:t>
            </w: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：</w:t>
            </w:r>
          </w:p>
          <w:p w14:paraId="66493E47">
            <w:pPr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（盖章）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E2BEC">
            <w:pP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乙  方</w:t>
            </w: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仿宋" w:cs="Times New Roman"/>
                <w:sz w:val="24"/>
                <w:highlight w:val="none"/>
                <w:lang w:val="en-US" w:eastAsia="zh-CN"/>
              </w:rPr>
              <w:t xml:space="preserve"> </w:t>
            </w:r>
          </w:p>
          <w:p w14:paraId="26E49878">
            <w:pPr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（盖章）</w:t>
            </w:r>
          </w:p>
        </w:tc>
      </w:tr>
      <w:tr w14:paraId="0A9AB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C5E0B">
            <w:pP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地址：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FBA2F">
            <w:pP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地址：</w:t>
            </w:r>
          </w:p>
        </w:tc>
      </w:tr>
      <w:tr w14:paraId="42FBE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0EBDB">
            <w:pP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邮编：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ED495">
            <w:pPr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邮编：</w:t>
            </w:r>
          </w:p>
        </w:tc>
      </w:tr>
      <w:tr w14:paraId="6B964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EA330">
            <w:pPr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法定代表人</w:t>
            </w: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：（签字</w:t>
            </w: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/盖章</w:t>
            </w: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）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99C29">
            <w:pPr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法定代表人：（签字</w:t>
            </w: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/盖章</w:t>
            </w: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）</w:t>
            </w:r>
          </w:p>
        </w:tc>
      </w:tr>
      <w:tr w14:paraId="14905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DBA76">
            <w:pP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电话：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0A70D">
            <w:pP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电话：</w:t>
            </w:r>
            <w:r>
              <w:rPr>
                <w:rFonts w:hint="eastAsia" w:ascii="Times New Roman" w:hAnsi="Times New Roman" w:eastAsia="仿宋" w:cs="Times New Roman"/>
                <w:sz w:val="24"/>
                <w:highlight w:val="none"/>
                <w:lang w:val="en-US" w:eastAsia="zh-CN"/>
              </w:rPr>
              <w:t xml:space="preserve"> </w:t>
            </w:r>
          </w:p>
        </w:tc>
      </w:tr>
      <w:tr w14:paraId="684BD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2D9BD">
            <w:pP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纳税人识别号：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46FF9">
            <w:pPr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纳税人识别号：</w:t>
            </w:r>
            <w:r>
              <w:rPr>
                <w:rFonts w:hint="eastAsia" w:ascii="Times New Roman" w:hAnsi="Times New Roman" w:eastAsia="仿宋" w:cs="Times New Roman"/>
                <w:sz w:val="24"/>
                <w:highlight w:val="none"/>
                <w:lang w:val="en-US" w:eastAsia="zh-CN"/>
              </w:rPr>
              <w:t xml:space="preserve"> </w:t>
            </w:r>
          </w:p>
        </w:tc>
      </w:tr>
      <w:tr w14:paraId="36D97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BD688">
            <w:pP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开户银行：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E77A3">
            <w:pPr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开户银行：</w:t>
            </w:r>
            <w:r>
              <w:rPr>
                <w:rFonts w:hint="eastAsia" w:ascii="Times New Roman" w:hAnsi="Times New Roman" w:eastAsia="仿宋" w:cs="Times New Roman"/>
                <w:sz w:val="24"/>
                <w:highlight w:val="none"/>
                <w:lang w:val="en-US" w:eastAsia="zh-CN"/>
              </w:rPr>
              <w:t xml:space="preserve"> </w:t>
            </w:r>
          </w:p>
        </w:tc>
      </w:tr>
      <w:tr w14:paraId="78B10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17D42">
            <w:pP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账号: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2099">
            <w:pPr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en-US" w:eastAsia="zh-CN"/>
              </w:rPr>
              <w:t>账号：</w:t>
            </w:r>
            <w:r>
              <w:rPr>
                <w:rFonts w:hint="eastAsia" w:ascii="Times New Roman" w:hAnsi="Times New Roman" w:eastAsia="仿宋" w:cs="Times New Roman"/>
                <w:sz w:val="24"/>
                <w:highlight w:val="none"/>
                <w:lang w:val="en-US" w:eastAsia="zh-CN"/>
              </w:rPr>
              <w:t xml:space="preserve"> </w:t>
            </w:r>
          </w:p>
        </w:tc>
      </w:tr>
      <w:tr w14:paraId="183F7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3A594">
            <w:pPr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日期：  年   月   日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A3AE2">
            <w:pPr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日期：  年   月   日</w:t>
            </w:r>
          </w:p>
        </w:tc>
      </w:tr>
    </w:tbl>
    <w:p w14:paraId="3316E259">
      <w:r>
        <w:br w:type="page"/>
      </w:r>
    </w:p>
    <w:p w14:paraId="43A24ABE">
      <w:pPr>
        <w:spacing w:line="312" w:lineRule="auto"/>
        <w:jc w:val="center"/>
        <w:rPr>
          <w:rFonts w:hint="default" w:ascii="Times New Roman" w:hAnsi="Times New Roman" w:eastAsia="宋体" w:cs="Times New Roman"/>
          <w:b/>
          <w:color w:val="000000"/>
          <w:sz w:val="32"/>
          <w:szCs w:val="32"/>
          <w:highlight w:val="none"/>
        </w:rPr>
      </w:pPr>
    </w:p>
    <w:p w14:paraId="6BF6896C">
      <w:pPr>
        <w:spacing w:line="312" w:lineRule="auto"/>
        <w:jc w:val="center"/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</w:rPr>
        <w:t>安全施工承诺</w:t>
      </w:r>
    </w:p>
    <w:p w14:paraId="3461E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我公司承担陕西铁路工程职业技术学院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2026年暑期粉刷项目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。我公司承诺在该工程施工过程中做到：</w:t>
      </w:r>
    </w:p>
    <w:p w14:paraId="69C21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作业时严格遵守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施工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作业安全技术规范，并做好所有安全保护措施，保证施工人员及第三方人员安全。在操作及材料运输等过程中发生一切人身安全、财产损失、损害、意外伤害及第三方造成的损失，均由我方负全责，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学校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不承担任何连带责任。</w:t>
      </w:r>
    </w:p>
    <w:p w14:paraId="3A0A0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以上我方安全承诺，是自愿做出的保证，发生一切责任事故，由我方全部承担。</w:t>
      </w:r>
    </w:p>
    <w:p w14:paraId="658B50F6">
      <w:pPr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</w:p>
    <w:p w14:paraId="00BFB786">
      <w:pPr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承诺人 ：</w:t>
      </w:r>
    </w:p>
    <w:p w14:paraId="7F371563">
      <w:pPr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单位（公章）：</w:t>
      </w:r>
    </w:p>
    <w:p w14:paraId="7D2FE537">
      <w:pPr>
        <w:ind w:firstLine="4760" w:firstLineChars="1700"/>
      </w:pP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  <w:highlight w:val="none"/>
          <w:u w:val="none"/>
        </w:rPr>
        <w:t>年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  <w:highlight w:val="none"/>
          <w:u w:val="none"/>
          <w:lang w:val="en-US" w:eastAsia="zh-CN"/>
        </w:rPr>
        <w:t xml:space="preserve">    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  <w:highlight w:val="none"/>
          <w:u w:val="none"/>
        </w:rPr>
        <w:t>月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  <w:highlight w:val="none"/>
          <w:u w:val="none"/>
          <w:lang w:val="en-US" w:eastAsia="zh-CN"/>
        </w:rPr>
        <w:t xml:space="preserve">    </w:t>
      </w:r>
      <w:r>
        <w:rPr>
          <w:rFonts w:hint="default" w:ascii="Times New Roman" w:hAnsi="Times New Roman" w:eastAsia="方正仿宋_GB2312" w:cs="Times New Roman"/>
          <w:color w:val="000000"/>
          <w:sz w:val="28"/>
          <w:szCs w:val="28"/>
          <w:highlight w:val="none"/>
          <w:u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51C66C7-302B-45F9-A49C-FFF9039E617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300EB65-AA97-41DA-B79D-31B6E45EC0D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A43"/>
    <w:rsid w:val="00502A43"/>
    <w:rsid w:val="63AB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3892</Words>
  <Characters>4009</Characters>
  <Lines>0</Lines>
  <Paragraphs>0</Paragraphs>
  <TotalTime>0</TotalTime>
  <ScaleCrop>false</ScaleCrop>
  <LinksUpToDate>false</LinksUpToDate>
  <CharactersWithSpaces>4076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2026-07-03T11:03:00Z</dcterms:created>
  <dc:creator>叶子</dc:creator>
  <cp:lastModifiedBy>叶子</cp:lastModifiedBy>
  <dcterms:modified xsi:type="dcterms:W3CDTF">2026-07-09T04:11:51Z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6C2DD74280894C589C9BD2726997E849_11</vt:lpwstr>
  </property>
  <property fmtid="{D5CDD505-2E9C-101B-9397-08002B2CF9AE}" pid="4" name="KSOTemplateDocerSaveRecord">
    <vt:lpwstr>eyJoZGlkIjoiZjE1YjQ4NWY2MWE2Y2ZiNzE4NTU1MjQ3YTY1ZWQwZjAiLCJ1c2VySWQiOiIzMjkyNDM1OTcifQ==</vt:lpwstr>
  </property>
</Properties>
</file>