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版本号：SDZC2026-12020260806001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宿管及保洁服务项目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SDZC2026-120</w:t>
      </w:r>
      <w:r>
        <w:br/>
      </w:r>
      <w:r>
        <w:br/>
      </w:r>
      <w:r>
        <w:br/>
      </w:r>
    </w:p>
    <w:p>
      <w:pPr>
        <w:pStyle w:val="null3"/>
        <w:jc w:val="center"/>
        <w:outlineLvl w:val="2"/>
      </w:pPr>
      <w:r>
        <w:rPr>
          <w:rFonts w:ascii="仿宋_GB2312" w:hAnsi="仿宋_GB2312" w:cs="仿宋_GB2312" w:eastAsia="仿宋_GB2312"/>
          <w:sz w:val="28"/>
          <w:b/>
        </w:rPr>
        <w:t>蒲城县尧山中学</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蒲城县尧山中学</w:t>
      </w:r>
      <w:r>
        <w:rPr>
          <w:rFonts w:ascii="仿宋_GB2312" w:hAnsi="仿宋_GB2312" w:cs="仿宋_GB2312" w:eastAsia="仿宋_GB2312"/>
        </w:rPr>
        <w:t>委托，拟对</w:t>
      </w:r>
      <w:r>
        <w:rPr>
          <w:rFonts w:ascii="仿宋_GB2312" w:hAnsi="仿宋_GB2312" w:cs="仿宋_GB2312" w:eastAsia="仿宋_GB2312"/>
        </w:rPr>
        <w:t>宿管及保洁服务项目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SDZC2026-120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宿管及保洁服务项目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宿管及保洁服务项目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采购包1（宿管及保洁服务项目）：属于专门面向中小企业采购。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银⾏出具的资信证明或政府采购信用担保机构出具的担保函；</w:t>
      </w:r>
    </w:p>
    <w:p>
      <w:pPr>
        <w:pStyle w:val="null3"/>
      </w:pPr>
      <w:r>
        <w:rPr>
          <w:rFonts w:ascii="仿宋_GB2312" w:hAnsi="仿宋_GB2312" w:cs="仿宋_GB2312" w:eastAsia="仿宋_GB2312"/>
        </w:rPr>
        <w:t>3、税收缴纳证明：税收缴纳证明：提供2025年7月至今任意一个月的税收缴纳凭据（增值税、企业所得税至少提供一种，依法免税的供应商应提供相关文件证明）；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4、社会保障资金缴纳证明：社会保障资金缴纳证明：提供2026年1月至今任意一个月的社保缴纳凭据或社保机构开具的社会保险参保缴纳情况证明（依法不需要缴纳社会保障资金的供应商应提供相关证明）；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式样见文件格式)；</w:t>
      </w:r>
    </w:p>
    <w:p>
      <w:pPr>
        <w:pStyle w:val="null3"/>
      </w:pPr>
      <w:r>
        <w:rPr>
          <w:rFonts w:ascii="仿宋_GB2312" w:hAnsi="仿宋_GB2312" w:cs="仿宋_GB2312" w:eastAsia="仿宋_GB2312"/>
        </w:rPr>
        <w:t>8、磋商保证金交纳凭证或担保函：磋商保证金交纳凭证或担保函（磋商保证金交纳凭证为银行凭证及基本账户证明资料，担保函为政府采购信用担保机构出具）；</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采购人在“信用中国”网站和中国政府采购网站进行查询，截图留档；如网站无供应商信息的，供应商须提供相关证明资料或书面声明且附在磋商响应文件中）；</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此项在投标截止日当天由采购人在“国家企业信用信息公示系统”进行查询，截图留档；如网站无供应商信息的，供应商须提供相关证明资料或书面声明且附在磋商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蒲城县尧山中学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蒲城县尧山街西段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张鹏林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13892360117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开户银行：中国建设银行股份有限公司西安武警路支行</w:t>
            </w:r>
          </w:p>
          <w:p>
            <w:pPr>
              <w:pStyle w:val="null3"/>
            </w:pPr>
            <w:r>
              <w:rPr>
                <w:rFonts w:ascii="仿宋_GB2312" w:hAnsi="仿宋_GB2312" w:cs="仿宋_GB2312" w:eastAsia="仿宋_GB2312"/>
              </w:rPr>
              <w:t>银行账号：61050174740000001626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财务部联系方式： 029-86673953、86518381、89299829、89293231 转814或813 备注：投标人在汇款时须注明项目编号+项目简称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蒲城县尧山中学</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蒲城县尧山中学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蒲城县尧山中学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联系人：宋芳芳、王涛、魏蕾</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宿管及保洁服务项目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宿管及保洁服务项目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标的名称：宿管及保洁服务项目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本项目为我校学生公寓管理及校园公共区域保洁服务项目，服务范围包含学生公寓楼、实验公寓楼、综合楼、高一二教学楼、实验教学楼、教师休息室、公共卫生间及校园垃圾转运等区域。中标单位须派驻足额固定人员驻校服务，专人专岗、定岗定责，不得缺岗、空岗、减岗，全面配合学校后勤管理、德育管理及日常考核工作。</w:t>
            </w:r>
          </w:p>
          <w:p>
            <w:pPr>
              <w:pStyle w:val="null3"/>
            </w:pPr>
            <w:r>
              <w:rPr>
                <w:rFonts w:ascii="仿宋_GB2312" w:hAnsi="仿宋_GB2312" w:cs="仿宋_GB2312" w:eastAsia="仿宋_GB2312"/>
              </w:rPr>
              <w:t>二、项目固定人员配置要求</w:t>
            </w:r>
          </w:p>
          <w:p>
            <w:pPr>
              <w:pStyle w:val="null3"/>
            </w:pPr>
            <w:r>
              <w:rPr>
                <w:rFonts w:ascii="仿宋_GB2312" w:hAnsi="仿宋_GB2312" w:cs="仿宋_GB2312" w:eastAsia="仿宋_GB2312"/>
              </w:rPr>
              <w:t>本项目服务人员固定编制共计26人，投标人员配置数量低于以下标准视为无效投标。</w:t>
            </w:r>
          </w:p>
          <w:p>
            <w:pPr>
              <w:pStyle w:val="null3"/>
            </w:pPr>
            <w:r>
              <w:rPr>
                <w:rFonts w:ascii="仿宋_GB2312" w:hAnsi="仿宋_GB2312" w:cs="仿宋_GB2312" w:eastAsia="仿宋_GB2312"/>
              </w:rPr>
              <w:t>（一）公寓管理岗位（共计17名）</w:t>
            </w:r>
          </w:p>
          <w:p>
            <w:pPr>
              <w:pStyle w:val="null3"/>
            </w:pPr>
            <w:r>
              <w:rPr>
                <w:rFonts w:ascii="仿宋_GB2312" w:hAnsi="仿宋_GB2312" w:cs="仿宋_GB2312" w:eastAsia="仿宋_GB2312"/>
              </w:rPr>
              <w:t>1.高一高二男女生公寓楼（2栋10层）：管理员10名</w:t>
            </w:r>
          </w:p>
          <w:p>
            <w:pPr>
              <w:pStyle w:val="null3"/>
            </w:pPr>
            <w:r>
              <w:rPr>
                <w:rFonts w:ascii="仿宋_GB2312" w:hAnsi="仿宋_GB2312" w:cs="仿宋_GB2312" w:eastAsia="仿宋_GB2312"/>
              </w:rPr>
              <w:t>负责两栋十层学生公寓24小时全天候值守，负责学生入住登记、门禁管控、出入核查、早晚查寝、作息纪律管控、内务检查评比、宿舍卫生督导、晚归、夜不归宿排查登记上报、违规电器及危险品排查、水电安全巡查、楼栋秩序管理、学生矛盾调解、日常台账记录、宿舍报修对接、突发事件第一时间处置及上报等全套公寓管理工作。</w:t>
            </w:r>
          </w:p>
          <w:p>
            <w:pPr>
              <w:pStyle w:val="null3"/>
            </w:pPr>
            <w:r>
              <w:rPr>
                <w:rFonts w:ascii="仿宋_GB2312" w:hAnsi="仿宋_GB2312" w:cs="仿宋_GB2312" w:eastAsia="仿宋_GB2312"/>
              </w:rPr>
              <w:t>2.高三男女生公寓楼（2栋9层）：管理员4名</w:t>
            </w:r>
          </w:p>
          <w:p>
            <w:pPr>
              <w:pStyle w:val="null3"/>
            </w:pPr>
            <w:r>
              <w:rPr>
                <w:rFonts w:ascii="仿宋_GB2312" w:hAnsi="仿宋_GB2312" w:cs="仿宋_GB2312" w:eastAsia="仿宋_GB2312"/>
              </w:rPr>
              <w:t>负责高三公寓封闭式专项管理，严格落实高三作息管理、夜间高频巡查、静音管控、纪律严管、重点学生跟踪管理，全力保障高三住宿安全、安静、稳定，配合学校高三备考管理工作。</w:t>
            </w:r>
          </w:p>
          <w:p>
            <w:pPr>
              <w:pStyle w:val="null3"/>
            </w:pPr>
            <w:r>
              <w:rPr>
                <w:rFonts w:ascii="仿宋_GB2312" w:hAnsi="仿宋_GB2312" w:cs="仿宋_GB2312" w:eastAsia="仿宋_GB2312"/>
              </w:rPr>
              <w:t>3.实验班男女生公寓楼（2栋）：管理员2名</w:t>
            </w:r>
          </w:p>
          <w:p>
            <w:pPr>
              <w:pStyle w:val="null3"/>
            </w:pPr>
            <w:r>
              <w:rPr>
                <w:rFonts w:ascii="仿宋_GB2312" w:hAnsi="仿宋_GB2312" w:cs="仿宋_GB2312" w:eastAsia="仿宋_GB2312"/>
              </w:rPr>
              <w:t>负责实验公寓日常查寝、出入管理、安全巡查、内务督导、住宿纪律管理、卫生监督、问题台账记录、日常住宿服务管理。</w:t>
            </w:r>
          </w:p>
          <w:p>
            <w:pPr>
              <w:pStyle w:val="null3"/>
            </w:pPr>
            <w:r>
              <w:rPr>
                <w:rFonts w:ascii="仿宋_GB2312" w:hAnsi="仿宋_GB2312" w:cs="仿宋_GB2312" w:eastAsia="仿宋_GB2312"/>
              </w:rPr>
              <w:t>4.公寓管理安全员：1名</w:t>
            </w:r>
          </w:p>
          <w:p>
            <w:pPr>
              <w:pStyle w:val="null3"/>
            </w:pPr>
            <w:r>
              <w:rPr>
                <w:rFonts w:ascii="仿宋_GB2312" w:hAnsi="仿宋_GB2312" w:cs="仿宋_GB2312" w:eastAsia="仿宋_GB2312"/>
              </w:rPr>
              <w:t>负责全校公寓消防安全排查、用电安全隐患排查、设施设备安全检查、违禁品专项清查、安全台账整理归档、安全宣传教育、应急协助处置、隐患整改跟踪落实等公寓专项安全工作。</w:t>
            </w:r>
          </w:p>
          <w:p>
            <w:pPr>
              <w:pStyle w:val="null3"/>
            </w:pPr>
            <w:r>
              <w:rPr>
                <w:rFonts w:ascii="仿宋_GB2312" w:hAnsi="仿宋_GB2312" w:cs="仿宋_GB2312" w:eastAsia="仿宋_GB2312"/>
              </w:rPr>
              <w:t>（二）卫生保洁岗位（共计8名）</w:t>
            </w:r>
          </w:p>
          <w:p>
            <w:pPr>
              <w:pStyle w:val="null3"/>
            </w:pPr>
            <w:r>
              <w:rPr>
                <w:rFonts w:ascii="仿宋_GB2312" w:hAnsi="仿宋_GB2312" w:cs="仿宋_GB2312" w:eastAsia="仿宋_GB2312"/>
              </w:rPr>
              <w:t>1.综合楼保洁：2名</w:t>
            </w:r>
          </w:p>
          <w:p>
            <w:pPr>
              <w:pStyle w:val="null3"/>
            </w:pPr>
            <w:r>
              <w:rPr>
                <w:rFonts w:ascii="仿宋_GB2312" w:hAnsi="仿宋_GB2312" w:cs="仿宋_GB2312" w:eastAsia="仿宋_GB2312"/>
              </w:rPr>
              <w:t>负责综合楼大厅、楼道、楼梯、走廊、公共窗台、公共区域地面清洁、垃圾清运、污渍清理、卫生间保洁维护。</w:t>
            </w:r>
          </w:p>
          <w:p>
            <w:pPr>
              <w:pStyle w:val="null3"/>
            </w:pPr>
            <w:r>
              <w:rPr>
                <w:rFonts w:ascii="仿宋_GB2312" w:hAnsi="仿宋_GB2312" w:cs="仿宋_GB2312" w:eastAsia="仿宋_GB2312"/>
              </w:rPr>
              <w:t>2.实验教学楼保洁：1名</w:t>
            </w:r>
          </w:p>
          <w:p>
            <w:pPr>
              <w:pStyle w:val="null3"/>
            </w:pPr>
            <w:r>
              <w:rPr>
                <w:rFonts w:ascii="仿宋_GB2312" w:hAnsi="仿宋_GB2312" w:cs="仿宋_GB2312" w:eastAsia="仿宋_GB2312"/>
              </w:rPr>
              <w:t>负责实验教学楼公共区域、楼道、楼梯、走廊日常清扫、保洁、垃圾清理及卫生间保洁维护。</w:t>
            </w:r>
          </w:p>
          <w:p>
            <w:pPr>
              <w:pStyle w:val="null3"/>
            </w:pPr>
            <w:r>
              <w:rPr>
                <w:rFonts w:ascii="仿宋_GB2312" w:hAnsi="仿宋_GB2312" w:cs="仿宋_GB2312" w:eastAsia="仿宋_GB2312"/>
              </w:rPr>
              <w:t>3.高一二教学楼保洁：2名</w:t>
            </w:r>
          </w:p>
          <w:p>
            <w:pPr>
              <w:pStyle w:val="null3"/>
            </w:pPr>
            <w:r>
              <w:rPr>
                <w:rFonts w:ascii="仿宋_GB2312" w:hAnsi="仿宋_GB2312" w:cs="仿宋_GB2312" w:eastAsia="仿宋_GB2312"/>
              </w:rPr>
              <w:t>负责高一二楼教学公共区域楼道、楼梯、走廊的日常清扫及卫生间保洁维护。</w:t>
            </w:r>
          </w:p>
          <w:p>
            <w:pPr>
              <w:pStyle w:val="null3"/>
            </w:pPr>
            <w:r>
              <w:rPr>
                <w:rFonts w:ascii="仿宋_GB2312" w:hAnsi="仿宋_GB2312" w:cs="仿宋_GB2312" w:eastAsia="仿宋_GB2312"/>
              </w:rPr>
              <w:t>4.实验楼及教师休息室保洁：1名</w:t>
            </w:r>
          </w:p>
          <w:p>
            <w:pPr>
              <w:pStyle w:val="null3"/>
            </w:pPr>
            <w:r>
              <w:rPr>
                <w:rFonts w:ascii="仿宋_GB2312" w:hAnsi="仿宋_GB2312" w:cs="仿宋_GB2312" w:eastAsia="仿宋_GB2312"/>
              </w:rPr>
              <w:t>负责实验楼公共区域、走廊、楼梯及教师休息室清洁、一周保洁一次。</w:t>
            </w:r>
          </w:p>
          <w:p>
            <w:pPr>
              <w:pStyle w:val="null3"/>
            </w:pPr>
            <w:r>
              <w:rPr>
                <w:rFonts w:ascii="仿宋_GB2312" w:hAnsi="仿宋_GB2312" w:cs="仿宋_GB2312" w:eastAsia="仿宋_GB2312"/>
              </w:rPr>
              <w:t>5.校园公厕保洁：1名</w:t>
            </w:r>
          </w:p>
          <w:p>
            <w:pPr>
              <w:pStyle w:val="null3"/>
            </w:pPr>
            <w:r>
              <w:rPr>
                <w:rFonts w:ascii="仿宋_GB2312" w:hAnsi="仿宋_GB2312" w:cs="仿宋_GB2312" w:eastAsia="仿宋_GB2312"/>
              </w:rPr>
              <w:t>负责校园公共卫生间清扫、冲洗、除臭、消杀辅助、垃圾清理、常态化保洁，确保无异味、无污渍、无积水。</w:t>
            </w:r>
          </w:p>
          <w:p>
            <w:pPr>
              <w:pStyle w:val="null3"/>
            </w:pPr>
            <w:r>
              <w:rPr>
                <w:rFonts w:ascii="仿宋_GB2312" w:hAnsi="仿宋_GB2312" w:cs="仿宋_GB2312" w:eastAsia="仿宋_GB2312"/>
              </w:rPr>
              <w:t>6.垃圾转运工：1名</w:t>
            </w:r>
          </w:p>
          <w:p>
            <w:pPr>
              <w:pStyle w:val="null3"/>
            </w:pPr>
            <w:r>
              <w:rPr>
                <w:rFonts w:ascii="仿宋_GB2312" w:hAnsi="仿宋_GB2312" w:cs="仿宋_GB2312" w:eastAsia="仿宋_GB2312"/>
              </w:rPr>
              <w:t>负责全校各区域生活垃圾定点收集、分类、转运、垃圾桶清洗保洁、垃圾日产日清，校园散落垃圾巡查清理。</w:t>
            </w:r>
          </w:p>
          <w:p>
            <w:pPr>
              <w:pStyle w:val="null3"/>
            </w:pPr>
            <w:r>
              <w:rPr>
                <w:rFonts w:ascii="仿宋_GB2312" w:hAnsi="仿宋_GB2312" w:cs="仿宋_GB2312" w:eastAsia="仿宋_GB2312"/>
              </w:rPr>
              <w:t>（三）项目现场管理岗位（1名）</w:t>
            </w:r>
          </w:p>
          <w:p>
            <w:pPr>
              <w:pStyle w:val="null3"/>
            </w:pPr>
            <w:r>
              <w:rPr>
                <w:rFonts w:ascii="仿宋_GB2312" w:hAnsi="仿宋_GB2312" w:cs="仿宋_GB2312" w:eastAsia="仿宋_GB2312"/>
              </w:rPr>
              <w:t>配置现场专职管理员1名，常驻学校，全面统筹管理全体宿管、保洁人员，负责日常考勤、岗位调度、服务质量督查、校方对接、问题整改、资料汇总、日常事务管理，保障整体服务质量达标。</w:t>
            </w:r>
          </w:p>
          <w:p>
            <w:pPr>
              <w:pStyle w:val="null3"/>
            </w:pPr>
            <w:r>
              <w:rPr>
                <w:rFonts w:ascii="仿宋_GB2312" w:hAnsi="仿宋_GB2312" w:cs="仿宋_GB2312" w:eastAsia="仿宋_GB2312"/>
              </w:rPr>
              <w:t>四、人员配置汇总</w:t>
            </w:r>
          </w:p>
          <w:p>
            <w:pPr>
              <w:pStyle w:val="null3"/>
            </w:pPr>
            <w:r>
              <w:rPr>
                <w:rFonts w:ascii="仿宋_GB2312" w:hAnsi="仿宋_GB2312" w:cs="仿宋_GB2312" w:eastAsia="仿宋_GB2312"/>
              </w:rPr>
              <w:t>1.公寓管理人员：17名</w:t>
            </w:r>
          </w:p>
          <w:p>
            <w:pPr>
              <w:pStyle w:val="null3"/>
            </w:pPr>
            <w:r>
              <w:rPr>
                <w:rFonts w:ascii="仿宋_GB2312" w:hAnsi="仿宋_GB2312" w:cs="仿宋_GB2312" w:eastAsia="仿宋_GB2312"/>
              </w:rPr>
              <w:t>2.保洁从业人员：8名</w:t>
            </w:r>
          </w:p>
          <w:p>
            <w:pPr>
              <w:pStyle w:val="null3"/>
            </w:pPr>
            <w:r>
              <w:rPr>
                <w:rFonts w:ascii="仿宋_GB2312" w:hAnsi="仿宋_GB2312" w:cs="仿宋_GB2312" w:eastAsia="仿宋_GB2312"/>
              </w:rPr>
              <w:t>3.现场专职管理人员：1名</w:t>
            </w:r>
          </w:p>
          <w:p>
            <w:pPr>
              <w:pStyle w:val="null3"/>
            </w:pPr>
            <w:r>
              <w:rPr>
                <w:rFonts w:ascii="仿宋_GB2312" w:hAnsi="仿宋_GB2312" w:cs="仿宋_GB2312" w:eastAsia="仿宋_GB2312"/>
              </w:rPr>
              <w:t>合计固定在岗人员：26名</w:t>
            </w:r>
          </w:p>
          <w:p>
            <w:pPr>
              <w:pStyle w:val="null3"/>
            </w:pPr>
            <w:r>
              <w:rPr>
                <w:rFonts w:ascii="仿宋_GB2312" w:hAnsi="仿宋_GB2312" w:cs="仿宋_GB2312" w:eastAsia="仿宋_GB2312"/>
              </w:rPr>
              <w:t>五、通用服务管理要求</w:t>
            </w:r>
          </w:p>
          <w:p>
            <w:pPr>
              <w:pStyle w:val="null3"/>
            </w:pPr>
            <w:r>
              <w:rPr>
                <w:rFonts w:ascii="仿宋_GB2312" w:hAnsi="仿宋_GB2312" w:cs="仿宋_GB2312" w:eastAsia="仿宋_GB2312"/>
              </w:rPr>
              <w:t>1.所有人员全年驻校服务，工作日、周末、节假日、寒暑假按学校要求正常在岗值守。</w:t>
            </w:r>
          </w:p>
          <w:p>
            <w:pPr>
              <w:pStyle w:val="null3"/>
            </w:pPr>
            <w:r>
              <w:rPr>
                <w:rFonts w:ascii="仿宋_GB2312" w:hAnsi="仿宋_GB2312" w:cs="仿宋_GB2312" w:eastAsia="仿宋_GB2312"/>
              </w:rPr>
              <w:t>2.所有从业人员身体健康、无传染病、无犯罪记录、无不良从业记录，统一着装、文明上岗、服从学校管理。</w:t>
            </w:r>
          </w:p>
          <w:p>
            <w:pPr>
              <w:pStyle w:val="null3"/>
            </w:pPr>
            <w:r>
              <w:rPr>
                <w:rFonts w:ascii="仿宋_GB2312" w:hAnsi="仿宋_GB2312" w:cs="仿宋_GB2312" w:eastAsia="仿宋_GB2312"/>
              </w:rPr>
              <w:t>3.中标单位须建立完善24小时值班制度、巡查制度、考勤制度、台账登记制度，资料完整可查。</w:t>
            </w:r>
          </w:p>
          <w:p>
            <w:pPr>
              <w:pStyle w:val="null3"/>
            </w:pPr>
            <w:r>
              <w:rPr>
                <w:rFonts w:ascii="仿宋_GB2312" w:hAnsi="仿宋_GB2312" w:cs="仿宋_GB2312" w:eastAsia="仿宋_GB2312"/>
              </w:rPr>
              <w:t>4.人员更换、调岗必须提前向学校报备，经校方同意后方可更换，严禁私自脱岗、空岗、换岗。</w:t>
            </w:r>
          </w:p>
          <w:p>
            <w:pPr>
              <w:pStyle w:val="null3"/>
            </w:pPr>
            <w:r>
              <w:rPr>
                <w:rFonts w:ascii="仿宋_GB2312" w:hAnsi="仿宋_GB2312" w:cs="仿宋_GB2312" w:eastAsia="仿宋_GB2312"/>
              </w:rPr>
              <w:t>5.所有服务接受学校日检、周检、月检考核，对检查问题须按时、保质完成整改闭环。</w:t>
            </w:r>
          </w:p>
          <w:p>
            <w:pPr>
              <w:pStyle w:val="null3"/>
            </w:pPr>
            <w:r>
              <w:rPr>
                <w:rFonts w:ascii="仿宋_GB2312" w:hAnsi="仿宋_GB2312" w:cs="仿宋_GB2312" w:eastAsia="仿宋_GB2312"/>
              </w:rPr>
              <w:t>注：以上内容为实质性要求，不得负偏离。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按项目要求配备。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三年（预算为一年的费用，当年考核合格，续签下一年合同）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蒲城县尧山中学院内。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符合磋商文件及合同要求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进度款，按月支付，每月月初按时结算上个月的费，供应商须开具增值税普通发票给采购人，达到付款条件起15个工作日内，支付合同总金额的8.3%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进度款，按月支付，每月月初按时结算上个月的费，供应商须开具增值税普通发票给采购人，达到付款条件起15个工作日内，支付合同总金额的8.3%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进度款，按月支付，每月月初按时结算上个月的费，供应商须开具增值税普通发票给采购人，达到付款条件起15个工作日内，支付合同总金额的8.3%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进度款，按月支付，每月月初按时结算上个月的费，供应商须开具增值税普通发票给采购人，达到付款条件起15个工作日内，支付合同总金额的8.3%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进度款，按月支付，每月月初按时结算上个月的费，供应商须开具增值税普通发票给采购人，达到付款条件起15个工作日内，支付合同总金额的8.3%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进度款，按月支付，每月月初按时结算上个月的费，供应商须开具增值税普通发票给采购人，达到付款条件起15个工作日内，支付合同总金额的8.3%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进度款，按月支付，每月月初按时结算上个月的费，供应商须开具增值税普通发票给采购人，达到付款条件起15个工作日内，支付合同总金额的8.3%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进度款，按月支付，每月月初按时结算上个月的费，供应商须开具增值税普通发票给采购人，达到付款条件起15个工作日内，支付合同总金额的8.3%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进度款，按月支付，每月月初按时结算上个月的费，供应商须开具增值税普通发票给采购人，达到付款条件起15个工作日内，支付合同总金额的8.3%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进度款，按月支付，每月月初按时结算上个月的费，供应商须开具增值税普通发票给采购人，达到付款条件起15个工作日内，支付合同总金额的8.3%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进度款，按月支付，每月月初按时结算上个月的费，供应商须开具增值税普通发票给采购人，达到付款条件起15个工作日内，支付合同总金额的8.3%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进度款，按月支付，每月月初按时结算上个月的费，供应商须开具增值税普通发票给采购人，达到付款条件起15个工作日内，支付合同总金额的8.7%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2.未按合同要求提供服务或服务质量不能满足采购人要求，采购人有权终止合同，并对供方违约行为进行追究，同时按《中华人民共和国政府采购法》的有关规定进行处罚。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退还保证金：1.1在投标截止时间前撤回已提交投标文件的投标人的投标保证金，将在招标代理机构收到投标人书面撤回通知之日起5个工作日内退还。1.2所有未中标人的投标保证金，将在中标通知书发出后5个工作日内退还。1.3中标人的投标保证金在签订合同后，执合同予以5个工作日内退还。2、中标人在领取中标通知书时，向采购代理机构提供一正两副纸质投标文件用于备案及档案保存（纸质投标文件采用书籍（胶装）方式装订成册，与电子投标文件一致的签字、盖章的完整版本（正本为红章，副本不作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银⾏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税收缴纳证明：提供2025年7月至今任意一个月的税收缴纳凭据（增值税、企业所得税至少提供一种，依法免税的供应商应提供相关文件证明）；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社会保障资金缴纳证明：提供2026年1月至今任意一个月的社保缴纳凭据或社保机构开具的社会保险参保缴纳情况证明（依法不需要缴纳社会保障资金的供应商应提供相关证明）；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式样见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磋商保证金交纳凭证或担保函（磋商保证金交纳凭证为银行凭证及基本账户证明资料，担保函为政府采购信用担保机构出具）；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采购人在“信用中国”网站和中国政府采购网站进行查询，截图留档；如网站无供应商信息的，供应商须提供相关证明资料或书面声明且附在磋商响应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投标截止日当天由采购人在“国家企业信用信息公示系统”进行查询，截图留档；如网站无供应商信息的，供应商须提供相关证明资料或书面声明且附在磋商响应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除明确允许供应商可以自行编写的外，磋商响应文件按照磋商文件给定的格式和要求编制。</w:t>
            </w:r>
          </w:p>
        </w:tc>
        <w:tc>
          <w:tcPr>
            <w:tcW w:type="dxa" w:w="1661"/>
          </w:tcPr>
          <w:p>
            <w:pPr>
              <w:pStyle w:val="null3"/>
            </w:pPr>
            <w:r>
              <w:rPr>
                <w:rFonts w:ascii="仿宋_GB2312" w:hAnsi="仿宋_GB2312" w:cs="仿宋_GB2312" w:eastAsia="仿宋_GB2312"/>
              </w:rPr>
              <w:t>响应文件封面 拒绝政府采购领域商业贿赂承诺书.docx 标的清单 分项报价（格式自拟）.docx 法定代表人授权委托书.docx 响应偏离表.docx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磋商响应文件按照磋商文件的要求盖章签字</w:t>
            </w:r>
          </w:p>
        </w:tc>
        <w:tc>
          <w:tcPr>
            <w:tcW w:type="dxa" w:w="1661"/>
          </w:tcPr>
          <w:p>
            <w:pPr>
              <w:pStyle w:val="null3"/>
            </w:pPr>
            <w:r>
              <w:rPr>
                <w:rFonts w:ascii="仿宋_GB2312" w:hAnsi="仿宋_GB2312" w:cs="仿宋_GB2312" w:eastAsia="仿宋_GB2312"/>
              </w:rPr>
              <w:t>响应文件封面 拒绝政府采购领域商业贿赂承诺书.docx 中小企业声明函 残疾人福利性单位声明函 标的清单 分项报价（格式自拟）.docx 响应偏离表.docx 法定代表人授权委托书.docx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标的清单 分项报价（格式自拟）.docx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法定代表人授权委托书.docx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对磋商文件商务要求作出明确且实质性响应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对磋商文件技术要求作出明确响应，对不得偏离的要求作出实质性响应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磋商文响应件未含有采购人不能接受的附加条件</w:t>
            </w:r>
          </w:p>
        </w:tc>
        <w:tc>
          <w:tcPr>
            <w:tcW w:type="dxa" w:w="1661"/>
          </w:tcPr>
          <w:p>
            <w:pPr>
              <w:pStyle w:val="null3"/>
            </w:pPr>
            <w:r>
              <w:rPr>
                <w:rFonts w:ascii="仿宋_GB2312" w:hAnsi="仿宋_GB2312" w:cs="仿宋_GB2312" w:eastAsia="仿宋_GB2312"/>
              </w:rPr>
              <w:t>投标人认为需要提供的其他资料.docx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法律、法规和磋商文件规定的其他无效投标情形。</w:t>
            </w:r>
          </w:p>
        </w:tc>
        <w:tc>
          <w:tcPr>
            <w:tcW w:type="dxa" w:w="1661"/>
          </w:tcPr>
          <w:p>
            <w:pPr>
              <w:pStyle w:val="null3"/>
            </w:pPr>
            <w:r>
              <w:rPr>
                <w:rFonts w:ascii="仿宋_GB2312" w:hAnsi="仿宋_GB2312" w:cs="仿宋_GB2312" w:eastAsia="仿宋_GB2312"/>
              </w:rPr>
              <w:t>投标人认为需要提供的其他资料.docx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评审得分相同的，业绩得分高者为第一成交候选人，若上述两项得分相同，现场专职管理人员得分高者为第一成交候选人，若上述得分均相同则由全体磋商小组成员无记名投票，得票高者为第一成交候选人。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以完整的合同形式提供供应商2022年1月1日至今类似项目业绩，每份计2分，计满10分为止；合同不完整的不计分。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现场专职管理人员1</w:t>
            </w:r>
          </w:p>
        </w:tc>
        <w:tc>
          <w:tcPr>
            <w:tcW w:type="dxa" w:w="2492"/>
          </w:tcPr>
          <w:p>
            <w:pPr>
              <w:pStyle w:val="null3"/>
            </w:pPr>
            <w:r>
              <w:rPr>
                <w:rFonts w:ascii="仿宋_GB2312" w:hAnsi="仿宋_GB2312" w:cs="仿宋_GB2312" w:eastAsia="仿宋_GB2312"/>
              </w:rPr>
              <w:t>现场专职管理人员具有大专学历的得2分；具有本科或以上学历的得4分。 注：提供相关证明材料及劳动合同证明，不提供或提供不全的均不计分。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现场专职管理人员.docx</w:t>
            </w:r>
          </w:p>
        </w:tc>
      </w:tr>
      <w:tr>
        <w:tc>
          <w:tcPr>
            <w:tcW w:type="dxa" w:w="831"/>
            <w:vMerge/>
          </w:tcPr>
          <w:p/>
        </w:tc>
        <w:tc>
          <w:tcPr>
            <w:tcW w:type="dxa" w:w="1661"/>
          </w:tcPr>
          <w:p>
            <w:pPr>
              <w:pStyle w:val="null3"/>
            </w:pPr>
            <w:r>
              <w:rPr>
                <w:rFonts w:ascii="仿宋_GB2312" w:hAnsi="仿宋_GB2312" w:cs="仿宋_GB2312" w:eastAsia="仿宋_GB2312"/>
              </w:rPr>
              <w:t>现场专职管理人员2</w:t>
            </w:r>
          </w:p>
        </w:tc>
        <w:tc>
          <w:tcPr>
            <w:tcW w:type="dxa" w:w="2492"/>
          </w:tcPr>
          <w:p>
            <w:pPr>
              <w:pStyle w:val="null3"/>
            </w:pPr>
            <w:r>
              <w:rPr>
                <w:rFonts w:ascii="仿宋_GB2312" w:hAnsi="仿宋_GB2312" w:cs="仿宋_GB2312" w:eastAsia="仿宋_GB2312"/>
              </w:rPr>
              <w:t>现场专职管理人员具有类似项目服务两年管理经验的得6分；每增加一年管理经验加2分，最多增加4分。满分10分。 注：须提供被服务单位加盖公章的证明材料，不提供或缺漏项不得分。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现场专职管理人员.docx</w:t>
            </w:r>
          </w:p>
        </w:tc>
      </w:tr>
      <w:tr>
        <w:tc>
          <w:tcPr>
            <w:tcW w:type="dxa" w:w="831"/>
            <w:vMerge/>
          </w:tcPr>
          <w:p/>
        </w:tc>
        <w:tc>
          <w:tcPr>
            <w:tcW w:type="dxa" w:w="1661"/>
          </w:tcPr>
          <w:p>
            <w:pPr>
              <w:pStyle w:val="null3"/>
            </w:pPr>
            <w:r>
              <w:rPr>
                <w:rFonts w:ascii="仿宋_GB2312" w:hAnsi="仿宋_GB2312" w:cs="仿宋_GB2312" w:eastAsia="仿宋_GB2312"/>
              </w:rPr>
              <w:t>拟派本项目人员1</w:t>
            </w:r>
          </w:p>
        </w:tc>
        <w:tc>
          <w:tcPr>
            <w:tcW w:type="dxa" w:w="2492"/>
          </w:tcPr>
          <w:p>
            <w:pPr>
              <w:pStyle w:val="null3"/>
            </w:pPr>
            <w:r>
              <w:rPr>
                <w:rFonts w:ascii="仿宋_GB2312" w:hAnsi="仿宋_GB2312" w:cs="仿宋_GB2312" w:eastAsia="仿宋_GB2312"/>
              </w:rPr>
              <w:t>拟派本项目人员身体健康和预防各种传染性疾病的证明计5分（包括但不限于有效的健康证等证明材料），未提供或提供不全的不计分。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拟派本项目人员.docx</w:t>
            </w:r>
          </w:p>
        </w:tc>
      </w:tr>
      <w:tr>
        <w:tc>
          <w:tcPr>
            <w:tcW w:type="dxa" w:w="831"/>
            <w:vMerge/>
          </w:tcPr>
          <w:p/>
        </w:tc>
        <w:tc>
          <w:tcPr>
            <w:tcW w:type="dxa" w:w="1661"/>
          </w:tcPr>
          <w:p>
            <w:pPr>
              <w:pStyle w:val="null3"/>
            </w:pPr>
            <w:r>
              <w:rPr>
                <w:rFonts w:ascii="仿宋_GB2312" w:hAnsi="仿宋_GB2312" w:cs="仿宋_GB2312" w:eastAsia="仿宋_GB2312"/>
              </w:rPr>
              <w:t>拟派本项目人员2</w:t>
            </w:r>
          </w:p>
        </w:tc>
        <w:tc>
          <w:tcPr>
            <w:tcW w:type="dxa" w:w="2492"/>
          </w:tcPr>
          <w:p>
            <w:pPr>
              <w:pStyle w:val="null3"/>
            </w:pPr>
            <w:r>
              <w:rPr>
                <w:rFonts w:ascii="仿宋_GB2312" w:hAnsi="仿宋_GB2312" w:cs="仿宋_GB2312" w:eastAsia="仿宋_GB2312"/>
              </w:rPr>
              <w:t>提供的拟派本项目人员年龄在55岁（含）以下的达到85%的计5分； 年龄在55岁（含）以下的达到65%的计3分；年龄在55岁（含）以下的达到50%的计1分；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拟派本项目人员.docx</w:t>
            </w:r>
          </w:p>
        </w:tc>
      </w:tr>
      <w:tr>
        <w:tc>
          <w:tcPr>
            <w:tcW w:type="dxa" w:w="831"/>
            <w:vMerge/>
          </w:tcPr>
          <w:p/>
        </w:tc>
        <w:tc>
          <w:tcPr>
            <w:tcW w:type="dxa" w:w="1661"/>
          </w:tcPr>
          <w:p>
            <w:pPr>
              <w:pStyle w:val="null3"/>
            </w:pPr>
            <w:r>
              <w:rPr>
                <w:rFonts w:ascii="仿宋_GB2312" w:hAnsi="仿宋_GB2312" w:cs="仿宋_GB2312" w:eastAsia="仿宋_GB2312"/>
              </w:rPr>
              <w:t>拟派本项目人员3</w:t>
            </w:r>
          </w:p>
        </w:tc>
        <w:tc>
          <w:tcPr>
            <w:tcW w:type="dxa" w:w="2492"/>
          </w:tcPr>
          <w:p>
            <w:pPr>
              <w:pStyle w:val="null3"/>
            </w:pPr>
            <w:r>
              <w:rPr>
                <w:rFonts w:ascii="仿宋_GB2312" w:hAnsi="仿宋_GB2312" w:cs="仿宋_GB2312" w:eastAsia="仿宋_GB2312"/>
              </w:rPr>
              <w:t>拟派本项目人员在需求基础上（26人），每增加一人计2分，计满10分为止。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拟派本项目人员.docx</w:t>
            </w:r>
          </w:p>
        </w:tc>
      </w:tr>
      <w:tr>
        <w:tc>
          <w:tcPr>
            <w:tcW w:type="dxa" w:w="831"/>
            <w:vMerge/>
          </w:tcPr>
          <w:p/>
        </w:tc>
        <w:tc>
          <w:tcPr>
            <w:tcW w:type="dxa" w:w="1661"/>
          </w:tcPr>
          <w:p>
            <w:pPr>
              <w:pStyle w:val="null3"/>
            </w:pPr>
            <w:r>
              <w:rPr>
                <w:rFonts w:ascii="仿宋_GB2312" w:hAnsi="仿宋_GB2312" w:cs="仿宋_GB2312" w:eastAsia="仿宋_GB2312"/>
              </w:rPr>
              <w:t>拟派本项目人员4</w:t>
            </w:r>
          </w:p>
        </w:tc>
        <w:tc>
          <w:tcPr>
            <w:tcW w:type="dxa" w:w="2492"/>
          </w:tcPr>
          <w:p>
            <w:pPr>
              <w:pStyle w:val="null3"/>
            </w:pPr>
            <w:r>
              <w:rPr>
                <w:rFonts w:ascii="仿宋_GB2312" w:hAnsi="仿宋_GB2312" w:cs="仿宋_GB2312" w:eastAsia="仿宋_GB2312"/>
              </w:rPr>
              <w:t>拟派本项目人员（公寓管理人员、保洁从业人员、现场专职管理人员共计26人）相关信息（列清单，包括但不限于姓名、年龄、性别、工作年限、岗位等）身份证复印件、劳动合同等相关证明材料，材料齐全的计4分，未提供或提供不全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拟派本项目人员.docx</w:t>
            </w:r>
          </w:p>
        </w:tc>
      </w:tr>
      <w:tr>
        <w:tc>
          <w:tcPr>
            <w:tcW w:type="dxa" w:w="831"/>
            <w:vMerge/>
          </w:tcPr>
          <w:p/>
        </w:tc>
        <w:tc>
          <w:tcPr>
            <w:tcW w:type="dxa" w:w="1661"/>
          </w:tcPr>
          <w:p>
            <w:pPr>
              <w:pStyle w:val="null3"/>
            </w:pPr>
            <w:r>
              <w:rPr>
                <w:rFonts w:ascii="仿宋_GB2312" w:hAnsi="仿宋_GB2312" w:cs="仿宋_GB2312" w:eastAsia="仿宋_GB2312"/>
              </w:rPr>
              <w:t>企业实力1</w:t>
            </w:r>
          </w:p>
        </w:tc>
        <w:tc>
          <w:tcPr>
            <w:tcW w:type="dxa" w:w="2492"/>
          </w:tcPr>
          <w:p>
            <w:pPr>
              <w:pStyle w:val="null3"/>
            </w:pPr>
            <w:r>
              <w:rPr>
                <w:rFonts w:ascii="仿宋_GB2312" w:hAnsi="仿宋_GB2312" w:cs="仿宋_GB2312" w:eastAsia="仿宋_GB2312"/>
              </w:rPr>
              <w:t>供应商具有ISO9001质量管理体系认证证书的计1分；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企业实力2</w:t>
            </w:r>
          </w:p>
        </w:tc>
        <w:tc>
          <w:tcPr>
            <w:tcW w:type="dxa" w:w="2492"/>
          </w:tcPr>
          <w:p>
            <w:pPr>
              <w:pStyle w:val="null3"/>
            </w:pPr>
            <w:r>
              <w:rPr>
                <w:rFonts w:ascii="仿宋_GB2312" w:hAnsi="仿宋_GB2312" w:cs="仿宋_GB2312" w:eastAsia="仿宋_GB2312"/>
              </w:rPr>
              <w:t>供应商具有ISO14001环境管理体系认证证书的计1分；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企业实力3</w:t>
            </w:r>
          </w:p>
        </w:tc>
        <w:tc>
          <w:tcPr>
            <w:tcW w:type="dxa" w:w="2492"/>
          </w:tcPr>
          <w:p>
            <w:pPr>
              <w:pStyle w:val="null3"/>
            </w:pPr>
            <w:r>
              <w:rPr>
                <w:rFonts w:ascii="仿宋_GB2312" w:hAnsi="仿宋_GB2312" w:cs="仿宋_GB2312" w:eastAsia="仿宋_GB2312"/>
              </w:rPr>
              <w:t>供应商具有ISO45001职业健康安全管理体系认证证书的计1分；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项目实施方案包括但不限于：①服务理念及服务管理目标；②服务整体计划；③服务内容及标准； 评审标准：内容全面详细、阐述条理清晰、具有针对性、合理可行得9分，每缺一项扣3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培训考核方案包括但不限于：①培训：针对不同的岗位职责、行为规范等方面制定培训方案；②考核：针对不同的岗位、制度及工作程序制定考核方案等。 评审标准：内容全面详细、阐述条理清晰、具有针对性、合理可行得6分，每缺一项扣3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培训考核方案.docx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包括但不限于：①问责机制；②监督机制；③自查制度；④员工日常管理办法；⑤请销假制度；⑥奖惩措施；⑦激励机制；⑧仪容仪表制度； 评审标准：内容全面详细、阐述条理清晰、具有针对性、合理可行得8分，每缺一项扣1分，每有一处内容存在缺陷扣0.5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应急管理制度</w:t>
            </w:r>
          </w:p>
        </w:tc>
        <w:tc>
          <w:tcPr>
            <w:tcW w:type="dxa" w:w="2492"/>
          </w:tcPr>
          <w:p>
            <w:pPr>
              <w:pStyle w:val="null3"/>
            </w:pPr>
            <w:r>
              <w:rPr>
                <w:rFonts w:ascii="仿宋_GB2312" w:hAnsi="仿宋_GB2312" w:cs="仿宋_GB2312" w:eastAsia="仿宋_GB2312"/>
              </w:rPr>
              <w:t>包括但不限于：①突发事件应急响应预案及突发事件处理原则；②突发事件处理方案；③突发事件处置流程；④快速反应的保障措施等。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应急管理制度.docx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包括但不限于：①基础服务质量承诺；②响应与处理时效承诺；③安全保障承诺；④责任与违约承诺等。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详见附件：分项报价（格式自拟）.docx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详见附件：拟派本项目人员.docx</w:t>
      </w:r>
    </w:p>
    <w:p>
      <w:pPr>
        <w:pStyle w:val="null3"/>
        <w:ind w:firstLine="960"/>
      </w:pPr>
      <w:r>
        <w:rPr>
          <w:rFonts w:ascii="仿宋_GB2312" w:hAnsi="仿宋_GB2312" w:cs="仿宋_GB2312" w:eastAsia="仿宋_GB2312"/>
        </w:rPr>
        <w:t>详见附件：培训考核方案.docx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详见附件：现场专职管理人员.docx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详见附件：应急管理制度.docx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 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