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版本号：CG-JMYC-2026-03420260509001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操场护坡及道路硬化项目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CG-JMYC-2026-034</w:t>
      </w:r>
      <w:r>
        <w:br/>
      </w:r>
      <w:r>
        <w:br/>
      </w:r>
      <w:r>
        <w:br/>
      </w:r>
    </w:p>
    <w:p>
      <w:pPr>
        <w:pStyle w:val="null3"/>
        <w:jc w:val="center"/>
        <w:outlineLvl w:val="2"/>
      </w:pPr>
      <w:r>
        <w:rPr>
          <w:rFonts w:ascii="仿宋_GB2312" w:hAnsi="仿宋_GB2312" w:cs="仿宋_GB2312" w:eastAsia="仿宋_GB2312"/>
          <w:sz w:val="28"/>
          <w:b/>
        </w:rPr>
        <w:t>西乡县高川镇初级中学</w:t>
      </w:r>
    </w:p>
    <w:p>
      <w:pPr>
        <w:pStyle w:val="null3"/>
        <w:jc w:val="center"/>
        <w:outlineLvl w:val="2"/>
      </w:pPr>
      <w:r>
        <w:rPr>
          <w:rFonts w:ascii="仿宋_GB2312" w:hAnsi="仿宋_GB2312" w:cs="仿宋_GB2312" w:eastAsia="仿宋_GB2312"/>
          <w:sz w:val="28"/>
          <w:b/>
        </w:rPr>
        <w:t>陕西金沐烨城项目管理有限公司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陕西金沐烨城项目管理有限公司</w:t>
      </w:r>
      <w:r>
        <w:rPr>
          <w:rFonts w:ascii="仿宋_GB2312" w:hAnsi="仿宋_GB2312" w:cs="仿宋_GB2312" w:eastAsia="仿宋_GB2312"/>
        </w:rPr>
        <w:t>（以下简称“代理机构”）受</w:t>
      </w:r>
      <w:r>
        <w:rPr>
          <w:rFonts w:ascii="仿宋_GB2312" w:hAnsi="仿宋_GB2312" w:cs="仿宋_GB2312" w:eastAsia="仿宋_GB2312"/>
        </w:rPr>
        <w:t>西乡县高川镇初级中学</w:t>
      </w:r>
      <w:r>
        <w:rPr>
          <w:rFonts w:ascii="仿宋_GB2312" w:hAnsi="仿宋_GB2312" w:cs="仿宋_GB2312" w:eastAsia="仿宋_GB2312"/>
        </w:rPr>
        <w:t>委托，拟对</w:t>
      </w:r>
      <w:r>
        <w:rPr>
          <w:rFonts w:ascii="仿宋_GB2312" w:hAnsi="仿宋_GB2312" w:cs="仿宋_GB2312" w:eastAsia="仿宋_GB2312"/>
        </w:rPr>
        <w:t>操场护坡及道路硬化项目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CG-JMYC-2026-034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操场护坡及道路硬化项目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斜坡道路硬化，操场塌陷区硬化，砖砌水沟，操场围墙,路灯，花池，混凝土挡墙浇筑等。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采购包1（操场护坡及道路硬化项目）：属于专门面向中小企业采购。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立承担民事责任能力的企业法人、事业法人、其他组织或自然人，提供营业执照（事业单位须事业单位法人证、组织机构代码证等证明文件；其他组织应提供合法证明文件、自然人提供身份证明文件）</w:t>
      </w:r>
    </w:p>
    <w:p>
      <w:pPr>
        <w:pStyle w:val="null3"/>
      </w:pPr>
      <w:r>
        <w:rPr>
          <w:rFonts w:ascii="仿宋_GB2312" w:hAnsi="仿宋_GB2312" w:cs="仿宋_GB2312" w:eastAsia="仿宋_GB2312"/>
        </w:rPr>
        <w:t>2、供应商资质要求：供应商具有建筑工程施工总承包三级以上（含三级）资质，具有有效的安全生产许可证；</w:t>
      </w:r>
    </w:p>
    <w:p>
      <w:pPr>
        <w:pStyle w:val="null3"/>
      </w:pPr>
      <w:r>
        <w:rPr>
          <w:rFonts w:ascii="仿宋_GB2312" w:hAnsi="仿宋_GB2312" w:cs="仿宋_GB2312" w:eastAsia="仿宋_GB2312"/>
        </w:rPr>
        <w:t>3、拟派项目负责人资质及专业要求：拟派项目负责人须具有建筑工程专业注册建造师二级（含二级）以上资格和安全生产考核合格B证，且无在建项目；</w:t>
      </w:r>
    </w:p>
    <w:p>
      <w:pPr>
        <w:pStyle w:val="null3"/>
      </w:pPr>
      <w:r>
        <w:rPr>
          <w:rFonts w:ascii="仿宋_GB2312" w:hAnsi="仿宋_GB2312" w:cs="仿宋_GB2312" w:eastAsia="仿宋_GB2312"/>
        </w:rPr>
        <w:t>4、磋商代表要求：供应商应授权合法的人员参加磋商，其中法定代表人直接参加的，须出具法定代表人身份证明书及法人身份证；授权代表参加的，须出具法定代表人授权书及被授权人身份证；</w:t>
      </w:r>
    </w:p>
    <w:p>
      <w:pPr>
        <w:pStyle w:val="null3"/>
      </w:pPr>
      <w:r>
        <w:rPr>
          <w:rFonts w:ascii="仿宋_GB2312" w:hAnsi="仿宋_GB2312" w:cs="仿宋_GB2312" w:eastAsia="仿宋_GB2312"/>
        </w:rPr>
        <w:t>5、政府采购供应商资格承诺函：供应商具有良好的商业信誉和健全的财务会计制度，具有履行合同所必需的设备和专业技术能力，具有依法缴纳税收和社会保障金的良好记录，参加本项目采购活动前三年内无重大违法活动记录。供应商未列入在信用中国网站“失信被执行人”、“重大税收违法案件当事人名单”中（www.creditchina.gov.cn），也未列入中国政府采购网“政府采购严重违法失信行为记录名单”中（www.ccgp.gov.cn），按照汉财办采管[2024]20号文件要求，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西乡县高川镇初级中学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陕西省汉中市西乡县高川镇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张荣刚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0916-6311998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陕西金沐烨城项目管理有限公司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陕西省汉中市汉台区陕西省汉中市汉台区汉中路街道办事处南关正街汉上第一街12幢办公楼19层1-4室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18392621855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华小平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0916-8151150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采购包1：719,879.88元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开户名称：陕西金沐烨城项目管理有限公司</w:t>
            </w:r>
          </w:p>
          <w:p>
            <w:pPr>
              <w:pStyle w:val="null3"/>
            </w:pPr>
            <w:r>
              <w:rPr>
                <w:rFonts w:ascii="仿宋_GB2312" w:hAnsi="仿宋_GB2312" w:cs="仿宋_GB2312" w:eastAsia="仿宋_GB2312"/>
              </w:rPr>
              <w:t>开户银行：中国银行汉中陕西理工大学支行</w:t>
            </w:r>
          </w:p>
          <w:p>
            <w:pPr>
              <w:pStyle w:val="null3"/>
            </w:pPr>
            <w:r>
              <w:rPr>
                <w:rFonts w:ascii="仿宋_GB2312" w:hAnsi="仿宋_GB2312" w:cs="仿宋_GB2312" w:eastAsia="仿宋_GB2312"/>
              </w:rPr>
              <w:t>银行账号：1033 1398 3701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参照《招标代理服务收费管理暂行办法》计价[2002]1980号和《国家发改委关于招标代理服务收费有关问题的通知》（发改办价格〔2003〕857号）文件标准计算。2、缴费采用银行转账方式一次性交纳。 开户名称：陕西金沐烨城项目管理有限公司 开户银行：中国工商银行股份有限公司汉中北团结街支行 银行账号：2606050309200192113</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西乡县高川镇初级中学</w:t>
      </w:r>
      <w:r>
        <w:rPr>
          <w:rFonts w:ascii="仿宋_GB2312" w:hAnsi="仿宋_GB2312" w:cs="仿宋_GB2312" w:eastAsia="仿宋_GB2312"/>
        </w:rPr>
        <w:t>和</w:t>
      </w:r>
      <w:r>
        <w:rPr>
          <w:rFonts w:ascii="仿宋_GB2312" w:hAnsi="仿宋_GB2312" w:cs="仿宋_GB2312" w:eastAsia="仿宋_GB2312"/>
        </w:rPr>
        <w:t>陕西金沐烨城项目管理有限公司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西乡县高川镇初级中学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陕西金沐烨城项目管理有限公司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西乡县高川镇初级中学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陕西金沐烨城项目管理有限公司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陕西金沐烨城项目管理有限公司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陕西金沐烨城项目管理有限公司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陕西金沐烨城项目管理有限公司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联系人：陈强</w:t>
      </w:r>
    </w:p>
    <w:p>
      <w:pPr>
        <w:pStyle w:val="null3"/>
      </w:pPr>
      <w:r>
        <w:rPr>
          <w:rFonts w:ascii="仿宋_GB2312" w:hAnsi="仿宋_GB2312" w:cs="仿宋_GB2312" w:eastAsia="仿宋_GB2312"/>
        </w:rPr>
        <w:t>联系电话：18392621855</w:t>
      </w:r>
    </w:p>
    <w:p>
      <w:pPr>
        <w:pStyle w:val="null3"/>
      </w:pPr>
      <w:r>
        <w:rPr>
          <w:rFonts w:ascii="仿宋_GB2312" w:hAnsi="仿宋_GB2312" w:cs="仿宋_GB2312" w:eastAsia="仿宋_GB2312"/>
        </w:rPr>
        <w:t>地址：陕西省汉中市汉台区南关正街汉上第一街12号楼19层</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719,879.88</w:t>
      </w:r>
    </w:p>
    <w:p>
      <w:pPr>
        <w:pStyle w:val="null3"/>
      </w:pPr>
      <w:r>
        <w:rPr>
          <w:rFonts w:ascii="仿宋_GB2312" w:hAnsi="仿宋_GB2312" w:cs="仿宋_GB2312" w:eastAsia="仿宋_GB2312"/>
        </w:rPr>
        <w:t>采购包最高限价（元）: 719,879.88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学校操场护坡及道路修复</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719,879.88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标的名称：学校操场护坡及道路修复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一、工程概况：</w:t>
            </w:r>
          </w:p>
          <w:p>
            <w:pPr>
              <w:pStyle w:val="null3"/>
            </w:pPr>
            <w:r>
              <w:rPr>
                <w:rFonts w:ascii="仿宋_GB2312" w:hAnsi="仿宋_GB2312" w:cs="仿宋_GB2312" w:eastAsia="仿宋_GB2312"/>
                <w:sz w:val="21"/>
              </w:rPr>
              <w:t>本工程建设地点位于西乡县高川镇，其中：</w:t>
            </w:r>
          </w:p>
          <w:p>
            <w:pPr>
              <w:pStyle w:val="null3"/>
            </w:pPr>
            <w:r>
              <w:rPr>
                <w:rFonts w:ascii="仿宋_GB2312" w:hAnsi="仿宋_GB2312" w:cs="仿宋_GB2312" w:eastAsia="仿宋_GB2312"/>
                <w:sz w:val="21"/>
              </w:rPr>
              <w:t>西乡县高川镇初级中学操场护坡及道路硬化项目主要建设内容：斜坡道路硬化面积245.70㎡，操场塌陷区硬化区域面积361.63㎡，砖砌水沟35m，操场围墙长度36m,路灯4个，花池长度76m，混凝土挡墙浇筑等。</w:t>
            </w:r>
          </w:p>
          <w:p>
            <w:pPr>
              <w:pStyle w:val="null3"/>
            </w:pPr>
            <w:r>
              <w:rPr>
                <w:rFonts w:ascii="仿宋_GB2312" w:hAnsi="仿宋_GB2312" w:cs="仿宋_GB2312" w:eastAsia="仿宋_GB2312"/>
                <w:sz w:val="21"/>
              </w:rPr>
              <w:t>二、编制依据：</w:t>
            </w:r>
          </w:p>
          <w:p>
            <w:pPr>
              <w:pStyle w:val="null3"/>
            </w:pPr>
            <w:r>
              <w:rPr>
                <w:rFonts w:ascii="仿宋_GB2312" w:hAnsi="仿宋_GB2312" w:cs="仿宋_GB2312" w:eastAsia="仿宋_GB2312"/>
                <w:sz w:val="21"/>
              </w:rPr>
              <w:t>1、陕西省工程建设标准《建设工程工程量清单计价标准》DB61/T 5126-2025；</w:t>
            </w:r>
          </w:p>
          <w:p>
            <w:pPr>
              <w:pStyle w:val="null3"/>
            </w:pPr>
            <w:r>
              <w:rPr>
                <w:rFonts w:ascii="仿宋_GB2312" w:hAnsi="仿宋_GB2312" w:cs="仿宋_GB2312" w:eastAsia="仿宋_GB2312"/>
                <w:sz w:val="21"/>
              </w:rPr>
              <w:t>2、陕西省工程建设标准《房屋建筑与装饰工程工程量计算标准》DB61/T 5129-2025、陕西省工程建设标准《通用安装工程工程量计算标准》；</w:t>
            </w:r>
          </w:p>
          <w:p>
            <w:pPr>
              <w:pStyle w:val="null3"/>
            </w:pPr>
            <w:r>
              <w:rPr>
                <w:rFonts w:ascii="仿宋_GB2312" w:hAnsi="仿宋_GB2312" w:cs="仿宋_GB2312" w:eastAsia="仿宋_GB2312"/>
                <w:sz w:val="21"/>
              </w:rPr>
              <w:t>3、《陕西省建设工程费用规则》（2025）；</w:t>
            </w:r>
          </w:p>
          <w:p>
            <w:pPr>
              <w:pStyle w:val="null3"/>
            </w:pPr>
            <w:r>
              <w:rPr>
                <w:rFonts w:ascii="仿宋_GB2312" w:hAnsi="仿宋_GB2312" w:cs="仿宋_GB2312" w:eastAsia="仿宋_GB2312"/>
                <w:sz w:val="21"/>
              </w:rPr>
              <w:t>4、《陕西省房屋建筑与装饰工程消耗量定额》（2025）、《陕西省通用安装工程消耗量定额》（2025），《陕西省园林绿化工程消耗量定额》（2025）；</w:t>
            </w:r>
          </w:p>
          <w:p>
            <w:pPr>
              <w:pStyle w:val="null3"/>
            </w:pPr>
            <w:r>
              <w:rPr>
                <w:rFonts w:ascii="仿宋_GB2312" w:hAnsi="仿宋_GB2312" w:cs="仿宋_GB2312" w:eastAsia="仿宋_GB2312"/>
                <w:sz w:val="21"/>
              </w:rPr>
              <w:t>5、《陕西省房屋建筑与装饰工程基价表》(2025)、《陕西省通用安装工程基价表》(2025)，《陕西省园林绿化工程基价表》(2025)；</w:t>
            </w:r>
          </w:p>
          <w:p>
            <w:pPr>
              <w:pStyle w:val="null3"/>
            </w:pPr>
            <w:r>
              <w:rPr>
                <w:rFonts w:ascii="仿宋_GB2312" w:hAnsi="仿宋_GB2312" w:cs="仿宋_GB2312" w:eastAsia="仿宋_GB2312"/>
                <w:sz w:val="21"/>
              </w:rPr>
              <w:t>6、《陕西省建设工程施工机械台班费用定额》（2025）、《陕西省建设工程施工仪器仪表台班费用定额》（2025）；</w:t>
            </w:r>
          </w:p>
          <w:p>
            <w:pPr>
              <w:pStyle w:val="null3"/>
            </w:pPr>
            <w:r>
              <w:rPr>
                <w:rFonts w:ascii="仿宋_GB2312" w:hAnsi="仿宋_GB2312" w:cs="仿宋_GB2312" w:eastAsia="仿宋_GB2312"/>
                <w:sz w:val="21"/>
              </w:rPr>
              <w:t>7、材料价依据《汉中市建设工程信息》2026年第2期。</w:t>
            </w:r>
          </w:p>
          <w:p>
            <w:pPr>
              <w:pStyle w:val="null3"/>
            </w:pPr>
            <w:r>
              <w:rPr>
                <w:rFonts w:ascii="仿宋_GB2312" w:hAnsi="仿宋_GB2312" w:cs="仿宋_GB2312" w:eastAsia="仿宋_GB2312"/>
                <w:sz w:val="21"/>
              </w:rPr>
              <w:t>三、有关其他问题：</w:t>
            </w:r>
          </w:p>
          <w:p>
            <w:pPr>
              <w:pStyle w:val="null3"/>
            </w:pPr>
            <w:r>
              <w:rPr>
                <w:rFonts w:ascii="仿宋_GB2312" w:hAnsi="仿宋_GB2312" w:cs="仿宋_GB2312" w:eastAsia="仿宋_GB2312"/>
                <w:sz w:val="21"/>
              </w:rPr>
              <w:t>1、由于高川镇中心学校距离县城较远，材料需要长途运输，暂按每公里1元/T计算主要材料的运费；</w:t>
            </w:r>
          </w:p>
          <w:p>
            <w:pPr>
              <w:pStyle w:val="null3"/>
            </w:pPr>
            <w:r>
              <w:rPr>
                <w:rFonts w:ascii="仿宋_GB2312" w:hAnsi="仿宋_GB2312" w:cs="仿宋_GB2312" w:eastAsia="仿宋_GB2312"/>
                <w:sz w:val="21"/>
              </w:rPr>
              <w:t>2.塌陷区域回填按照山渣石计算。</w:t>
            </w:r>
          </w:p>
          <w:p>
            <w:pPr>
              <w:pStyle w:val="null3"/>
            </w:pPr>
            <w:r>
              <w:rPr>
                <w:rFonts w:ascii="仿宋_GB2312" w:hAnsi="仿宋_GB2312" w:cs="仿宋_GB2312" w:eastAsia="仿宋_GB2312"/>
                <w:sz w:val="21"/>
              </w:rPr>
              <w:t>四、工    期：60天</w:t>
            </w:r>
          </w:p>
          <w:p>
            <w:pPr>
              <w:pStyle w:val="null3"/>
            </w:pPr>
            <w:r>
              <w:rPr>
                <w:rFonts w:ascii="仿宋_GB2312" w:hAnsi="仿宋_GB2312" w:cs="仿宋_GB2312" w:eastAsia="仿宋_GB2312"/>
                <w:sz w:val="21"/>
              </w:rPr>
              <w:t>五、工程质量：合  格</w:t>
            </w:r>
          </w:p>
          <w:p>
            <w:pPr>
              <w:pStyle w:val="null3"/>
            </w:pPr>
            <w:r>
              <w:rPr>
                <w:rFonts w:ascii="仿宋_GB2312" w:hAnsi="仿宋_GB2312" w:cs="仿宋_GB2312" w:eastAsia="仿宋_GB2312"/>
                <w:sz w:val="21"/>
              </w:rPr>
              <w:t>六、计价软件： 广联达云计价平台GCCP7.0</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企业法人、事业法人、其他组织或自然人，提供营业执照（事业单位须事业单位法人证、组织机构代码证等证明文件；其他组织应提供合法证明文件、自然人提供身份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供应商具有建筑工程施工总承包三级以上（含三级）资质，具有有效的安全生产许可证；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拟派项目负责人资质及专业要求</w:t>
            </w:r>
          </w:p>
        </w:tc>
        <w:tc>
          <w:tcPr>
            <w:tcW w:type="dxa" w:w="3322"/>
          </w:tcPr>
          <w:p>
            <w:pPr>
              <w:pStyle w:val="null3"/>
            </w:pPr>
            <w:r>
              <w:rPr>
                <w:rFonts w:ascii="仿宋_GB2312" w:hAnsi="仿宋_GB2312" w:cs="仿宋_GB2312" w:eastAsia="仿宋_GB2312"/>
              </w:rPr>
              <w:t>拟派项目负责人须具有建筑工程专业注册建造师二级（含二级）以上资格和安全生产考核合格B证，且无在建项目；</w:t>
            </w:r>
          </w:p>
        </w:tc>
        <w:tc>
          <w:tcPr>
            <w:tcW w:type="dxa" w:w="1661"/>
          </w:tcPr>
          <w:p>
            <w:pPr>
              <w:pStyle w:val="null3"/>
            </w:pPr>
            <w:r>
              <w:rPr>
                <w:rFonts w:ascii="仿宋_GB2312" w:hAnsi="仿宋_GB2312" w:cs="仿宋_GB2312" w:eastAsia="仿宋_GB2312"/>
              </w:rPr>
              <w:t>项目经理和主要技术管理人员配置.docx 项目管理机构组成表 资格证明文件.docx 拟委任的项目经理情况表.docx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磋商代表要求</w:t>
            </w:r>
          </w:p>
        </w:tc>
        <w:tc>
          <w:tcPr>
            <w:tcW w:type="dxa" w:w="3322"/>
          </w:tcPr>
          <w:p>
            <w:pPr>
              <w:pStyle w:val="null3"/>
            </w:pPr>
            <w:r>
              <w:rPr>
                <w:rFonts w:ascii="仿宋_GB2312" w:hAnsi="仿宋_GB2312" w:cs="仿宋_GB2312" w:eastAsia="仿宋_GB2312"/>
              </w:rPr>
              <w:t>供应商应授权合法的人员参加磋商，其中法定代表人直接参加的，须出具法定代表人身份证明书及法人身份证；授权代表参加的，须出具法定代表人授权书及被授权人身份证；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政府采购供应商资格承诺函</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具有依法缴纳税收和社会保障金的良好记录，参加本项目采购活动前三年内无重大违法活动记录。供应商未列入在信用中国网站“失信被执行人”、“重大税收违法案件当事人名单”中（www.creditchina.gov.cn），也未列入中国政府采购网“政府采购严重违法失信行为记录名单”中（www.ccgp.gov.cn），按照汉财办采管[2024]20号文件要求，提供《汉中市政府采购供应商资格承诺函》；</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磋商响应文件按照磋商文件要求的格式编写，内容无重大缺漏项。</w:t>
            </w:r>
          </w:p>
        </w:tc>
        <w:tc>
          <w:tcPr>
            <w:tcW w:type="dxa" w:w="1661"/>
          </w:tcPr>
          <w:p>
            <w:pPr>
              <w:pStyle w:val="null3"/>
            </w:pPr>
            <w:r>
              <w:rPr>
                <w:rFonts w:ascii="仿宋_GB2312" w:hAnsi="仿宋_GB2312" w:cs="仿宋_GB2312" w:eastAsia="仿宋_GB2312"/>
              </w:rPr>
              <w:t>项目经理和主要技术管理人员配置.docx 技术方案.docx 已标价工程量清单 磋商保证金.docx 中小企业声明函 技术服务合同条款及其他商务要求应答表 资格证明文件.docx 响应文件封面 类似业绩情况表.docx 政府采购供应商拒绝政府采购领域商业贿赂承诺书.docx 项目管理机构组成表 残疾人福利性单位声明函 报价函 标的清单 响应函 监狱企业的证明文件 拟委任的项目经理情况表.docx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项目经理和主要技术管理人员配置.docx 技术方案.docx 已标价工程量清单 磋商保证金.docx 中小企业声明函 技术服务合同条款及其他商务要求应答表 资格证明文件.docx 响应文件封面 类似业绩情况表.docx 政府采购供应商拒绝政府采购领域商业贿赂承诺书.docx 项目管理机构组成表 残疾人福利性单位声明函 报价函 标的清单 响应函 监狱企业的证明文件 拟委任的项目经理情况表.docx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磋商报价未超过招标最高限价或采购预算。</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60天。</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磋商保证金符合采购文件要求。</w:t>
            </w:r>
          </w:p>
        </w:tc>
        <w:tc>
          <w:tcPr>
            <w:tcW w:type="dxa" w:w="1661"/>
          </w:tcPr>
          <w:p>
            <w:pPr>
              <w:pStyle w:val="null3"/>
            </w:pPr>
            <w:r>
              <w:rPr>
                <w:rFonts w:ascii="仿宋_GB2312" w:hAnsi="仿宋_GB2312" w:cs="仿宋_GB2312" w:eastAsia="仿宋_GB2312"/>
              </w:rPr>
              <w:t>磋商保证金.docx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拟派项目经理</w:t>
            </w:r>
          </w:p>
        </w:tc>
        <w:tc>
          <w:tcPr>
            <w:tcW w:type="dxa" w:w="2492"/>
          </w:tcPr>
          <w:p>
            <w:pPr>
              <w:pStyle w:val="null3"/>
            </w:pPr>
            <w:r>
              <w:rPr>
                <w:rFonts w:ascii="仿宋_GB2312" w:hAnsi="仿宋_GB2312" w:cs="仿宋_GB2312" w:eastAsia="仿宋_GB2312"/>
              </w:rPr>
              <w:t>拟派项目经理具有高级职称的得3分；具有中级职称的得2分；具有初级职称的得1分。（须提供项目经理身份证及职称证书扫描件， 未提供相关证明材料不得分。）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拟委任的项目经理情况表.docx</w:t>
            </w:r>
          </w:p>
          <w:p>
            <w:pPr>
              <w:pStyle w:val="null3"/>
            </w:pPr>
            <w:r>
              <w:rPr>
                <w:rFonts w:ascii="仿宋_GB2312" w:hAnsi="仿宋_GB2312" w:cs="仿宋_GB2312" w:eastAsia="仿宋_GB2312"/>
              </w:rPr>
              <w:t>项目经理和主要技术管理人员配置.docx</w:t>
            </w:r>
          </w:p>
        </w:tc>
      </w:tr>
      <w:tr>
        <w:tc>
          <w:tcPr>
            <w:tcW w:type="dxa" w:w="831"/>
            <w:vMerge/>
          </w:tcPr>
          <w:p/>
        </w:tc>
        <w:tc>
          <w:tcPr>
            <w:tcW w:type="dxa" w:w="1661"/>
          </w:tcPr>
          <w:p>
            <w:pPr>
              <w:pStyle w:val="null3"/>
            </w:pPr>
            <w:r>
              <w:rPr>
                <w:rFonts w:ascii="仿宋_GB2312" w:hAnsi="仿宋_GB2312" w:cs="仿宋_GB2312" w:eastAsia="仿宋_GB2312"/>
              </w:rPr>
              <w:t>主要技术、管理人员配置</w:t>
            </w:r>
          </w:p>
        </w:tc>
        <w:tc>
          <w:tcPr>
            <w:tcW w:type="dxa" w:w="2492"/>
          </w:tcPr>
          <w:p>
            <w:pPr>
              <w:pStyle w:val="null3"/>
            </w:pPr>
            <w:r>
              <w:rPr>
                <w:rFonts w:ascii="仿宋_GB2312" w:hAnsi="仿宋_GB2312" w:cs="仿宋_GB2312" w:eastAsia="仿宋_GB2312"/>
              </w:rPr>
              <w:t>供应商每提供1名拟派主要技术管理人员相关证明材料扫描件，得1分，满分5分；（证明材料应提供施工员、安全员、质量员、材料员、资料员的身份证、资格证书的扫描件，未提供证明材料，该人员此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项目经理和主要技术管理人员配置.docx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提供2023年至今的类似项目业绩（以中标通知书和合同为准），每提供1个得2.5分，最高得5分；未提供不得分。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类似业绩情况表.docx</w:t>
            </w:r>
          </w:p>
        </w:tc>
      </w:tr>
      <w:tr>
        <w:tc>
          <w:tcPr>
            <w:tcW w:type="dxa" w:w="831"/>
            <w:vMerge/>
          </w:tcPr>
          <w:p/>
        </w:tc>
        <w:tc>
          <w:tcPr>
            <w:tcW w:type="dxa" w:w="1661"/>
          </w:tcPr>
          <w:p>
            <w:pPr>
              <w:pStyle w:val="null3"/>
            </w:pPr>
            <w:r>
              <w:rPr>
                <w:rFonts w:ascii="仿宋_GB2312" w:hAnsi="仿宋_GB2312" w:cs="仿宋_GB2312" w:eastAsia="仿宋_GB2312"/>
              </w:rPr>
              <w:t>施工方案及技术措施</w:t>
            </w:r>
          </w:p>
        </w:tc>
        <w:tc>
          <w:tcPr>
            <w:tcW w:type="dxa" w:w="2492"/>
          </w:tcPr>
          <w:p>
            <w:pPr>
              <w:pStyle w:val="null3"/>
            </w:pPr>
            <w:r>
              <w:rPr>
                <w:rFonts w:ascii="仿宋_GB2312" w:hAnsi="仿宋_GB2312" w:cs="仿宋_GB2312" w:eastAsia="仿宋_GB2312"/>
              </w:rPr>
              <w:t>施工方案科学合理、可行性强、细节考虑全面并有针对性，技术措施完善得10-12分；施工方案合理、可行强、有一定的针对性，技术措施基本完善得7-9分；施工方案合理、基本可行、针对性一般，技术措施基本完善得4-6分；施工方案基本合理、可行性差，技术措施欠缺得1-3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质量保证措施完善、合理可行得7-9分；质量保证措施基本完善、合理可行得4-6分；质量保证措施欠缺、无法保证工程质量得1-3分；未提供不得分。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安全文明施工保证体系与措施</w:t>
            </w:r>
          </w:p>
        </w:tc>
        <w:tc>
          <w:tcPr>
            <w:tcW w:type="dxa" w:w="2492"/>
          </w:tcPr>
          <w:p>
            <w:pPr>
              <w:pStyle w:val="null3"/>
            </w:pPr>
            <w:r>
              <w:rPr>
                <w:rFonts w:ascii="仿宋_GB2312" w:hAnsi="仿宋_GB2312" w:cs="仿宋_GB2312" w:eastAsia="仿宋_GB2312"/>
              </w:rPr>
              <w:t>安全文明施工保证体系与措施完善、合理可行得7-9分；安全文明施工保证体系与措施基本完善、合理得4-6分；安全文明施工保证体系与措施欠缺、合理性差得1-3分；未提供不得分。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施工进度及工期保证措施</w:t>
            </w:r>
          </w:p>
        </w:tc>
        <w:tc>
          <w:tcPr>
            <w:tcW w:type="dxa" w:w="2492"/>
          </w:tcPr>
          <w:p>
            <w:pPr>
              <w:pStyle w:val="null3"/>
            </w:pPr>
            <w:r>
              <w:rPr>
                <w:rFonts w:ascii="仿宋_GB2312" w:hAnsi="仿宋_GB2312" w:cs="仿宋_GB2312" w:eastAsia="仿宋_GB2312"/>
              </w:rPr>
              <w:t>施工进度及工期保证措施完善、合理可行得7-9分；施工进度及工期保证措施基本完善、基本保证按期完工得4-6分；施工进度及工期保证措施欠缺、无法保证按期完工得1-3分；未提供不得分。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劳动力及主要施工设备配置</w:t>
            </w:r>
          </w:p>
        </w:tc>
        <w:tc>
          <w:tcPr>
            <w:tcW w:type="dxa" w:w="2492"/>
          </w:tcPr>
          <w:p>
            <w:pPr>
              <w:pStyle w:val="null3"/>
            </w:pPr>
            <w:r>
              <w:rPr>
                <w:rFonts w:ascii="仿宋_GB2312" w:hAnsi="仿宋_GB2312" w:cs="仿宋_GB2312" w:eastAsia="仿宋_GB2312"/>
              </w:rPr>
              <w:t>根据供应商提供的主要机械设备配备、劳动力配置、联动保障机制方案等，进行综合评审。方案全面、合理、规范，可操作性强得5分；方案相对合理和规范，有相对较强的可操作性得4分；方案基本合理，有一定的可操作性得3分；方案不太合理，可操作性不强得2分；方案有缺漏，可操作性差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新技术新工艺</w:t>
            </w:r>
          </w:p>
        </w:tc>
        <w:tc>
          <w:tcPr>
            <w:tcW w:type="dxa" w:w="2492"/>
          </w:tcPr>
          <w:p>
            <w:pPr>
              <w:pStyle w:val="null3"/>
            </w:pPr>
            <w:r>
              <w:rPr>
                <w:rFonts w:ascii="仿宋_GB2312" w:hAnsi="仿宋_GB2312" w:cs="仿宋_GB2312" w:eastAsia="仿宋_GB2312"/>
              </w:rPr>
              <w:t>根据供应商提供的质量提升技术、工期缩短技术、成本降低技术、联动增效机制方案等，进行综合评审。方案全面、合理、规范，可操作性强得5分；方案相对合理和规范，有相对较强的可操作性得4分；方案基本合理，有一定的可操作性得3分；方案不太合理，可操作性不强得2分；方案有缺漏，可操作性差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供应商针对本项目需求，提出有利于项目实施的合理化建议，每提出一条得1分，最高得3分；未提供不得分。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以各供应商满足磋商文件要求且最后磋商报价最低的为磋商基准价，其价格分为满分。其他供应商的价格分统一按照下列公式计算：价格分＝（磋商基准价/最后磋商报价）×35（得分保留两位小数）</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详见附件：磋商保证金.docx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详见附件：类似业绩情况表.docx</w:t>
      </w:r>
    </w:p>
    <w:p>
      <w:pPr>
        <w:pStyle w:val="null3"/>
        <w:ind w:firstLine="960"/>
      </w:pPr>
      <w:r>
        <w:rPr>
          <w:rFonts w:ascii="仿宋_GB2312" w:hAnsi="仿宋_GB2312" w:cs="仿宋_GB2312" w:eastAsia="仿宋_GB2312"/>
        </w:rPr>
        <w:t>详见附件：拟委任的项目经理情况表.docx</w:t>
      </w:r>
    </w:p>
    <w:p>
      <w:pPr>
        <w:pStyle w:val="null3"/>
        <w:ind w:firstLine="960"/>
      </w:pPr>
      <w:r>
        <w:rPr>
          <w:rFonts w:ascii="仿宋_GB2312" w:hAnsi="仿宋_GB2312" w:cs="仿宋_GB2312" w:eastAsia="仿宋_GB2312"/>
        </w:rPr>
        <w:t>详见附件：项目经理和主要技术管理人员配置.docx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详见附件：建设工程施工合同.docx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