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0B426">
      <w:pPr>
        <w:spacing w:line="360" w:lineRule="auto"/>
        <w:jc w:val="center"/>
        <w:rPr>
          <w:rFonts w:hint="eastAsia"/>
          <w:spacing w:val="12"/>
        </w:rPr>
      </w:pPr>
      <w:r>
        <w:rPr>
          <w:rFonts w:hint="eastAsia"/>
          <w:spacing w:val="12"/>
        </w:rPr>
        <w:t>注：本合同仅为合同的参考文本，合同签订双方可根据项目的具体要求进行修订。</w:t>
      </w:r>
    </w:p>
    <w:p w14:paraId="1F7445DA">
      <w:pPr>
        <w:pStyle w:val="3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52"/>
          <w:szCs w:val="52"/>
          <w:lang w:eastAsia="zh-CN"/>
        </w:rPr>
      </w:pPr>
    </w:p>
    <w:p w14:paraId="675E6B15">
      <w:pPr>
        <w:pStyle w:val="3"/>
        <w:jc w:val="center"/>
        <w:rPr>
          <w:rFonts w:hint="eastAsia" w:ascii="宋体" w:hAnsi="宋体" w:eastAsia="宋体" w:cs="宋体"/>
          <w:b/>
          <w:bCs/>
          <w:sz w:val="52"/>
          <w:szCs w:val="52"/>
          <w:lang w:eastAsia="zh-CN"/>
        </w:rPr>
      </w:pPr>
    </w:p>
    <w:p w14:paraId="703ED580">
      <w:pPr>
        <w:pStyle w:val="3"/>
        <w:jc w:val="center"/>
        <w:rPr>
          <w:rFonts w:hint="eastAsia" w:ascii="宋体" w:hAnsi="宋体" w:eastAsia="宋体" w:cs="宋体"/>
          <w:b/>
          <w:bCs/>
          <w:sz w:val="52"/>
          <w:szCs w:val="52"/>
          <w:lang w:eastAsia="zh-CN"/>
        </w:rPr>
      </w:pPr>
    </w:p>
    <w:p w14:paraId="1EEBC30C">
      <w:pPr>
        <w:pStyle w:val="3"/>
        <w:jc w:val="center"/>
        <w:rPr>
          <w:rFonts w:hint="eastAsia" w:ascii="宋体" w:hAnsi="宋体" w:eastAsia="宋体" w:cs="宋体"/>
          <w:b/>
          <w:bCs/>
          <w:sz w:val="52"/>
          <w:szCs w:val="52"/>
          <w:lang w:eastAsia="zh-CN"/>
        </w:rPr>
      </w:pPr>
    </w:p>
    <w:p w14:paraId="74E6E916">
      <w:pPr>
        <w:pStyle w:val="3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渭南市临渭区2026年食品安全监督抽检项目</w:t>
      </w:r>
    </w:p>
    <w:p w14:paraId="1744FC87">
      <w:pPr>
        <w:pStyle w:val="3"/>
        <w:rPr>
          <w:rFonts w:hint="eastAsia" w:ascii="宋体" w:hAnsi="宋体" w:eastAsia="宋体" w:cs="宋体"/>
        </w:rPr>
      </w:pPr>
    </w:p>
    <w:p w14:paraId="5CB30C39">
      <w:pPr>
        <w:spacing w:line="360" w:lineRule="auto"/>
        <w:jc w:val="center"/>
        <w:rPr>
          <w:rFonts w:hint="eastAsia" w:ascii="宋体" w:hAnsi="宋体" w:eastAsia="宋体" w:cs="宋体"/>
          <w:b/>
          <w:bCs/>
          <w:spacing w:val="12"/>
          <w:sz w:val="52"/>
          <w:szCs w:val="52"/>
        </w:rPr>
      </w:pPr>
    </w:p>
    <w:p w14:paraId="1ADDADCD">
      <w:pPr>
        <w:spacing w:line="360" w:lineRule="auto"/>
        <w:jc w:val="center"/>
        <w:rPr>
          <w:rFonts w:hint="eastAsia" w:ascii="宋体" w:hAnsi="宋体" w:eastAsia="宋体" w:cs="宋体"/>
          <w:b/>
          <w:bCs/>
          <w:spacing w:val="12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pacing w:val="12"/>
          <w:sz w:val="52"/>
          <w:szCs w:val="52"/>
        </w:rPr>
        <w:t>政府采购合同书</w:t>
      </w:r>
    </w:p>
    <w:p w14:paraId="3D49F01D">
      <w:pPr>
        <w:spacing w:line="360" w:lineRule="auto"/>
        <w:jc w:val="center"/>
        <w:rPr>
          <w:rFonts w:hint="eastAsia" w:ascii="宋体" w:hAnsi="宋体" w:eastAsia="宋体" w:cs="宋体"/>
          <w:spacing w:val="12"/>
          <w:sz w:val="32"/>
          <w:szCs w:val="32"/>
        </w:rPr>
      </w:pPr>
      <w:r>
        <w:rPr>
          <w:rFonts w:hint="eastAsia" w:ascii="宋体" w:hAnsi="宋体" w:eastAsia="宋体" w:cs="宋体"/>
          <w:spacing w:val="12"/>
          <w:sz w:val="32"/>
          <w:szCs w:val="32"/>
        </w:rPr>
        <w:t xml:space="preserve">                   </w:t>
      </w:r>
    </w:p>
    <w:p w14:paraId="30D72955">
      <w:pPr>
        <w:pStyle w:val="3"/>
        <w:rPr>
          <w:rFonts w:hint="eastAsia" w:ascii="宋体" w:hAnsi="宋体" w:eastAsia="宋体" w:cs="宋体"/>
          <w:spacing w:val="12"/>
        </w:rPr>
      </w:pPr>
    </w:p>
    <w:p w14:paraId="004EAC41">
      <w:pPr>
        <w:pStyle w:val="3"/>
        <w:rPr>
          <w:rFonts w:hint="eastAsia" w:ascii="宋体" w:hAnsi="宋体" w:eastAsia="宋体" w:cs="宋体"/>
          <w:spacing w:val="12"/>
        </w:rPr>
      </w:pPr>
    </w:p>
    <w:p w14:paraId="369E3E4F">
      <w:pPr>
        <w:pStyle w:val="7"/>
        <w:ind w:firstLine="0"/>
        <w:rPr>
          <w:rFonts w:hint="eastAsia" w:ascii="宋体" w:hAnsi="宋体" w:eastAsia="宋体" w:cs="宋体"/>
          <w:spacing w:val="12"/>
          <w:sz w:val="32"/>
          <w:szCs w:val="32"/>
        </w:rPr>
      </w:pPr>
    </w:p>
    <w:p w14:paraId="4389C64F">
      <w:pPr>
        <w:rPr>
          <w:rFonts w:hint="eastAsia" w:ascii="宋体" w:hAnsi="宋体" w:eastAsia="宋体" w:cs="宋体"/>
        </w:rPr>
      </w:pPr>
    </w:p>
    <w:p w14:paraId="0524F9F5">
      <w:pPr>
        <w:pStyle w:val="3"/>
        <w:ind w:left="0" w:leftChars="0" w:firstLine="0" w:firstLineChars="0"/>
        <w:rPr>
          <w:rFonts w:hint="eastAsia" w:ascii="宋体" w:hAnsi="宋体" w:eastAsia="宋体" w:cs="宋体"/>
        </w:rPr>
      </w:pPr>
    </w:p>
    <w:p w14:paraId="4D60D400">
      <w:pPr>
        <w:pStyle w:val="3"/>
        <w:ind w:left="0" w:leftChars="0" w:firstLine="0" w:firstLineChars="0"/>
        <w:rPr>
          <w:rFonts w:hint="eastAsia" w:ascii="宋体" w:hAnsi="宋体" w:eastAsia="宋体" w:cs="宋体"/>
        </w:rPr>
      </w:pPr>
    </w:p>
    <w:p w14:paraId="062A7F07">
      <w:pPr>
        <w:rPr>
          <w:rFonts w:hint="eastAsia" w:ascii="宋体" w:hAnsi="宋体" w:eastAsia="宋体" w:cs="宋体"/>
        </w:rPr>
      </w:pPr>
    </w:p>
    <w:p w14:paraId="5C180E3E">
      <w:pPr>
        <w:pStyle w:val="11"/>
        <w:ind w:left="0" w:leftChars="0" w:firstLine="0" w:firstLineChars="0"/>
        <w:rPr>
          <w:rFonts w:hint="eastAsia" w:ascii="宋体" w:hAnsi="宋体" w:eastAsia="宋体" w:cs="宋体"/>
        </w:rPr>
      </w:pPr>
    </w:p>
    <w:p w14:paraId="166C5AC0">
      <w:pPr>
        <w:spacing w:line="360" w:lineRule="auto"/>
        <w:ind w:firstLine="1726" w:firstLineChars="500"/>
        <w:jc w:val="left"/>
        <w:rPr>
          <w:rFonts w:hint="eastAsia" w:ascii="宋体" w:hAnsi="宋体" w:eastAsia="宋体" w:cs="宋体"/>
          <w:b/>
          <w:bCs/>
          <w:spacing w:val="12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pacing w:val="12"/>
          <w:sz w:val="32"/>
          <w:szCs w:val="32"/>
        </w:rPr>
        <w:t>采购人：</w:t>
      </w:r>
      <w:r>
        <w:rPr>
          <w:rFonts w:hint="eastAsia" w:ascii="宋体" w:hAnsi="宋体" w:cs="宋体"/>
          <w:b/>
          <w:bCs/>
          <w:spacing w:val="12"/>
          <w:sz w:val="32"/>
          <w:szCs w:val="32"/>
          <w:lang w:eastAsia="zh-CN"/>
        </w:rPr>
        <w:t>渭南市临渭区市场监督管理局</w:t>
      </w:r>
    </w:p>
    <w:p w14:paraId="279D39F0">
      <w:pPr>
        <w:spacing w:line="360" w:lineRule="auto"/>
        <w:ind w:firstLine="1726" w:firstLineChars="500"/>
        <w:rPr>
          <w:rFonts w:hint="default" w:ascii="宋体" w:hAnsi="宋体" w:eastAsia="宋体" w:cs="宋体"/>
          <w:b/>
          <w:bCs/>
          <w:spacing w:val="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2"/>
          <w:sz w:val="32"/>
          <w:szCs w:val="32"/>
        </w:rPr>
        <w:t>供应商：</w:t>
      </w:r>
    </w:p>
    <w:p w14:paraId="6DE2819E">
      <w:pPr>
        <w:spacing w:line="360" w:lineRule="auto"/>
        <w:rPr>
          <w:rFonts w:hint="eastAsia"/>
          <w:sz w:val="24"/>
          <w:lang w:val="en-US" w:eastAsia="zh-CN"/>
        </w:rPr>
      </w:pPr>
    </w:p>
    <w:p w14:paraId="653CC74C">
      <w:pPr>
        <w:spacing w:line="360" w:lineRule="auto"/>
        <w:rPr>
          <w:rFonts w:hint="eastAsia"/>
          <w:sz w:val="24"/>
          <w:lang w:val="en-US" w:eastAsia="zh-CN"/>
        </w:rPr>
        <w:sectPr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rtlGutter w:val="0"/>
          <w:docGrid w:type="lines" w:linePitch="318" w:charSpace="0"/>
        </w:sectPr>
      </w:pPr>
    </w:p>
    <w:p w14:paraId="3E9E317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签</w:t>
      </w:r>
      <w:r>
        <w:rPr>
          <w:rFonts w:hint="eastAsia"/>
          <w:sz w:val="24"/>
        </w:rPr>
        <w:t>订地点：</w:t>
      </w:r>
      <w:r>
        <w:rPr>
          <w:rFonts w:hint="eastAsia"/>
          <w:sz w:val="24"/>
          <w:lang w:val="en-US" w:eastAsia="zh-CN"/>
        </w:rPr>
        <w:t>渭南市临渭区</w:t>
      </w:r>
      <w:r>
        <w:rPr>
          <w:rFonts w:hint="eastAsia"/>
          <w:sz w:val="24"/>
        </w:rPr>
        <w:t xml:space="preserve">  </w:t>
      </w:r>
    </w:p>
    <w:p w14:paraId="3D183B9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项目编号：              </w:t>
      </w:r>
      <w:r>
        <w:rPr>
          <w:sz w:val="24"/>
        </w:rPr>
        <w:t xml:space="preserve">         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</w:rPr>
        <w:t xml:space="preserve"> </w:t>
      </w:r>
    </w:p>
    <w:p w14:paraId="710BC8F5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签订时间：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年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 月  日</w:t>
      </w:r>
    </w:p>
    <w:p w14:paraId="12F08482"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采购人：</w:t>
      </w:r>
      <w:r>
        <w:rPr>
          <w:rFonts w:hint="eastAsia"/>
          <w:sz w:val="24"/>
          <w:lang w:eastAsia="zh-CN"/>
        </w:rPr>
        <w:t>渭南市临渭区市场监督管理局</w:t>
      </w:r>
    </w:p>
    <w:p w14:paraId="48D1C105">
      <w:pPr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供应商：</w:t>
      </w:r>
    </w:p>
    <w:p w14:paraId="1975F59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根据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>渭南市临渭区2026年食品安全监督抽检项目</w:t>
      </w:r>
      <w:r>
        <w:rPr>
          <w:rFonts w:hint="eastAsia" w:ascii="宋体" w:hAnsi="宋体" w:eastAsia="宋体" w:cs="宋体"/>
          <w:sz w:val="24"/>
        </w:rPr>
        <w:t>的采购结果，按照《中华人民共和国政府采购法》、《中华人民共和国民法典》等规定，经双方协商，本着</w:t>
      </w:r>
      <w:r>
        <w:rPr>
          <w:rFonts w:hint="eastAsia" w:ascii="宋体" w:hAnsi="宋体" w:cs="宋体"/>
          <w:sz w:val="24"/>
          <w:lang w:val="en-US" w:eastAsia="zh-CN"/>
        </w:rPr>
        <w:t>公正</w:t>
      </w:r>
      <w:r>
        <w:rPr>
          <w:rFonts w:hint="eastAsia" w:ascii="宋体" w:hAnsi="宋体" w:eastAsia="宋体" w:cs="宋体"/>
          <w:sz w:val="24"/>
        </w:rPr>
        <w:t>和诚实信用的原则，一致同意签订本合同如下。</w:t>
      </w:r>
    </w:p>
    <w:p w14:paraId="5E0700F1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一、合同文件</w:t>
      </w:r>
    </w:p>
    <w:p w14:paraId="47F0DA7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1、合同条款；</w:t>
      </w:r>
    </w:p>
    <w:p w14:paraId="060CE76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2、竞争性磋商文件；</w:t>
      </w:r>
    </w:p>
    <w:p w14:paraId="6DC65D2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3、磋商响应文件；</w:t>
      </w:r>
    </w:p>
    <w:p w14:paraId="35F8027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4、成交通知书；</w:t>
      </w:r>
    </w:p>
    <w:p w14:paraId="7B10065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5、其他。</w:t>
      </w:r>
    </w:p>
    <w:p w14:paraId="53B2EFB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上述所指合同文件应认为是互相补充和解释的，但是有模棱两可或互相矛盾之处，以其所列内容顺序为准。</w:t>
      </w:r>
    </w:p>
    <w:p w14:paraId="0C55566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bookmarkStart w:id="0" w:name="_Toc9090"/>
      <w:r>
        <w:rPr>
          <w:rFonts w:hint="eastAsia" w:ascii="宋体" w:hAnsi="宋体" w:eastAsia="宋体" w:cs="宋体"/>
          <w:sz w:val="24"/>
        </w:rPr>
        <w:t>二、合同价款</w:t>
      </w:r>
      <w:bookmarkEnd w:id="0"/>
    </w:p>
    <w:p w14:paraId="2E0136ED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（一）合同总价款为人民币（大写）</w:t>
      </w:r>
      <w:r>
        <w:rPr>
          <w:rFonts w:hint="eastAsia" w:ascii="宋体" w:hAnsi="宋体" w:cs="宋体"/>
          <w:b/>
          <w:bCs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>（￥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）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。</w:t>
      </w:r>
    </w:p>
    <w:p w14:paraId="42150465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（二）合同总价款是指完成本次活动包含的所有</w:t>
      </w:r>
      <w:r>
        <w:rPr>
          <w:rFonts w:hint="eastAsia"/>
          <w:sz w:val="24"/>
          <w:lang w:val="en-US" w:eastAsia="zh-CN"/>
        </w:rPr>
        <w:t>费用</w:t>
      </w:r>
      <w:r>
        <w:rPr>
          <w:rFonts w:hint="eastAsia"/>
          <w:sz w:val="24"/>
        </w:rPr>
        <w:t>，包括抽样人工费、车辆运输费、样品耗材、试剂仪器损耗、实验室检测费、系统录入、报告编制、档案打印、人员差旅、税费、管理费、复检配合、应急取证等全部费用，服务期内采购人不再增加任何费用</w:t>
      </w:r>
    </w:p>
    <w:p w14:paraId="60961DD5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（三）合同</w:t>
      </w:r>
      <w:r>
        <w:rPr>
          <w:rFonts w:hint="eastAsia"/>
          <w:sz w:val="24"/>
          <w:lang w:val="en-US" w:eastAsia="zh-CN"/>
        </w:rPr>
        <w:t>单</w:t>
      </w:r>
      <w:r>
        <w:rPr>
          <w:rFonts w:hint="eastAsia"/>
          <w:sz w:val="24"/>
        </w:rPr>
        <w:t>价一次性包死，不受市场价格变化因素的影响。</w:t>
      </w:r>
      <w:bookmarkStart w:id="1" w:name="_Toc5628"/>
    </w:p>
    <w:p w14:paraId="19B35A30">
      <w:pPr>
        <w:spacing w:line="360" w:lineRule="auto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三、款项结算</w:t>
      </w:r>
      <w:bookmarkEnd w:id="1"/>
    </w:p>
    <w:p w14:paraId="3E2E73D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1"/>
          <w:lang w:eastAsia="zh-CN"/>
        </w:rPr>
      </w:pPr>
      <w:r>
        <w:rPr>
          <w:rFonts w:hint="eastAsia" w:ascii="宋体" w:hAnsi="宋体" w:cs="宋体"/>
          <w:kern w:val="0"/>
          <w:sz w:val="24"/>
          <w:szCs w:val="21"/>
        </w:rPr>
        <w:t>（一）合同价款的支付：本项目服务费据实结算，供应商向采购人出具报告，采购人验收合格后，支付对应服务费，最终服务费不能超过最高限价。各分项检测费用=实际抽检样品批次×成交固定综合单价。</w:t>
      </w:r>
    </w:p>
    <w:p w14:paraId="4E9CA201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结算方式：银行转账。</w:t>
      </w:r>
    </w:p>
    <w:p w14:paraId="27170FFA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支付方式：由采购人负责结算，合同签订后，供应商在接受付款前，开具等额发票给采购人。</w:t>
      </w:r>
    </w:p>
    <w:p w14:paraId="23E7D2FB">
      <w:pPr>
        <w:spacing w:line="360" w:lineRule="auto"/>
        <w:ind w:firstLine="482" w:firstLineChars="200"/>
        <w:rPr>
          <w:rFonts w:hint="eastAsia" w:eastAsia="宋体"/>
          <w:b/>
          <w:sz w:val="24"/>
          <w:lang w:eastAsia="zh-CN"/>
        </w:rPr>
      </w:pPr>
      <w:bookmarkStart w:id="2" w:name="_Toc12029"/>
      <w:r>
        <w:rPr>
          <w:rFonts w:hint="eastAsia"/>
          <w:b/>
          <w:sz w:val="24"/>
        </w:rPr>
        <w:t>四、服务</w:t>
      </w:r>
      <w:bookmarkEnd w:id="2"/>
      <w:r>
        <w:rPr>
          <w:rFonts w:hint="eastAsia"/>
          <w:b/>
          <w:sz w:val="24"/>
          <w:lang w:val="en-US" w:eastAsia="zh-CN"/>
        </w:rPr>
        <w:t>内容</w:t>
      </w:r>
    </w:p>
    <w:p w14:paraId="30A4F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sz w:val="24"/>
        </w:rPr>
      </w:pPr>
      <w:r>
        <w:rPr>
          <w:rFonts w:hint="eastAsia"/>
          <w:b/>
          <w:bCs/>
          <w:sz w:val="24"/>
        </w:rPr>
        <w:t>（一）服务地点：</w:t>
      </w:r>
      <w:r>
        <w:rPr>
          <w:rFonts w:hint="eastAsia"/>
          <w:sz w:val="24"/>
          <w:lang w:val="en-US" w:eastAsia="zh-CN"/>
        </w:rPr>
        <w:t>渭南市临渭区</w:t>
      </w:r>
      <w:r>
        <w:rPr>
          <w:rFonts w:hint="eastAsia"/>
          <w:sz w:val="24"/>
        </w:rPr>
        <w:t>。</w:t>
      </w:r>
    </w:p>
    <w:p w14:paraId="16C35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sz w:val="24"/>
        </w:rPr>
      </w:pPr>
      <w:r>
        <w:rPr>
          <w:rFonts w:hint="eastAsia"/>
          <w:b/>
          <w:bCs/>
          <w:sz w:val="24"/>
        </w:rPr>
        <w:t>（二）</w:t>
      </w:r>
      <w:r>
        <w:rPr>
          <w:rFonts w:hint="eastAsia" w:ascii="宋体" w:hAnsi="宋体" w:cs="宋体"/>
          <w:b/>
          <w:bCs/>
          <w:kern w:val="0"/>
          <w:sz w:val="24"/>
          <w:szCs w:val="21"/>
        </w:rPr>
        <w:t>服务期</w:t>
      </w:r>
      <w:r>
        <w:rPr>
          <w:rFonts w:hint="eastAsia"/>
          <w:b/>
          <w:bCs/>
          <w:sz w:val="24"/>
        </w:rPr>
        <w:t>：</w:t>
      </w:r>
      <w:r>
        <w:rPr>
          <w:b/>
          <w:bCs/>
          <w:sz w:val="24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</w:rPr>
        <w:t>。</w:t>
      </w:r>
    </w:p>
    <w:p w14:paraId="06BCD03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cs="宋体"/>
          <w:b/>
          <w:bCs/>
          <w:kern w:val="0"/>
          <w:sz w:val="24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lang w:eastAsia="zh-CN"/>
        </w:rPr>
        <w:t>（</w:t>
      </w:r>
      <w:r>
        <w:rPr>
          <w:rFonts w:hint="eastAsia" w:ascii="宋体" w:hAnsi="宋体" w:cs="宋体"/>
          <w:b/>
          <w:bCs/>
          <w:kern w:val="0"/>
          <w:sz w:val="24"/>
          <w:szCs w:val="21"/>
          <w:lang w:val="en-US" w:eastAsia="zh-CN"/>
        </w:rPr>
        <w:t>三</w:t>
      </w:r>
      <w:r>
        <w:rPr>
          <w:rFonts w:hint="eastAsia" w:ascii="宋体" w:hAnsi="宋体" w:cs="宋体"/>
          <w:b/>
          <w:bCs/>
          <w:kern w:val="0"/>
          <w:sz w:val="24"/>
          <w:szCs w:val="21"/>
          <w:lang w:eastAsia="zh-CN"/>
        </w:rPr>
        <w:t>）</w:t>
      </w:r>
      <w:r>
        <w:rPr>
          <w:rFonts w:hint="eastAsia" w:ascii="宋体" w:hAnsi="宋体" w:cs="宋体"/>
          <w:b/>
          <w:bCs/>
          <w:kern w:val="0"/>
          <w:sz w:val="24"/>
          <w:szCs w:val="21"/>
          <w:lang w:val="en-US" w:eastAsia="zh-CN"/>
        </w:rPr>
        <w:t>服务内容</w:t>
      </w:r>
    </w:p>
    <w:p w14:paraId="7FBA4B3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b w:val="0"/>
          <w:bCs w:val="0"/>
          <w:kern w:val="0"/>
          <w:sz w:val="24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lang w:val="en-US" w:eastAsia="zh-CN"/>
        </w:rPr>
        <w:t>按照渭南市临渭区2026年度食品安全抽检工作要求，委托第三方机构承担辖区食品安全抽检服务，做好食用农产品、“你点我检”、小作坊及其他食品监督抽检的全年抽检任务，完成抽样、防护、检验、结果录入、信息汇总及分析总结等工作并出具检测报告，实现全区食品安全科学精准监管，防控食品安全风险，确保食品安全。</w:t>
      </w:r>
    </w:p>
    <w:p w14:paraId="79EE604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cs="宋体"/>
          <w:b/>
          <w:bCs/>
          <w:kern w:val="0"/>
          <w:sz w:val="24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lang w:val="en-US" w:eastAsia="zh-CN"/>
        </w:rPr>
        <w:t>（四）服务要求</w:t>
      </w:r>
    </w:p>
    <w:p w14:paraId="6BED158C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（1）能提供高效抽检服务，全天提供24小时服务，能接受抽样工作委托，有专门团队负责配合采样；</w:t>
      </w:r>
    </w:p>
    <w:p w14:paraId="273F0FC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（2）抽检样品必须在当天进入食品检测实验室，以确保样品检测报告的准确性、报告复检维持率高；</w:t>
      </w:r>
    </w:p>
    <w:p w14:paraId="3BE760F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（3）能够熟练运用各级抽检系统，及时准确地录入抽检、检验信息，辅助我局完成统计报表、信息公示等工作；</w:t>
      </w:r>
    </w:p>
    <w:p w14:paraId="3AFE9D5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（4）按照采购人要求，必检项供应商必须抽检。</w:t>
      </w:r>
    </w:p>
    <w:p w14:paraId="07742C9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（5）有能满足采样、运输、检验等工作的车辆、设备等硬件；</w:t>
      </w:r>
    </w:p>
    <w:p w14:paraId="5EA0797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（6）不得将检验任务外包或分包给其他检测机构检验；</w:t>
      </w:r>
    </w:p>
    <w:p w14:paraId="3087C740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（7）若供应商出具虚假、错误检验数据和结论，一经发现，立即取消合作资格；</w:t>
      </w:r>
    </w:p>
    <w:p w14:paraId="394DC2F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（8）须提供相关的业务咨询、报告分析等服务；</w:t>
      </w:r>
    </w:p>
    <w:p w14:paraId="09E0B62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（9）时限要求：供应商收到检品后 15 个工作日出具检验报告。对于特殊、涉案样品的检验，3天出结果，7 天出报告；</w:t>
      </w:r>
    </w:p>
    <w:p w14:paraId="6F602D5D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（10）有完善的投诉受理机制，能够对委托检验人提出的异议做出有效回应；</w:t>
      </w:r>
    </w:p>
    <w:p w14:paraId="3473F0FC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（11）供应商检验检测项目未达到100%时，应承诺其余项目在服务合同签订后2个月内完成扩项，若成交后未能及时完成扩项，采购人有权终止合同；</w:t>
      </w:r>
    </w:p>
    <w:p w14:paraId="0ACBA43F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（12）供应商成交后，承担对应包项的检测任务，应逐月完成当月任务，并当月汇总本月的抽检清单；</w:t>
      </w:r>
    </w:p>
    <w:p w14:paraId="7321686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（13）供应商要提高抽样靶向性，实施必要的质量控制措施，提高问题食品发现率（问题食品发现率不低于3%）。因供应商严重影响我局阶段性监督抽检不合格率考核任务的，供应商要立即整改，若经过整改后还无法满足要求，甲方应根据实际情况扣除相应费用（不合格率每低0.1%，扣除中标项目总金额的1%）。</w:t>
      </w:r>
    </w:p>
    <w:p w14:paraId="6CA0BC7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lang w:eastAsia="zh-CN"/>
        </w:rPr>
        <w:t>（</w:t>
      </w:r>
      <w:r>
        <w:rPr>
          <w:rFonts w:hint="eastAsia" w:ascii="宋体" w:hAnsi="宋体" w:cs="宋体"/>
          <w:b/>
          <w:bCs/>
          <w:kern w:val="0"/>
          <w:sz w:val="24"/>
          <w:szCs w:val="21"/>
          <w:lang w:val="en-US" w:eastAsia="zh-CN"/>
        </w:rPr>
        <w:t>五</w:t>
      </w:r>
      <w:r>
        <w:rPr>
          <w:rFonts w:hint="eastAsia" w:ascii="宋体" w:hAnsi="宋体" w:cs="宋体"/>
          <w:b/>
          <w:bCs/>
          <w:kern w:val="0"/>
          <w:sz w:val="24"/>
          <w:szCs w:val="21"/>
          <w:lang w:eastAsia="zh-CN"/>
        </w:rPr>
        <w:t>）</w:t>
      </w:r>
      <w:r>
        <w:rPr>
          <w:rFonts w:hint="eastAsia" w:ascii="宋体" w:hAnsi="宋体" w:cs="宋体"/>
          <w:b/>
          <w:bCs/>
          <w:kern w:val="0"/>
          <w:sz w:val="24"/>
          <w:szCs w:val="21"/>
        </w:rPr>
        <w:t>抽检内容及批次</w:t>
      </w:r>
    </w:p>
    <w:p w14:paraId="6BEFE78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</w:rPr>
        <w:t>考虑到食品安全监督抽检的特殊性，监督抽检样品种类及检测项目严格按照临渭区市场监督管理局2026年食品安全监督抽检具体计划执行。</w:t>
      </w:r>
    </w:p>
    <w:p w14:paraId="51C30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atLeast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一标段：食品安全监督抽检服务</w:t>
      </w:r>
    </w:p>
    <w:tbl>
      <w:tblPr>
        <w:tblStyle w:val="8"/>
        <w:tblW w:w="497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6"/>
        <w:gridCol w:w="2097"/>
        <w:gridCol w:w="2323"/>
      </w:tblGrid>
      <w:tr w14:paraId="731EC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392" w:type="pct"/>
            <w:noWrap w:val="0"/>
            <w:vAlign w:val="center"/>
          </w:tcPr>
          <w:p w14:paraId="649A2057">
            <w:pPr>
              <w:spacing w:line="52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抽检内容</w:t>
            </w:r>
          </w:p>
        </w:tc>
        <w:tc>
          <w:tcPr>
            <w:tcW w:w="1237" w:type="pct"/>
            <w:noWrap w:val="0"/>
            <w:vAlign w:val="center"/>
          </w:tcPr>
          <w:p w14:paraId="4CFFD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抽检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批次</w:t>
            </w:r>
          </w:p>
        </w:tc>
        <w:tc>
          <w:tcPr>
            <w:tcW w:w="1370" w:type="pct"/>
            <w:noWrap w:val="0"/>
            <w:vAlign w:val="center"/>
          </w:tcPr>
          <w:p w14:paraId="2BF8AA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单价（批次/元）</w:t>
            </w:r>
          </w:p>
        </w:tc>
      </w:tr>
      <w:tr w14:paraId="64DA0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4420" w:type="dxa"/>
            <w:noWrap w:val="0"/>
            <w:vAlign w:val="top"/>
          </w:tcPr>
          <w:p w14:paraId="05B09E7C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食用农产品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抽检</w:t>
            </w:r>
          </w:p>
        </w:tc>
        <w:tc>
          <w:tcPr>
            <w:tcW w:w="1237" w:type="pct"/>
            <w:noWrap w:val="0"/>
            <w:vAlign w:val="top"/>
          </w:tcPr>
          <w:p w14:paraId="3C2190B6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268</w:t>
            </w:r>
          </w:p>
        </w:tc>
        <w:tc>
          <w:tcPr>
            <w:tcW w:w="1370" w:type="pct"/>
            <w:noWrap w:val="0"/>
            <w:vAlign w:val="top"/>
          </w:tcPr>
          <w:p w14:paraId="4BA8C38F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12DE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4420" w:type="dxa"/>
            <w:noWrap w:val="0"/>
            <w:vAlign w:val="top"/>
          </w:tcPr>
          <w:p w14:paraId="6051C74B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小作坊食品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抽检</w:t>
            </w:r>
          </w:p>
        </w:tc>
        <w:tc>
          <w:tcPr>
            <w:tcW w:w="1237" w:type="pct"/>
            <w:noWrap w:val="0"/>
            <w:vAlign w:val="top"/>
          </w:tcPr>
          <w:p w14:paraId="220DB7A6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230</w:t>
            </w:r>
          </w:p>
        </w:tc>
        <w:tc>
          <w:tcPr>
            <w:tcW w:w="1370" w:type="pct"/>
            <w:noWrap w:val="0"/>
            <w:vAlign w:val="top"/>
          </w:tcPr>
          <w:p w14:paraId="47611794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D03E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4420" w:type="dxa"/>
            <w:noWrap w:val="0"/>
            <w:vAlign w:val="top"/>
          </w:tcPr>
          <w:p w14:paraId="5FA4171B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“你点我检”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抽检</w:t>
            </w:r>
          </w:p>
        </w:tc>
        <w:tc>
          <w:tcPr>
            <w:tcW w:w="1237" w:type="pct"/>
            <w:noWrap w:val="0"/>
            <w:vAlign w:val="top"/>
          </w:tcPr>
          <w:p w14:paraId="42A36FBA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370" w:type="pct"/>
            <w:noWrap w:val="0"/>
            <w:vAlign w:val="top"/>
          </w:tcPr>
          <w:p w14:paraId="0D0C3E3E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0E95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4420" w:type="dxa"/>
            <w:noWrap w:val="0"/>
            <w:vAlign w:val="top"/>
          </w:tcPr>
          <w:p w14:paraId="53D2DCAA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其他食品抽检</w:t>
            </w:r>
          </w:p>
        </w:tc>
        <w:tc>
          <w:tcPr>
            <w:tcW w:w="1237" w:type="pct"/>
            <w:noWrap w:val="0"/>
            <w:vAlign w:val="top"/>
          </w:tcPr>
          <w:p w14:paraId="5FBA09DD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1370" w:type="pct"/>
            <w:noWrap w:val="0"/>
            <w:vAlign w:val="top"/>
          </w:tcPr>
          <w:p w14:paraId="122EA121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0B4D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2392" w:type="pct"/>
            <w:noWrap w:val="0"/>
            <w:vAlign w:val="top"/>
          </w:tcPr>
          <w:p w14:paraId="789F0475">
            <w:pPr>
              <w:spacing w:line="5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1237" w:type="pct"/>
            <w:noWrap w:val="0"/>
            <w:vAlign w:val="top"/>
          </w:tcPr>
          <w:p w14:paraId="73326FC9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1198</w:t>
            </w:r>
          </w:p>
        </w:tc>
        <w:tc>
          <w:tcPr>
            <w:tcW w:w="1370" w:type="pct"/>
            <w:noWrap w:val="0"/>
            <w:vAlign w:val="top"/>
          </w:tcPr>
          <w:p w14:paraId="6944E818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7BB69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atLeas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二标段：食品安全监督抽检服务</w:t>
      </w:r>
    </w:p>
    <w:tbl>
      <w:tblPr>
        <w:tblStyle w:val="8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4"/>
        <w:gridCol w:w="2107"/>
        <w:gridCol w:w="2334"/>
      </w:tblGrid>
      <w:tr w14:paraId="6B96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392" w:type="pct"/>
            <w:noWrap w:val="0"/>
            <w:vAlign w:val="center"/>
          </w:tcPr>
          <w:p w14:paraId="700443A3">
            <w:pPr>
              <w:spacing w:line="52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抽检内容</w:t>
            </w:r>
          </w:p>
        </w:tc>
        <w:tc>
          <w:tcPr>
            <w:tcW w:w="1237" w:type="pct"/>
            <w:noWrap w:val="0"/>
            <w:vAlign w:val="center"/>
          </w:tcPr>
          <w:p w14:paraId="4B5C0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抽检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批次</w:t>
            </w:r>
          </w:p>
        </w:tc>
        <w:tc>
          <w:tcPr>
            <w:tcW w:w="1370" w:type="pct"/>
            <w:noWrap w:val="0"/>
            <w:vAlign w:val="center"/>
          </w:tcPr>
          <w:p w14:paraId="22F16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单价（批次/元）</w:t>
            </w:r>
          </w:p>
        </w:tc>
      </w:tr>
      <w:tr w14:paraId="18076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0" w:type="dxa"/>
            <w:noWrap w:val="0"/>
            <w:vAlign w:val="top"/>
          </w:tcPr>
          <w:p w14:paraId="41884CFE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食用农产品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抽检</w:t>
            </w:r>
          </w:p>
        </w:tc>
        <w:tc>
          <w:tcPr>
            <w:tcW w:w="1237" w:type="pct"/>
            <w:noWrap w:val="0"/>
            <w:vAlign w:val="top"/>
          </w:tcPr>
          <w:p w14:paraId="226A6F14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180</w:t>
            </w:r>
          </w:p>
        </w:tc>
        <w:tc>
          <w:tcPr>
            <w:tcW w:w="1370" w:type="pct"/>
            <w:noWrap w:val="0"/>
            <w:vAlign w:val="top"/>
          </w:tcPr>
          <w:p w14:paraId="4AEC9F31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6E4F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0" w:type="dxa"/>
            <w:noWrap w:val="0"/>
            <w:vAlign w:val="top"/>
          </w:tcPr>
          <w:p w14:paraId="6FB506E6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小作坊食品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抽检</w:t>
            </w:r>
          </w:p>
        </w:tc>
        <w:tc>
          <w:tcPr>
            <w:tcW w:w="1237" w:type="pct"/>
            <w:noWrap w:val="0"/>
            <w:vAlign w:val="top"/>
          </w:tcPr>
          <w:p w14:paraId="45DC6A15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370" w:type="pct"/>
            <w:noWrap w:val="0"/>
            <w:vAlign w:val="top"/>
          </w:tcPr>
          <w:p w14:paraId="0D1CC5AD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3623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0" w:type="dxa"/>
            <w:noWrap w:val="0"/>
            <w:vAlign w:val="top"/>
          </w:tcPr>
          <w:p w14:paraId="4DB16BC5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“你点我检”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抽检</w:t>
            </w:r>
          </w:p>
        </w:tc>
        <w:tc>
          <w:tcPr>
            <w:tcW w:w="1237" w:type="pct"/>
            <w:noWrap w:val="0"/>
            <w:vAlign w:val="top"/>
          </w:tcPr>
          <w:p w14:paraId="0B9F575A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114</w:t>
            </w:r>
          </w:p>
        </w:tc>
        <w:tc>
          <w:tcPr>
            <w:tcW w:w="1370" w:type="pct"/>
            <w:noWrap w:val="0"/>
            <w:vAlign w:val="top"/>
          </w:tcPr>
          <w:p w14:paraId="7E7C7266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9317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0" w:type="dxa"/>
            <w:noWrap w:val="0"/>
            <w:vAlign w:val="top"/>
          </w:tcPr>
          <w:p w14:paraId="1893539C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其他食品抽检</w:t>
            </w:r>
          </w:p>
        </w:tc>
        <w:tc>
          <w:tcPr>
            <w:tcW w:w="1237" w:type="pct"/>
            <w:noWrap w:val="0"/>
            <w:vAlign w:val="top"/>
          </w:tcPr>
          <w:p w14:paraId="159C1724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183</w:t>
            </w:r>
          </w:p>
        </w:tc>
        <w:tc>
          <w:tcPr>
            <w:tcW w:w="1370" w:type="pct"/>
            <w:noWrap w:val="0"/>
            <w:vAlign w:val="top"/>
          </w:tcPr>
          <w:p w14:paraId="35845113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1EBB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2392" w:type="pct"/>
            <w:noWrap w:val="0"/>
            <w:vAlign w:val="top"/>
          </w:tcPr>
          <w:p w14:paraId="37F7B6F9">
            <w:pPr>
              <w:spacing w:line="5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1237" w:type="pct"/>
            <w:noWrap w:val="0"/>
            <w:vAlign w:val="top"/>
          </w:tcPr>
          <w:p w14:paraId="097C8F35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547</w:t>
            </w:r>
          </w:p>
        </w:tc>
        <w:tc>
          <w:tcPr>
            <w:tcW w:w="1370" w:type="pct"/>
            <w:noWrap w:val="0"/>
            <w:vAlign w:val="top"/>
          </w:tcPr>
          <w:p w14:paraId="1EDFBDB2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6F89A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atLeas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三标段：食品安全监督抽检服务</w:t>
      </w:r>
    </w:p>
    <w:tbl>
      <w:tblPr>
        <w:tblStyle w:val="8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4"/>
        <w:gridCol w:w="2107"/>
        <w:gridCol w:w="2334"/>
      </w:tblGrid>
      <w:tr w14:paraId="52D7B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392" w:type="pct"/>
            <w:noWrap w:val="0"/>
            <w:vAlign w:val="center"/>
          </w:tcPr>
          <w:p w14:paraId="44EC0029">
            <w:pPr>
              <w:spacing w:line="52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抽检内容</w:t>
            </w:r>
          </w:p>
        </w:tc>
        <w:tc>
          <w:tcPr>
            <w:tcW w:w="1237" w:type="pct"/>
            <w:noWrap w:val="0"/>
            <w:vAlign w:val="center"/>
          </w:tcPr>
          <w:p w14:paraId="60C0F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抽检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批次</w:t>
            </w:r>
          </w:p>
        </w:tc>
        <w:tc>
          <w:tcPr>
            <w:tcW w:w="1370" w:type="pct"/>
            <w:noWrap w:val="0"/>
            <w:vAlign w:val="center"/>
          </w:tcPr>
          <w:p w14:paraId="03932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单价（批次/元）</w:t>
            </w:r>
          </w:p>
        </w:tc>
      </w:tr>
      <w:tr w14:paraId="1091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0" w:type="dxa"/>
            <w:noWrap w:val="0"/>
            <w:vAlign w:val="top"/>
          </w:tcPr>
          <w:p w14:paraId="7EB1631E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食用农产品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抽检</w:t>
            </w:r>
          </w:p>
        </w:tc>
        <w:tc>
          <w:tcPr>
            <w:tcW w:w="1237" w:type="pct"/>
            <w:noWrap w:val="0"/>
            <w:vAlign w:val="top"/>
          </w:tcPr>
          <w:p w14:paraId="673092AD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370" w:type="pct"/>
            <w:noWrap w:val="0"/>
            <w:vAlign w:val="top"/>
          </w:tcPr>
          <w:p w14:paraId="17DB3A7C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C005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0" w:type="dxa"/>
            <w:noWrap w:val="0"/>
            <w:vAlign w:val="top"/>
          </w:tcPr>
          <w:p w14:paraId="7E0BE75F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小作坊食品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抽检</w:t>
            </w:r>
          </w:p>
        </w:tc>
        <w:tc>
          <w:tcPr>
            <w:tcW w:w="1237" w:type="pct"/>
            <w:noWrap w:val="0"/>
            <w:vAlign w:val="top"/>
          </w:tcPr>
          <w:p w14:paraId="30BEFC33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1370" w:type="pct"/>
            <w:noWrap w:val="0"/>
            <w:vAlign w:val="top"/>
          </w:tcPr>
          <w:p w14:paraId="71EAEEDA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FA43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0" w:type="dxa"/>
            <w:noWrap w:val="0"/>
            <w:vAlign w:val="top"/>
          </w:tcPr>
          <w:p w14:paraId="0BAAFA41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“你点我检”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抽检</w:t>
            </w:r>
          </w:p>
        </w:tc>
        <w:tc>
          <w:tcPr>
            <w:tcW w:w="1237" w:type="pct"/>
            <w:noWrap w:val="0"/>
            <w:vAlign w:val="top"/>
          </w:tcPr>
          <w:p w14:paraId="0148D142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370" w:type="pct"/>
            <w:noWrap w:val="0"/>
            <w:vAlign w:val="top"/>
          </w:tcPr>
          <w:p w14:paraId="6BA73E0C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2FA7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0" w:type="dxa"/>
            <w:noWrap w:val="0"/>
            <w:vAlign w:val="top"/>
          </w:tcPr>
          <w:p w14:paraId="790BCE0B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其他食品抽检</w:t>
            </w:r>
          </w:p>
        </w:tc>
        <w:tc>
          <w:tcPr>
            <w:tcW w:w="1237" w:type="pct"/>
            <w:noWrap w:val="0"/>
            <w:vAlign w:val="top"/>
          </w:tcPr>
          <w:p w14:paraId="3BD9588C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370" w:type="pct"/>
            <w:noWrap w:val="0"/>
            <w:vAlign w:val="top"/>
          </w:tcPr>
          <w:p w14:paraId="1CA86530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A0A2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2392" w:type="pct"/>
            <w:noWrap w:val="0"/>
            <w:vAlign w:val="top"/>
          </w:tcPr>
          <w:p w14:paraId="7BBBCA92">
            <w:pPr>
              <w:spacing w:line="5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1237" w:type="pct"/>
            <w:noWrap w:val="0"/>
            <w:vAlign w:val="top"/>
          </w:tcPr>
          <w:p w14:paraId="528A3D85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456</w:t>
            </w:r>
          </w:p>
        </w:tc>
        <w:tc>
          <w:tcPr>
            <w:tcW w:w="1370" w:type="pct"/>
            <w:noWrap w:val="0"/>
            <w:vAlign w:val="top"/>
          </w:tcPr>
          <w:p w14:paraId="3182FEC3"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369AE82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u w:val="single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u w:val="single"/>
        </w:rPr>
        <w:t>备注：批次仅为预估数量，全年实际抽样品类、批次以采购人阶段性下达抽检任务书为准，结算金额 = 实际完成合格抽检批次 × 中标综合单价，总结算金额不得突破项目最高限价。</w:t>
      </w:r>
    </w:p>
    <w:p w14:paraId="0A5BCFB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</w:rPr>
        <w:t>五、技术资料</w:t>
      </w:r>
    </w:p>
    <w:p w14:paraId="231B388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1.</w:t>
      </w:r>
      <w:bookmarkStart w:id="3" w:name="_Hlk73203142"/>
      <w:r>
        <w:rPr>
          <w:rFonts w:hint="eastAsia" w:ascii="宋体" w:hAnsi="宋体" w:cs="宋体"/>
          <w:kern w:val="0"/>
          <w:sz w:val="24"/>
          <w:szCs w:val="21"/>
        </w:rPr>
        <w:t>供应商</w:t>
      </w:r>
      <w:bookmarkEnd w:id="3"/>
      <w:r>
        <w:rPr>
          <w:rFonts w:hint="eastAsia" w:ascii="宋体" w:hAnsi="宋体" w:cs="宋体"/>
          <w:kern w:val="0"/>
          <w:sz w:val="24"/>
          <w:szCs w:val="21"/>
        </w:rPr>
        <w:t>应按磋商文件规定的时间向采购人提供完成项目的有关服务资料。</w:t>
      </w:r>
    </w:p>
    <w:p w14:paraId="4F77248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2.没有采购人事先书面同意，供应商不得将由采购人提供的有关合同或任何合同条文、规格、计划或资料提供给与履行本合同无关的任何其他人。即使向履行本合同有关的人员提供，也应注意保密并限于履行合同的必需范围。</w:t>
      </w:r>
    </w:p>
    <w:p w14:paraId="7FCCE94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1"/>
        </w:rPr>
      </w:pPr>
      <w:r>
        <w:rPr>
          <w:rFonts w:hint="eastAsia" w:ascii="宋体" w:hAnsi="宋体" w:cs="宋体"/>
          <w:b/>
          <w:kern w:val="0"/>
          <w:sz w:val="24"/>
          <w:szCs w:val="21"/>
        </w:rPr>
        <w:t>六、技术情报的保密</w:t>
      </w:r>
    </w:p>
    <w:p w14:paraId="741EB44F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1.采购人、供应商双方商定，供应商取得的所有原始技术资料在工作结束后交还采购人，供应商不得对外泄露。</w:t>
      </w:r>
    </w:p>
    <w:p w14:paraId="39EE2F48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2.</w:t>
      </w:r>
      <w:r>
        <w:rPr>
          <w:rFonts w:hint="eastAsia" w:ascii="宋体" w:hAnsi="宋体" w:cs="宋体"/>
          <w:kern w:val="0"/>
          <w:sz w:val="24"/>
          <w:szCs w:val="21"/>
          <w:lang w:val="en-US" w:eastAsia="zh-CN"/>
        </w:rPr>
        <w:t>相关资料</w:t>
      </w:r>
      <w:r>
        <w:rPr>
          <w:rFonts w:hint="eastAsia" w:ascii="宋体" w:hAnsi="宋体" w:cs="宋体"/>
          <w:kern w:val="0"/>
          <w:sz w:val="24"/>
          <w:szCs w:val="21"/>
        </w:rPr>
        <w:t>涉及国家秘密的，供应商应严格遵守国家《保密法》及有关保密规定，履行有关保密程序，供应商涉密人员上岗应当经过保密教育培训，掌握保密知识技能，签订保密承诺书，严格遵守保密规章制度，不得泄露国家秘密。</w:t>
      </w:r>
    </w:p>
    <w:p w14:paraId="59F879BD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</w:rPr>
        <w:t>七、转让或分包</w:t>
      </w:r>
    </w:p>
    <w:p w14:paraId="755E412F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1.本合同范围的项目服务内容，应由供应商直接服务，不得转让他人；</w:t>
      </w:r>
    </w:p>
    <w:p w14:paraId="24945A4F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2.如有转让和未经采购人同意的分包行为，采购人有权解除合同，并追究供应商的违约责任。</w:t>
      </w:r>
    </w:p>
    <w:p w14:paraId="5A399C6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ascii="宋体" w:hAnsi="宋体" w:cs="宋体"/>
          <w:b/>
          <w:kern w:val="0"/>
          <w:sz w:val="24"/>
          <w:szCs w:val="21"/>
        </w:rPr>
      </w:pPr>
      <w:bookmarkStart w:id="4" w:name="_Toc28452"/>
      <w:r>
        <w:rPr>
          <w:rFonts w:hint="eastAsia" w:ascii="宋体" w:hAnsi="宋体" w:cs="宋体"/>
          <w:b/>
          <w:kern w:val="0"/>
          <w:sz w:val="24"/>
          <w:szCs w:val="21"/>
        </w:rPr>
        <w:t>八、采购人的权利及义务</w:t>
      </w:r>
      <w:bookmarkEnd w:id="4"/>
    </w:p>
    <w:p w14:paraId="1099F131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（一）采购人的权利</w:t>
      </w:r>
    </w:p>
    <w:p w14:paraId="0C6D5CE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kern w:val="0"/>
          <w:sz w:val="24"/>
          <w:szCs w:val="21"/>
        </w:rPr>
        <w:t>1</w:t>
      </w:r>
      <w:r>
        <w:rPr>
          <w:rFonts w:hint="eastAsia" w:ascii="宋体" w:hAnsi="宋体" w:cs="宋体"/>
          <w:kern w:val="0"/>
          <w:sz w:val="24"/>
          <w:szCs w:val="21"/>
        </w:rPr>
        <w:t>．采购人有权向供应商询问工作进展情况及相关的内容。</w:t>
      </w:r>
    </w:p>
    <w:p w14:paraId="22292563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kern w:val="0"/>
          <w:sz w:val="24"/>
          <w:szCs w:val="21"/>
        </w:rPr>
        <w:t>2</w:t>
      </w:r>
      <w:r>
        <w:rPr>
          <w:rFonts w:hint="eastAsia" w:ascii="宋体" w:hAnsi="宋体" w:cs="宋体"/>
          <w:kern w:val="0"/>
          <w:sz w:val="24"/>
          <w:szCs w:val="21"/>
        </w:rPr>
        <w:t>．采购人有权阐述对具体问题的意见和建议。</w:t>
      </w:r>
    </w:p>
    <w:p w14:paraId="6894042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kern w:val="0"/>
          <w:sz w:val="24"/>
          <w:szCs w:val="21"/>
        </w:rPr>
        <w:t xml:space="preserve">3. </w:t>
      </w:r>
      <w:r>
        <w:rPr>
          <w:rFonts w:hint="eastAsia" w:ascii="宋体" w:hAnsi="宋体" w:cs="宋体"/>
          <w:kern w:val="0"/>
          <w:sz w:val="24"/>
          <w:szCs w:val="21"/>
        </w:rPr>
        <w:t>采购人有权根据项目的具体情况，要求供应商按期到项目现场勘探解决争议。</w:t>
      </w:r>
    </w:p>
    <w:p w14:paraId="0B8FFF4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kern w:val="0"/>
          <w:sz w:val="24"/>
          <w:szCs w:val="21"/>
        </w:rPr>
        <w:t>4</w:t>
      </w:r>
      <w:r>
        <w:rPr>
          <w:rFonts w:hint="eastAsia" w:ascii="宋体" w:hAnsi="宋体" w:cs="宋体"/>
          <w:kern w:val="0"/>
          <w:sz w:val="24"/>
          <w:szCs w:val="21"/>
        </w:rPr>
        <w:t>．当采购人认定供应商专业人员不按合同履行其职责，或与第三人串通给采购人造成损失的，采购人有权要求更换专业人员，直至终止合同并要求供应商承担相应的赔偿责任。</w:t>
      </w:r>
    </w:p>
    <w:p w14:paraId="5FFD992F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（二）采购人的义务</w:t>
      </w:r>
    </w:p>
    <w:p w14:paraId="0524E85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kern w:val="0"/>
          <w:sz w:val="24"/>
          <w:szCs w:val="21"/>
        </w:rPr>
        <w:t>1</w:t>
      </w:r>
      <w:r>
        <w:rPr>
          <w:rFonts w:hint="eastAsia" w:ascii="宋体" w:hAnsi="宋体" w:cs="宋体"/>
          <w:kern w:val="0"/>
          <w:sz w:val="24"/>
          <w:szCs w:val="21"/>
        </w:rPr>
        <w:t>．采购人应当在约定的时间内，向供应商提供与本项目实施有关的资料。</w:t>
      </w:r>
    </w:p>
    <w:p w14:paraId="02370C9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ascii="宋体" w:hAnsi="宋体" w:cs="宋体"/>
          <w:b/>
          <w:kern w:val="0"/>
          <w:sz w:val="24"/>
          <w:szCs w:val="21"/>
        </w:rPr>
      </w:pPr>
      <w:bookmarkStart w:id="5" w:name="_Toc14300"/>
      <w:r>
        <w:rPr>
          <w:rFonts w:hint="eastAsia" w:ascii="宋体" w:hAnsi="宋体" w:cs="宋体"/>
          <w:b/>
          <w:kern w:val="0"/>
          <w:sz w:val="24"/>
          <w:szCs w:val="21"/>
        </w:rPr>
        <w:t>九、供应商的权利及义务</w:t>
      </w:r>
      <w:bookmarkEnd w:id="5"/>
    </w:p>
    <w:p w14:paraId="24E0A22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（一）供应商的权利</w:t>
      </w:r>
    </w:p>
    <w:p w14:paraId="250D1E1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kern w:val="0"/>
          <w:sz w:val="24"/>
          <w:szCs w:val="21"/>
        </w:rPr>
        <w:t>1.</w:t>
      </w:r>
      <w:r>
        <w:rPr>
          <w:rFonts w:hint="eastAsia" w:ascii="宋体" w:hAnsi="宋体" w:cs="宋体"/>
          <w:kern w:val="0"/>
          <w:sz w:val="24"/>
          <w:szCs w:val="21"/>
        </w:rPr>
        <w:t>供应商在项目实施过程中，如采购人提供的资料不明确时可向采购人提出书面报告。</w:t>
      </w:r>
    </w:p>
    <w:p w14:paraId="4B7AD301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kern w:val="0"/>
          <w:sz w:val="24"/>
          <w:szCs w:val="21"/>
        </w:rPr>
        <w:t>2</w:t>
      </w:r>
      <w:r>
        <w:rPr>
          <w:rFonts w:hint="eastAsia" w:ascii="宋体" w:hAnsi="宋体" w:cs="宋体"/>
          <w:kern w:val="0"/>
          <w:sz w:val="24"/>
          <w:szCs w:val="21"/>
        </w:rPr>
        <w:t>.供应商在项目实施过程中，有到项目现场勘察的权利。</w:t>
      </w:r>
    </w:p>
    <w:p w14:paraId="110B42C6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（二）供应商的义务</w:t>
      </w:r>
    </w:p>
    <w:p w14:paraId="3D710C9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bookmarkStart w:id="6" w:name="_Toc534"/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1、抽样检验过程中应严格按照有关法律法规、规章以及《食品安全监督抽检和风险监测工作规范》和《食品安全监督抽检实施细则（2026版）》执行， 因供应商的原因导致不合格食品后处置工作无法进行的，供应商需承担相应的法律责任。</w:t>
      </w:r>
    </w:p>
    <w:p w14:paraId="233813CC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2、能提供高效抽检服务，全年365天提供24小时服务，能接受抽样工作委托，有专门团队负责配合采样；</w:t>
      </w:r>
    </w:p>
    <w:p w14:paraId="3BD9C2D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3、有能满足采样、运输、检验等工作车辆、仪器设备；满足大型社会活动中食品安全的保障能力。</w:t>
      </w:r>
    </w:p>
    <w:p w14:paraId="1F4F4836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4、供应商抽样人员要查看被抽样单位的营业执照、食品生产许可证、食品经营许可证、食品加工小作坊生产许可证等相关资质，确认被抽样单位合法生产经营。在抽取样品时要如实、详细、工整填写抽样单，抽样单不得随意涂改；</w:t>
      </w:r>
    </w:p>
    <w:p w14:paraId="73CD2C3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 xml:space="preserve">5、供应商抽样人员应通过拍照或录像等方式对被抽样品状态、食品库存及其他可能影响抽检检测结果的情形进行现场信息采集，保证样品4小时内进实验室。其内容包括：         </w:t>
      </w:r>
    </w:p>
    <w:p w14:paraId="11EA3F01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（1）被抽样单位外观照片，若被抽样单位悬挂厂牌的，应包含在照片内；</w:t>
      </w:r>
    </w:p>
    <w:p w14:paraId="169CF0B3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（2）被抽样单位营业执照、许可证等法定资质证书复印件或照片；</w:t>
      </w:r>
    </w:p>
    <w:p w14:paraId="32CA906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（3）抽样人员从样品堆中取样照片，应包含有抽样人员和样品堆信息(可大致反映抽样基数) ；</w:t>
      </w:r>
    </w:p>
    <w:p w14:paraId="7E08779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（4）从不同部位抽取的含有外包装的样品照片；</w:t>
      </w:r>
    </w:p>
    <w:p w14:paraId="6F64169F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（5）封样完毕后，所封样品码放整齐后的外观照片和封条近照；</w:t>
      </w:r>
    </w:p>
    <w:p w14:paraId="5848FAE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（6）同时包含所封样品、抽样人员和被抽样单位人员的照片；</w:t>
      </w:r>
    </w:p>
    <w:p w14:paraId="4E8B8ADF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（7）填写完毕的抽样单、购物票据等在一起的照片；</w:t>
      </w:r>
    </w:p>
    <w:p w14:paraId="089AA93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（8）其他需要采集的信息。</w:t>
      </w:r>
    </w:p>
    <w:p w14:paraId="0719ABBD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6、供应商检验过程应符合食品安全标准和检验规范，保证数据和结论客观、公正；</w:t>
      </w:r>
    </w:p>
    <w:p w14:paraId="7ED4502D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7、检测结果及时准确，报告复检维持率高；</w:t>
      </w:r>
    </w:p>
    <w:p w14:paraId="2DBFC2F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8、供应商不得将检验任务外包或分包给其他检测机构检验；</w:t>
      </w:r>
    </w:p>
    <w:p w14:paraId="27DEEAC1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9、若供应商出具虚假、错误检验数据和结论，一经发现，立即取消合作资格；并承担相应法律责任。</w:t>
      </w:r>
    </w:p>
    <w:p w14:paraId="3D8CBF3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10、供应商须提供相关的业务咨询、报告分析等服务；</w:t>
      </w:r>
    </w:p>
    <w:p w14:paraId="1A23FD60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11、供应商收到检品后20个工作日出具检验报告。对于特殊、涉案样品的检验，保证样品4小时内进实验室，3天出结果，7天出报告。涉案样品需要配合司法机关调查、取证的应当积极配合；</w:t>
      </w:r>
    </w:p>
    <w:p w14:paraId="7FDA580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12、供应商应在食品检验检测报告出具7个工作日内完成报告在国抽系统中的录入，录入应做到及时、准确、与纸质版报告内容一致；</w:t>
      </w:r>
    </w:p>
    <w:p w14:paraId="2A0CBF2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13、供应商要及时将当月实验室检验数据要按省、市要求录入“食品安全抽检监测信息系统”。</w:t>
      </w:r>
    </w:p>
    <w:p w14:paraId="4D5EB4C6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/>
          <w:kern w:val="0"/>
          <w:sz w:val="24"/>
          <w:szCs w:val="21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1"/>
        </w:rPr>
        <w:t>14、遇紧急突发事项，需0.5小时内响应，1小时内到场服务。</w:t>
      </w:r>
    </w:p>
    <w:p w14:paraId="6D98846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ascii="宋体" w:hAnsi="宋体" w:cs="宋体"/>
          <w:b/>
          <w:kern w:val="0"/>
          <w:sz w:val="24"/>
          <w:szCs w:val="21"/>
        </w:rPr>
      </w:pPr>
      <w:r>
        <w:rPr>
          <w:rFonts w:hint="eastAsia" w:ascii="宋体" w:hAnsi="宋体" w:cs="宋体"/>
          <w:b/>
          <w:kern w:val="0"/>
          <w:sz w:val="24"/>
          <w:szCs w:val="21"/>
        </w:rPr>
        <w:t>十、服务保证</w:t>
      </w:r>
      <w:bookmarkEnd w:id="6"/>
    </w:p>
    <w:p w14:paraId="0BD7AF82">
      <w:pPr>
        <w:spacing w:line="360" w:lineRule="auto"/>
        <w:ind w:firstLine="480" w:firstLineChars="200"/>
        <w:outlineLvl w:val="1"/>
        <w:rPr>
          <w:rFonts w:hint="eastAsia" w:ascii="宋体" w:hAnsi="宋体" w:cs="宋体"/>
          <w:b w:val="0"/>
          <w:bCs/>
          <w:sz w:val="24"/>
        </w:rPr>
      </w:pPr>
      <w:bookmarkStart w:id="7" w:name="_Toc26949"/>
      <w:r>
        <w:rPr>
          <w:rFonts w:hint="eastAsia" w:ascii="宋体" w:hAnsi="宋体" w:cs="宋体"/>
          <w:b w:val="0"/>
          <w:bCs/>
          <w:sz w:val="24"/>
        </w:rPr>
        <w:t>抽样检验过程中应严格按照有关法律法规、规章以及《食品安全监督抽检和风险监测工作规范》和《食品安全监督抽检实施细则（2026版）》执行。</w:t>
      </w:r>
    </w:p>
    <w:p w14:paraId="23302B34">
      <w:pPr>
        <w:spacing w:line="360" w:lineRule="auto"/>
        <w:ind w:firstLine="482" w:firstLineChars="200"/>
        <w:outlineLvl w:val="1"/>
        <w:rPr>
          <w:rFonts w:asci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十一、违约责任</w:t>
      </w:r>
      <w:bookmarkEnd w:id="7"/>
    </w:p>
    <w:p w14:paraId="27F003D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（一）采购人因未及时向供应商提供项目启动所需资料、协调地方关系造成工期延误，每延误</w:t>
      </w:r>
      <w:r>
        <w:rPr>
          <w:rFonts w:ascii="宋体" w:hAnsi="宋体" w:cs="宋体"/>
          <w:bCs/>
          <w:sz w:val="24"/>
        </w:rPr>
        <w:t>1</w:t>
      </w:r>
      <w:r>
        <w:rPr>
          <w:rFonts w:hint="eastAsia" w:ascii="宋体" w:hAnsi="宋体" w:cs="宋体"/>
          <w:bCs/>
          <w:sz w:val="24"/>
        </w:rPr>
        <w:t>日则本合同服务期</w:t>
      </w:r>
      <w:bookmarkStart w:id="8" w:name="_GoBack"/>
      <w:bookmarkEnd w:id="8"/>
      <w:r>
        <w:rPr>
          <w:rFonts w:hint="eastAsia" w:ascii="宋体" w:hAnsi="宋体" w:cs="宋体"/>
          <w:bCs/>
          <w:sz w:val="24"/>
        </w:rPr>
        <w:t>限延长</w:t>
      </w:r>
      <w:r>
        <w:rPr>
          <w:rFonts w:ascii="宋体" w:hAnsi="宋体" w:cs="宋体"/>
          <w:bCs/>
          <w:sz w:val="24"/>
        </w:rPr>
        <w:t>1</w:t>
      </w:r>
      <w:r>
        <w:rPr>
          <w:rFonts w:hint="eastAsia" w:ascii="宋体" w:hAnsi="宋体" w:cs="宋体"/>
          <w:bCs/>
          <w:sz w:val="24"/>
        </w:rPr>
        <w:t>日，以此类推。</w:t>
      </w:r>
    </w:p>
    <w:p w14:paraId="14296D7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（二）因供应商原因造成</w:t>
      </w:r>
      <w:r>
        <w:rPr>
          <w:rFonts w:hint="eastAsia" w:ascii="宋体" w:hAnsi="宋体" w:cs="宋体"/>
          <w:bCs/>
          <w:sz w:val="24"/>
          <w:lang w:val="en-US" w:eastAsia="zh-CN"/>
        </w:rPr>
        <w:t>服务</w:t>
      </w:r>
      <w:r>
        <w:rPr>
          <w:rFonts w:hint="eastAsia" w:ascii="宋体" w:hAnsi="宋体" w:cs="宋体"/>
          <w:bCs/>
          <w:sz w:val="24"/>
        </w:rPr>
        <w:t>期延误（自然灾害等不可抗力除外），采购人有权从未付款项中按每日</w:t>
      </w:r>
      <w:r>
        <w:rPr>
          <w:rFonts w:ascii="宋体" w:hAnsi="宋体" w:cs="宋体"/>
          <w:bCs/>
          <w:sz w:val="24"/>
        </w:rPr>
        <w:t>3</w:t>
      </w:r>
      <w:r>
        <w:rPr>
          <w:rFonts w:hint="eastAsia" w:ascii="宋体" w:hAnsi="宋体" w:cs="宋体"/>
          <w:bCs/>
          <w:sz w:val="24"/>
        </w:rPr>
        <w:t>‰合同价款扣除违约金，此违约以</w:t>
      </w:r>
      <w:r>
        <w:rPr>
          <w:rFonts w:ascii="宋体" w:hAnsi="宋体" w:cs="宋体"/>
          <w:bCs/>
          <w:sz w:val="24"/>
        </w:rPr>
        <w:t>30</w:t>
      </w:r>
      <w:r>
        <w:rPr>
          <w:rFonts w:hint="eastAsia" w:ascii="宋体" w:hAnsi="宋体" w:cs="宋体"/>
          <w:bCs/>
          <w:sz w:val="24"/>
        </w:rPr>
        <w:t>日为限；若采购人未按约定时间付款，则供应商有权按每日</w:t>
      </w:r>
      <w:r>
        <w:rPr>
          <w:rFonts w:ascii="宋体" w:hAnsi="宋体" w:cs="宋体"/>
          <w:bCs/>
          <w:sz w:val="24"/>
        </w:rPr>
        <w:t>3</w:t>
      </w:r>
      <w:r>
        <w:rPr>
          <w:rFonts w:hint="eastAsia" w:ascii="宋体" w:hAnsi="宋体" w:cs="宋体"/>
          <w:bCs/>
          <w:sz w:val="24"/>
        </w:rPr>
        <w:t>‰合同价款收取违约金。</w:t>
      </w:r>
    </w:p>
    <w:p w14:paraId="3F4BBD6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</w:rPr>
        <w:t>十二、不可抗力事件处理</w:t>
      </w:r>
    </w:p>
    <w:p w14:paraId="2D47BD6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1. 在合同有效期内，任何一方因不可抗力事件导致不能履行合同，则合同履行期可延长，其延长期与不可抗力影响期相同。</w:t>
      </w:r>
    </w:p>
    <w:p w14:paraId="5E60849D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2. 不可抗力事件发生后，应立即通知对方，并寄送有关权威机构出具的证明。</w:t>
      </w:r>
    </w:p>
    <w:p w14:paraId="512BB92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3. 不可抗力事件延续120天以上，双方应通过友好协商，确定是否继续履行合同。</w:t>
      </w:r>
    </w:p>
    <w:p w14:paraId="027096C1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</w:rPr>
        <w:t>十三、诉讼</w:t>
      </w:r>
    </w:p>
    <w:p w14:paraId="46C1D6A6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48" w:firstLineChars="200"/>
        <w:jc w:val="left"/>
        <w:rPr>
          <w:rFonts w:hint="eastAsia" w:ascii="宋体" w:hAnsi="宋体" w:cs="宋体"/>
          <w:spacing w:val="-8"/>
          <w:kern w:val="0"/>
          <w:sz w:val="24"/>
          <w:szCs w:val="21"/>
        </w:rPr>
      </w:pPr>
      <w:r>
        <w:rPr>
          <w:rFonts w:hint="eastAsia" w:ascii="宋体" w:hAnsi="宋体" w:cs="宋体"/>
          <w:spacing w:val="-8"/>
          <w:kern w:val="0"/>
          <w:sz w:val="24"/>
          <w:szCs w:val="21"/>
        </w:rPr>
        <w:t>双方在执行合同中所发生的一切争议，应通过协商解决。如协商不成，可向采购人所在地法院起诉。</w:t>
      </w:r>
    </w:p>
    <w:p w14:paraId="0687E15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</w:rPr>
        <w:t>十四、合同生效及其它</w:t>
      </w:r>
    </w:p>
    <w:p w14:paraId="3690C75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1、本合同经采购人、供应商法定代表人或其委托人签字并加盖公章后生效。</w:t>
      </w:r>
    </w:p>
    <w:p w14:paraId="7CA9E5A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48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spacing w:val="-8"/>
          <w:kern w:val="0"/>
          <w:sz w:val="24"/>
          <w:szCs w:val="21"/>
        </w:rPr>
        <w:t>2、本合同一式</w:t>
      </w:r>
      <w:r>
        <w:rPr>
          <w:rFonts w:hint="eastAsia" w:ascii="宋体" w:hAnsi="宋体" w:cs="宋体"/>
          <w:spacing w:val="-8"/>
          <w:kern w:val="0"/>
          <w:sz w:val="24"/>
          <w:szCs w:val="21"/>
          <w:u w:val="single"/>
          <w:lang w:val="en-US" w:eastAsia="zh-CN"/>
        </w:rPr>
        <w:t>陆</w:t>
      </w:r>
      <w:r>
        <w:rPr>
          <w:rFonts w:hint="eastAsia" w:ascii="宋体" w:hAnsi="宋体" w:cs="宋体"/>
          <w:spacing w:val="-8"/>
          <w:kern w:val="0"/>
          <w:sz w:val="24"/>
          <w:szCs w:val="21"/>
        </w:rPr>
        <w:t>份，采购人、供应商各执</w:t>
      </w:r>
      <w:r>
        <w:rPr>
          <w:rFonts w:hint="eastAsia" w:ascii="宋体" w:hAnsi="宋体" w:cs="宋体"/>
          <w:spacing w:val="-8"/>
          <w:kern w:val="0"/>
          <w:sz w:val="24"/>
          <w:szCs w:val="21"/>
          <w:u w:val="single"/>
          <w:lang w:val="en-US" w:eastAsia="zh-CN"/>
        </w:rPr>
        <w:t>贰</w:t>
      </w:r>
      <w:r>
        <w:rPr>
          <w:rFonts w:hint="eastAsia" w:ascii="宋体" w:hAnsi="宋体" w:cs="宋体"/>
          <w:spacing w:val="-8"/>
          <w:kern w:val="0"/>
          <w:sz w:val="24"/>
          <w:szCs w:val="21"/>
        </w:rPr>
        <w:t>份，其余相关部门各</w:t>
      </w:r>
      <w:r>
        <w:rPr>
          <w:rFonts w:hint="eastAsia" w:ascii="宋体" w:hAnsi="宋体" w:cs="宋体"/>
          <w:spacing w:val="-8"/>
          <w:kern w:val="0"/>
          <w:sz w:val="24"/>
          <w:szCs w:val="21"/>
          <w:u w:val="single"/>
          <w:lang w:val="en-US" w:eastAsia="zh-CN"/>
        </w:rPr>
        <w:t>壹</w:t>
      </w:r>
      <w:r>
        <w:rPr>
          <w:rFonts w:hint="eastAsia" w:ascii="宋体" w:hAnsi="宋体" w:cs="宋体"/>
          <w:spacing w:val="-8"/>
          <w:kern w:val="0"/>
          <w:sz w:val="24"/>
          <w:szCs w:val="21"/>
        </w:rPr>
        <w:t>份。</w:t>
      </w:r>
    </w:p>
    <w:p w14:paraId="5CA041E4">
      <w:pPr>
        <w:pStyle w:val="4"/>
        <w:spacing w:line="360" w:lineRule="auto"/>
        <w:ind w:firstLine="240" w:firstLineChars="100"/>
        <w:rPr>
          <w:rFonts w:hint="eastAsia" w:ascii="宋体" w:hAnsi="宋体" w:cs="宋体"/>
          <w:color w:val="auto"/>
          <w:kern w:val="0"/>
          <w:szCs w:val="21"/>
        </w:rPr>
      </w:pPr>
    </w:p>
    <w:p w14:paraId="2BBA613D">
      <w:pPr>
        <w:pStyle w:val="4"/>
        <w:spacing w:line="360" w:lineRule="auto"/>
        <w:ind w:firstLine="240" w:firstLineChars="100"/>
        <w:rPr>
          <w:rFonts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 xml:space="preserve">采购人（章）：                     </w:t>
      </w:r>
      <w:r>
        <w:rPr>
          <w:rFonts w:ascii="宋体" w:hAnsi="宋体" w:cs="宋体"/>
          <w:color w:val="auto"/>
          <w:kern w:val="0"/>
          <w:szCs w:val="21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  供应商（章）：         </w:t>
      </w:r>
    </w:p>
    <w:p w14:paraId="3DA72B14">
      <w:pPr>
        <w:pStyle w:val="4"/>
        <w:spacing w:line="360" w:lineRule="auto"/>
        <w:ind w:firstLine="240" w:firstLineChars="100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 xml:space="preserve">法定代表人 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color w:val="auto"/>
          <w:kern w:val="0"/>
          <w:szCs w:val="21"/>
        </w:rPr>
        <w:t>法定代表人</w:t>
      </w:r>
    </w:p>
    <w:p w14:paraId="35E5EC0F">
      <w:pPr>
        <w:pStyle w:val="4"/>
        <w:spacing w:line="360" w:lineRule="auto"/>
        <w:ind w:firstLine="240" w:firstLineChars="100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>或委托代理人</w:t>
      </w:r>
      <w:r>
        <w:rPr>
          <w:rFonts w:hint="eastAsia" w:ascii="宋体" w:hAnsi="宋体" w:cs="宋体"/>
          <w:color w:val="auto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>签字或盖章</w:t>
      </w:r>
      <w:r>
        <w:rPr>
          <w:rFonts w:hint="eastAsia" w:ascii="宋体" w:hAnsi="宋体" w:cs="宋体"/>
          <w:color w:val="auto"/>
          <w:kern w:val="0"/>
          <w:szCs w:val="21"/>
          <w:lang w:eastAsia="zh-CN"/>
        </w:rPr>
        <w:t>）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：          </w:t>
      </w:r>
      <w:r>
        <w:rPr>
          <w:rFonts w:ascii="宋体" w:hAnsi="宋体" w:cs="宋体"/>
          <w:color w:val="auto"/>
          <w:kern w:val="0"/>
          <w:szCs w:val="21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</w:rPr>
        <w:t>或委托代理人</w:t>
      </w:r>
      <w:r>
        <w:rPr>
          <w:rFonts w:hint="eastAsia" w:ascii="宋体" w:hAnsi="宋体" w:cs="宋体"/>
          <w:color w:val="auto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>签字或盖章</w:t>
      </w:r>
      <w:r>
        <w:rPr>
          <w:rFonts w:hint="eastAsia" w:ascii="宋体" w:hAnsi="宋体" w:cs="宋体"/>
          <w:color w:val="auto"/>
          <w:kern w:val="0"/>
          <w:szCs w:val="21"/>
          <w:lang w:eastAsia="zh-CN"/>
        </w:rPr>
        <w:t>）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：  </w:t>
      </w:r>
    </w:p>
    <w:p w14:paraId="39B3CD14">
      <w:pPr>
        <w:spacing w:line="360" w:lineRule="auto"/>
        <w:jc w:val="center"/>
        <w:rPr>
          <w:rFonts w:hint="eastAsia" w:ascii="宋体" w:hAnsi="宋体" w:cs="宋体"/>
          <w:color w:val="auto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lang w:val="en-US" w:eastAsia="zh-CN" w:bidi="ar-SA"/>
        </w:rPr>
        <w:t xml:space="preserve">年   月   日                                 年   月   </w:t>
      </w:r>
      <w:r>
        <w:rPr>
          <w:rFonts w:hint="eastAsia" w:ascii="宋体" w:hAnsi="宋体" w:cs="宋体"/>
          <w:color w:val="auto"/>
          <w:kern w:val="0"/>
          <w:sz w:val="24"/>
          <w:szCs w:val="21"/>
          <w:lang w:val="en-US" w:eastAsia="zh-CN" w:bidi="ar-SA"/>
        </w:rPr>
        <w:t>日</w:t>
      </w:r>
    </w:p>
    <w:p w14:paraId="73E4D961">
      <w:pPr>
        <w:spacing w:line="360" w:lineRule="auto"/>
        <w:jc w:val="center"/>
        <w:rPr>
          <w:rFonts w:hint="eastAsia" w:ascii="宋体" w:hAnsi="宋体" w:cs="宋体"/>
          <w:color w:val="auto"/>
          <w:kern w:val="0"/>
          <w:sz w:val="24"/>
          <w:szCs w:val="21"/>
          <w:lang w:val="en-US" w:eastAsia="zh-CN" w:bidi="ar-SA"/>
        </w:rPr>
      </w:pPr>
    </w:p>
    <w:p w14:paraId="4788E0E6">
      <w:pPr>
        <w:spacing w:line="360" w:lineRule="auto"/>
        <w:jc w:val="center"/>
        <w:rPr>
          <w:rFonts w:hint="eastAsia" w:ascii="宋体" w:hAnsi="宋体" w:cs="宋体"/>
          <w:color w:val="auto"/>
          <w:kern w:val="0"/>
          <w:sz w:val="24"/>
          <w:szCs w:val="21"/>
          <w:lang w:val="en-US" w:eastAsia="zh-CN" w:bidi="ar-S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4E59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169B7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169B7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847876"/>
    <w:multiLevelType w:val="singleLevel"/>
    <w:tmpl w:val="B884787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F90E5F"/>
    <w:rsid w:val="001424C8"/>
    <w:rsid w:val="11200E70"/>
    <w:rsid w:val="17F90E5F"/>
    <w:rsid w:val="1A380C99"/>
    <w:rsid w:val="20CA2A40"/>
    <w:rsid w:val="24EF4C44"/>
    <w:rsid w:val="2D0D6607"/>
    <w:rsid w:val="3C502C8E"/>
    <w:rsid w:val="50FC3F5A"/>
    <w:rsid w:val="561D7743"/>
    <w:rsid w:val="5A43662F"/>
    <w:rsid w:val="603D1B14"/>
    <w:rsid w:val="628478CC"/>
    <w:rsid w:val="63CD5F9C"/>
    <w:rsid w:val="654D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Times New Roman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4">
    <w:name w:val="Body Text"/>
    <w:basedOn w:val="1"/>
    <w:qFormat/>
    <w:uiPriority w:val="99"/>
    <w:rPr>
      <w:color w:val="993300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4422</Words>
  <Characters>4494</Characters>
  <Lines>0</Lines>
  <Paragraphs>0</Paragraphs>
  <TotalTime>0</TotalTime>
  <ScaleCrop>false</ScaleCrop>
  <LinksUpToDate>false</LinksUpToDate>
  <CharactersWithSpaces>4735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2025-04-23T02:12:00Z</dcterms:created>
  <dc:creator>有点甜</dc:creator>
  <cp:lastModifiedBy>WPS_1730446345</cp:lastModifiedBy>
  <dcterms:modified xsi:type="dcterms:W3CDTF">2026-08-13T06:27:21Z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01878B576BA146A4B444EF82C15BADB0_13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