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6EFE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15"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233DFBC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40" w:lineRule="atLeast"/>
        <w:ind w:left="0" w:right="0" w:firstLine="24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信息化水平提升（配套设备）建设项目</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2026年08月31日 14时30分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292EA19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34D8CC1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项目编号：HZGH-2026-063</w:t>
      </w:r>
    </w:p>
    <w:p w14:paraId="21F817B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项目名称：信息化水平提升（配套设备）建设项目</w:t>
      </w:r>
    </w:p>
    <w:p w14:paraId="110EF34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45B3EDC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预算金额：522,658.00元</w:t>
      </w:r>
    </w:p>
    <w:p w14:paraId="3CABCD1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24C676F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4504E51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采购包1：收到预付款后7个工作日内交付</w:t>
      </w:r>
    </w:p>
    <w:p w14:paraId="488F2C4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5B15968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51DC6D8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134257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6DBEFBA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 无。</w:t>
      </w:r>
    </w:p>
    <w:p w14:paraId="7F8A5C8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8D3C2F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合同包1(信息化水平提升（配套设备）建设项目)特定资格要求如下:</w:t>
      </w:r>
    </w:p>
    <w:p w14:paraId="6DD9EBF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(1)具有独⽴承担⺠事责任能⼒的法⼈、其他组织或⾃然⼈，提供供应商合法注册的法⼈或者其他组织的营业执照等证明⽂件、⾃然⼈的⾝份证明；</w:t>
      </w:r>
    </w:p>
    <w:p w14:paraId="267213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财务审计资质单位出具的2024年度或2025年度财务报告（成⽴时间⾄谈判时间不⾜⼀年的可提供成⽴后任意时段的资产负债表）或谈判前六个⽉内其基本账戶银⾏出具的资信证明（附开戶许可证或基本账戶证明）或政府采购信⽤担保机构出具的担保函；</w:t>
      </w:r>
    </w:p>
    <w:p w14:paraId="18EB926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(3)提供2025年8⽉1⽇⾄今任意⼀个⽉已缴纳的纳税证明或完税证明（包含增值税、企业所得税 、营业税⾄少⼀种）；（依法免税的供应商应提供相关⽂件证明）</w:t>
      </w:r>
    </w:p>
    <w:p w14:paraId="4350DAF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(4)提供2025年8⽉1⽇⾄今任意⼀个⽉的社保缴费凭据或社保机构开具的社会保险参保缴费情况证明；（依法不需要缴纳社会保障资⾦的供应商应提供相关证明）</w:t>
      </w:r>
    </w:p>
    <w:p w14:paraId="30980D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(5)提供具有履⾏本合同所必需的设备和专业技术能⼒的说明及承诺；（格式⾃拟，加盖供应商公章）</w:t>
      </w:r>
    </w:p>
    <w:p w14:paraId="227CF8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(6)提供参加政府采购活动前三年内在经营活动中没有重⼤违法记录的书⾯声明。（格式⾃拟，加盖供应商公章）</w:t>
      </w:r>
    </w:p>
    <w:p w14:paraId="5A742A7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(7)法定代表⼈或负责⼈参与谈判时需提供法定代表⼈或负责⼈资格证明书；（附法定代表⼈或负责⼈⾝份证复印件）</w:t>
      </w:r>
    </w:p>
    <w:p w14:paraId="2337099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(8)被授权⼈参与谈判时， 需提供法定代表⼈或负责⼈资格证明书、法定代表⼈或负责⼈授权委 托书；（附法定代表⼈或负责⼈及被授权⼈⾝份证复印件）</w:t>
      </w:r>
    </w:p>
    <w:p w14:paraId="1E83339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(9)供应商不得为“信⽤中国”⽹站（www.creditchina.gov.cn） 中列⼊失信被执⾏⼈和重⼤税收 违法案件当事⼈名单的供应商， 不得为中国政府采购⽹（www.ccgp.gov.cn）政府采购严重 违法失信⾏为记录名单中被财政部⻔禁⽌参加政府采购活动的供应商；（提供书⾯承诺函，格式⾃拟加盖供应商公章）</w:t>
      </w:r>
    </w:p>
    <w:p w14:paraId="5C50CCE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(10)单位负责⼈为同⼀⼈或者存在直接控股、管理关系的不同供应商， 不得参加同⼀合同项下的 政府采购活动；（提供书⾯承诺函， 格式⾃拟加盖供应商公章）</w:t>
      </w:r>
    </w:p>
    <w:p w14:paraId="1FFFB7B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3947A9B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2026年08月21日 至 2026年08月26日 ，每天上午 00:00:00 至 12:00:00 ，下午 12:00:00 至 23:59:59 （北京时间）</w:t>
      </w:r>
    </w:p>
    <w:p w14:paraId="2D8FB87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68ABD1C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4AC9A55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3F63FCA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6346087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2026年08月31日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886725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553D697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11E3B68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2026年08月31日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7A64D6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27556BE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37E523A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553ED8B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00B94D4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32DCBBC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11B4D6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CFC5F4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658B60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0515A1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2E53EF3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0E77A2D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174E823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11E8972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264EACC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08094C5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（六）落实的政府采购政策</w:t>
      </w:r>
    </w:p>
    <w:p w14:paraId="505B41F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161F2B4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6534A05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195483B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20C91C8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45717D5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（6）《关于进一步加强政府绿色采购有关问题的通知》（陕财办采〔2021〕29号）；</w:t>
      </w:r>
    </w:p>
    <w:p w14:paraId="2B8F16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（7）如有最新颁布的政府采购政策，按最新的文件执行。</w:t>
      </w:r>
    </w:p>
    <w:p w14:paraId="6E7C916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（七）为顺利推进政府采购电子化交易平台应用工作，供应商需要在线提交所有通过电子化交易平台实施的政府采购项目的响应文件，同时，线下提交纸质响应文件三份；</w:t>
      </w:r>
    </w:p>
    <w:p w14:paraId="6728DB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370893C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（九）若电子响应文件与纸质响应文件不一致的以电子响应文件为准.</w:t>
      </w:r>
    </w:p>
    <w:p w14:paraId="5D69FDA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0DF528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453CDF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镇安县医院</w:t>
      </w:r>
    </w:p>
    <w:p w14:paraId="6F3E68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镇安县永乐镇南新街43号</w:t>
      </w:r>
    </w:p>
    <w:p w14:paraId="20446DD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0914-5322836</w:t>
      </w:r>
    </w:p>
    <w:p w14:paraId="2A91A96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6988D7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42AE1A2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西安市雁塔区西部国际⼴场B座2803室</w:t>
      </w:r>
    </w:p>
    <w:p w14:paraId="374EC18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1A86A6A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567F5CB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45C2BE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5B14549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华招广和项目管理有限公司</w:t>
      </w:r>
    </w:p>
    <w:p w14:paraId="24F5974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5F7098"/>
    <w:rsid w:val="2B5F7098"/>
    <w:rsid w:val="57117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2026-08-21T09:06:00Z</dcterms:created>
  <dc:creator>Miss. Kang✨</dc:creator>
  <cp:lastModifiedBy>Miss. Kang✨</cp:lastModifiedBy>
  <dcterms:modified xsi:type="dcterms:W3CDTF">2026-08-21T09:07:41Z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49F15D1914A146BE94404158BBCAEEDD_13</vt:lpwstr>
  </property>
  <property fmtid="{D5CDD505-2E9C-101B-9397-08002B2CF9AE}" pid="4" name="KSOTemplateDocerSaveRecord">
    <vt:lpwstr>eyJoZGlkIjoiNzUxMDQ2ZWJiMzc2MWUxM2RiZWFkYTQ4NzY2YzZhYTUiLCJ1c2VySWQiOiIzNDcwNTk2NzgifQ==</vt:lpwstr>
  </property>
</Properties>
</file>