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版本号：SXDY-2026-19120260624001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机房网络终端计算环境防护系统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SXDY-2026-191</w:t>
      </w:r>
      <w:r>
        <w:br/>
      </w:r>
      <w:r>
        <w:br/>
      </w:r>
      <w:r>
        <w:br/>
      </w:r>
    </w:p>
    <w:p>
      <w:pPr>
        <w:pStyle w:val="null3"/>
        <w:jc w:val="center"/>
        <w:outlineLvl w:val="2"/>
      </w:pPr>
      <w:r>
        <w:rPr>
          <w:rFonts w:ascii="仿宋_GB2312" w:hAnsi="仿宋_GB2312" w:cs="仿宋_GB2312" w:eastAsia="仿宋_GB2312"/>
          <w:sz w:val="28"/>
          <w:b/>
        </w:rPr>
        <w:t>西安市鄠邑区人民检察院[175]</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西安市鄠邑区人民检察院[175]</w:t>
      </w:r>
      <w:r>
        <w:rPr>
          <w:rFonts w:ascii="仿宋_GB2312" w:hAnsi="仿宋_GB2312" w:cs="仿宋_GB2312" w:eastAsia="仿宋_GB2312"/>
        </w:rPr>
        <w:t>委托，拟对</w:t>
      </w:r>
      <w:r>
        <w:rPr>
          <w:rFonts w:ascii="仿宋_GB2312" w:hAnsi="仿宋_GB2312" w:cs="仿宋_GB2312" w:eastAsia="仿宋_GB2312"/>
        </w:rPr>
        <w:t>机房网络终端计算环境防护系统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SXDY-2026-191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机房网络终端计算环境防护系统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机房网络终端计算环境防护系统采购项目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采购包1（机房网络终端计算环境防护系统）：属于专门面向中小企业采购。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8、法定代表人授权委托书：法定代表人直接参加磋商的，须出具法人身份证，并与营业执照上信息一致。法定代表人授权代表参加磋商的，须出具法定代表人授权书及授权代表身份证。 法人的分支机构参与磋商时，除提供《法定代表人授权委托书》外，还须同时提供法人给分支机构出具的授权书。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西安市鄠邑区人民检察院[175]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西安市鄠邑区丰京路1号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029-84863913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陕西省西安市雁塔区汇成天玺酒店C座11楼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19272982633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招标代理服务收费管理暂行办法》（计价格[2002]1980号）和国家发展和改革委员会办公厅颁发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西安市鄠邑区人民检察院[175]</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西安市鄠邑区人民检察院[175]</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西安市鄠邑区人民检察院[175]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联系人：朱娟娟</w:t>
      </w:r>
    </w:p>
    <w:p>
      <w:pPr>
        <w:pStyle w:val="null3"/>
      </w:pPr>
      <w:r>
        <w:rPr>
          <w:rFonts w:ascii="仿宋_GB2312" w:hAnsi="仿宋_GB2312" w:cs="仿宋_GB2312" w:eastAsia="仿宋_GB2312"/>
        </w:rPr>
        <w:t>联系电话：19272982633</w:t>
      </w:r>
    </w:p>
    <w:p>
      <w:pPr>
        <w:pStyle w:val="null3"/>
      </w:pPr>
      <w:r>
        <w:rPr>
          <w:rFonts w:ascii="仿宋_GB2312" w:hAnsi="仿宋_GB2312" w:cs="仿宋_GB2312" w:eastAsia="仿宋_GB2312"/>
        </w:rPr>
        <w:t>地址：陕西省西安市雁塔区汇成天玺酒店c座11楼</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机房网络终端计算环境防护系统项目，1套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机房网络终端计算环境防护系统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标的名称：机房网络终端计算环境防护系统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210"/>
              <w:tblBorders>
                <w:top w:val="none" w:color="000000" w:sz="4"/>
                <w:left w:val="none" w:color="000000" w:sz="4"/>
                <w:bottom w:val="none" w:color="000000" w:sz="4"/>
                <w:right w:val="none" w:color="000000" w:sz="4"/>
                <w:insideH w:val="none"/>
                <w:insideV w:val="none"/>
              </w:tblBorders>
            </w:tblPr>
            <w:tblGrid>
              <w:gridCol w:w="189"/>
              <w:gridCol w:w="203"/>
              <w:gridCol w:w="1622"/>
              <w:gridCol w:w="269"/>
              <w:gridCol w:w="269"/>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漏洞扫描系统</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规格要求：</w:t>
                  </w:r>
                  <w:r>
                    <w:rPr>
                      <w:rFonts w:ascii="仿宋_GB2312" w:hAnsi="仿宋_GB2312" w:cs="仿宋_GB2312" w:eastAsia="仿宋_GB2312"/>
                      <w:sz w:val="22"/>
                    </w:rPr>
                    <w:t>产品须采用国产化芯片及国产化操作系统，标准</w:t>
                  </w:r>
                  <w:r>
                    <w:rPr>
                      <w:rFonts w:ascii="仿宋_GB2312" w:hAnsi="仿宋_GB2312" w:cs="仿宋_GB2312" w:eastAsia="仿宋_GB2312"/>
                      <w:sz w:val="22"/>
                    </w:rPr>
                    <w:t>1U机箱，≥</w:t>
                  </w:r>
                  <w:r>
                    <w:rPr>
                      <w:rFonts w:ascii="仿宋_GB2312" w:hAnsi="仿宋_GB2312" w:cs="仿宋_GB2312" w:eastAsia="仿宋_GB2312"/>
                      <w:sz w:val="22"/>
                    </w:rPr>
                    <w:t>1个Console口</w:t>
                  </w:r>
                  <w:r>
                    <w:rPr>
                      <w:rFonts w:ascii="仿宋_GB2312" w:hAnsi="仿宋_GB2312" w:cs="仿宋_GB2312" w:eastAsia="仿宋_GB2312"/>
                      <w:sz w:val="22"/>
                    </w:rPr>
                    <w:t>，</w:t>
                  </w:r>
                  <w:r>
                    <w:rPr>
                      <w:rFonts w:ascii="仿宋_GB2312" w:hAnsi="仿宋_GB2312" w:cs="仿宋_GB2312" w:eastAsia="仿宋_GB2312"/>
                      <w:sz w:val="22"/>
                    </w:rPr>
                    <w:t>≥2个USB口，≥</w:t>
                  </w:r>
                  <w:r>
                    <w:rPr>
                      <w:rFonts w:ascii="仿宋_GB2312" w:hAnsi="仿宋_GB2312" w:cs="仿宋_GB2312" w:eastAsia="仿宋_GB2312"/>
                      <w:sz w:val="22"/>
                    </w:rPr>
                    <w:t>6个千兆电口</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4个千兆光口（</w:t>
                  </w:r>
                  <w:r>
                    <w:rPr>
                      <w:rFonts w:ascii="仿宋_GB2312" w:hAnsi="仿宋_GB2312" w:cs="仿宋_GB2312" w:eastAsia="仿宋_GB2312"/>
                      <w:sz w:val="22"/>
                    </w:rPr>
                    <w:t>满配</w:t>
                  </w:r>
                  <w:r>
                    <w:rPr>
                      <w:rFonts w:ascii="仿宋_GB2312" w:hAnsi="仿宋_GB2312" w:cs="仿宋_GB2312" w:eastAsia="仿宋_GB2312"/>
                      <w:sz w:val="22"/>
                    </w:rPr>
                    <w:t>光模块）</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2个</w:t>
                  </w:r>
                  <w:r>
                    <w:rPr>
                      <w:rFonts w:ascii="仿宋_GB2312" w:hAnsi="仿宋_GB2312" w:cs="仿宋_GB2312" w:eastAsia="仿宋_GB2312"/>
                      <w:sz w:val="22"/>
                    </w:rPr>
                    <w:t>扩展板卡槽位，</w:t>
                  </w:r>
                  <w:r>
                    <w:rPr>
                      <w:rFonts w:ascii="仿宋_GB2312" w:hAnsi="仿宋_GB2312" w:cs="仿宋_GB2312" w:eastAsia="仿宋_GB2312"/>
                      <w:sz w:val="22"/>
                    </w:rPr>
                    <w:t>内存</w:t>
                  </w:r>
                  <w:r>
                    <w:rPr>
                      <w:rFonts w:ascii="仿宋_GB2312" w:hAnsi="仿宋_GB2312" w:cs="仿宋_GB2312" w:eastAsia="仿宋_GB2312"/>
                      <w:sz w:val="22"/>
                    </w:rPr>
                    <w:t>16G，</w:t>
                  </w:r>
                  <w:r>
                    <w:rPr>
                      <w:rFonts w:ascii="仿宋_GB2312" w:hAnsi="仿宋_GB2312" w:cs="仿宋_GB2312" w:eastAsia="仿宋_GB2312"/>
                      <w:sz w:val="22"/>
                    </w:rPr>
                    <w:t>硬盘</w:t>
                  </w:r>
                  <w:r>
                    <w:rPr>
                      <w:rFonts w:ascii="仿宋_GB2312" w:hAnsi="仿宋_GB2312" w:cs="仿宋_GB2312" w:eastAsia="仿宋_GB2312"/>
                      <w:sz w:val="22"/>
                    </w:rPr>
                    <w:t>≥</w:t>
                  </w:r>
                  <w:r>
                    <w:rPr>
                      <w:rFonts w:ascii="仿宋_GB2312" w:hAnsi="仿宋_GB2312" w:cs="仿宋_GB2312" w:eastAsia="仿宋_GB2312"/>
                      <w:sz w:val="22"/>
                    </w:rPr>
                    <w:t>4T</w:t>
                  </w:r>
                  <w:r>
                    <w:rPr>
                      <w:rFonts w:ascii="仿宋_GB2312" w:hAnsi="仿宋_GB2312" w:cs="仿宋_GB2312" w:eastAsia="仿宋_GB2312"/>
                      <w:sz w:val="22"/>
                    </w:rPr>
                    <w:t>，</w:t>
                  </w:r>
                  <w:r>
                    <w:rPr>
                      <w:rFonts w:ascii="仿宋_GB2312" w:hAnsi="仿宋_GB2312" w:cs="仿宋_GB2312" w:eastAsia="仿宋_GB2312"/>
                      <w:sz w:val="22"/>
                    </w:rPr>
                    <w:t>冗余电源</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5个并发扫描系统扫描任务，</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80个并发扫描IP</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50个Web域名授权，</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3个并发扫描web扫描任务</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100个基线核查资产，</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4个并发基线任务</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b/>
                    </w:rPr>
                    <w:t>服务要求：</w:t>
                  </w:r>
                  <w:r>
                    <w:rPr>
                      <w:rFonts w:ascii="仿宋_GB2312" w:hAnsi="仿宋_GB2312" w:cs="仿宋_GB2312" w:eastAsia="仿宋_GB2312"/>
                      <w:sz w:val="22"/>
                    </w:rPr>
                    <w:t>包含三年漏洞</w:t>
                  </w:r>
                  <w:r>
                    <w:rPr>
                      <w:rFonts w:ascii="仿宋_GB2312" w:hAnsi="仿宋_GB2312" w:cs="仿宋_GB2312" w:eastAsia="仿宋_GB2312"/>
                      <w:sz w:val="22"/>
                    </w:rPr>
                    <w:t>特征库升级服务</w:t>
                  </w:r>
                  <w:r>
                    <w:rPr>
                      <w:rFonts w:ascii="仿宋_GB2312" w:hAnsi="仿宋_GB2312" w:cs="仿宋_GB2312" w:eastAsia="仿宋_GB2312"/>
                      <w:sz w:val="22"/>
                    </w:rPr>
                    <w:t>，</w:t>
                  </w:r>
                  <w:r>
                    <w:rPr>
                      <w:rFonts w:ascii="仿宋_GB2312" w:hAnsi="仿宋_GB2312" w:cs="仿宋_GB2312" w:eastAsia="仿宋_GB2312"/>
                      <w:sz w:val="22"/>
                    </w:rPr>
                    <w:t>三年</w:t>
                  </w:r>
                  <w:r>
                    <w:rPr>
                      <w:rFonts w:ascii="仿宋_GB2312" w:hAnsi="仿宋_GB2312" w:cs="仿宋_GB2312" w:eastAsia="仿宋_GB2312"/>
                      <w:sz w:val="22"/>
                    </w:rPr>
                    <w:t>硬件质保</w:t>
                  </w:r>
                  <w:r>
                    <w:rPr>
                      <w:rFonts w:ascii="仿宋_GB2312" w:hAnsi="仿宋_GB2312" w:cs="仿宋_GB2312" w:eastAsia="仿宋_GB2312"/>
                      <w:sz w:val="22"/>
                    </w:rPr>
                    <w:t>服务；</w:t>
                  </w:r>
                </w:p>
                <w:p>
                  <w:pPr>
                    <w:pStyle w:val="null3"/>
                    <w:jc w:val="both"/>
                  </w:pPr>
                  <w:r>
                    <w:rPr>
                      <w:rFonts w:ascii="仿宋_GB2312" w:hAnsi="仿宋_GB2312" w:cs="仿宋_GB2312" w:eastAsia="仿宋_GB2312"/>
                      <w:sz w:val="22"/>
                      <w:b/>
                    </w:rPr>
                    <w:t>功能要求</w:t>
                  </w:r>
                  <w:r>
                    <w:rPr>
                      <w:rFonts w:ascii="仿宋_GB2312" w:hAnsi="仿宋_GB2312" w:cs="仿宋_GB2312" w:eastAsia="仿宋_GB2312"/>
                      <w:sz w:val="22"/>
                      <w:b/>
                    </w:rPr>
                    <w:t>：</w:t>
                  </w:r>
                </w:p>
                <w:p>
                  <w:pPr>
                    <w:pStyle w:val="null3"/>
                    <w:jc w:val="both"/>
                  </w:pPr>
                  <w:r>
                    <w:rPr>
                      <w:rFonts w:ascii="仿宋_GB2312" w:hAnsi="仿宋_GB2312" w:cs="仿宋_GB2312" w:eastAsia="仿宋_GB2312"/>
                      <w:sz w:val="22"/>
                      <w:color w:val="000000"/>
                    </w:rPr>
                    <w:t>1、支持IPv4/IPv6双协议栈地址场景漏洞扫描；</w:t>
                  </w:r>
                </w:p>
                <w:p>
                  <w:pPr>
                    <w:pStyle w:val="null3"/>
                    <w:jc w:val="both"/>
                  </w:pPr>
                  <w:r>
                    <w:rPr>
                      <w:rFonts w:ascii="仿宋_GB2312" w:hAnsi="仿宋_GB2312" w:cs="仿宋_GB2312" w:eastAsia="仿宋_GB2312"/>
                      <w:sz w:val="22"/>
                      <w:color w:val="000000"/>
                    </w:rPr>
                    <w:t>2、支持扫描主流操作系统、Web服务器、数据库、网络主机、移动设备、应用及软件的安全漏洞，漏洞库应涵盖目前的安全漏洞和攻击特征，漏洞库具备至少CVE、CNCVE、CNVD、BUGTRAQ、CNNVD、CVSS等信息；</w:t>
                  </w:r>
                </w:p>
                <w:p>
                  <w:pPr>
                    <w:pStyle w:val="null3"/>
                    <w:jc w:val="both"/>
                  </w:pPr>
                  <w:r>
                    <w:rPr>
                      <w:rFonts w:ascii="仿宋_GB2312" w:hAnsi="仿宋_GB2312" w:cs="仿宋_GB2312" w:eastAsia="仿宋_GB2312"/>
                      <w:sz w:val="22"/>
                      <w:color w:val="000000"/>
                    </w:rPr>
                    <w:t>▲3、支持扫描系统漏洞数量不少于400000种，数据库不少于3300种，国产化漏洞不少于55000种，云计算平台漏洞不少于5700种，大数据组件漏洞不少于430种，Web漏洞数量不少于7400种；</w:t>
                  </w:r>
                </w:p>
                <w:p>
                  <w:pPr>
                    <w:pStyle w:val="null3"/>
                    <w:jc w:val="both"/>
                  </w:pPr>
                  <w:r>
                    <w:rPr>
                      <w:rFonts w:ascii="仿宋_GB2312" w:hAnsi="仿宋_GB2312" w:cs="仿宋_GB2312" w:eastAsia="仿宋_GB2312"/>
                      <w:sz w:val="22"/>
                      <w:color w:val="000000"/>
                    </w:rPr>
                    <w:t>▲4、支持“两高一弱”专项漏洞扫描模板，包括内网高频高危漏洞模板和互联网高频高危漏洞模板。</w:t>
                  </w:r>
                </w:p>
                <w:p>
                  <w:pPr>
                    <w:pStyle w:val="null3"/>
                    <w:jc w:val="both"/>
                  </w:pPr>
                  <w:r>
                    <w:rPr>
                      <w:rFonts w:ascii="仿宋_GB2312" w:hAnsi="仿宋_GB2312" w:cs="仿宋_GB2312" w:eastAsia="仿宋_GB2312"/>
                      <w:sz w:val="22"/>
                      <w:color w:val="000000"/>
                    </w:rPr>
                    <w:t>▲5、支持麒麟，统信，红旗，起点，openEuler，bclinux，EulerOS，中科方德，中兴新支点，深度等国产操作系统漏洞扫描；支持南大通用Gbase，GaussDB，达梦，金仓，优炫，神通，瀚高等国产数据库漏洞扫描；</w:t>
                  </w:r>
                </w:p>
                <w:p>
                  <w:pPr>
                    <w:pStyle w:val="null3"/>
                    <w:jc w:val="both"/>
                  </w:pPr>
                  <w:r>
                    <w:rPr>
                      <w:rFonts w:ascii="仿宋_GB2312" w:hAnsi="仿宋_GB2312" w:cs="仿宋_GB2312" w:eastAsia="仿宋_GB2312"/>
                      <w:sz w:val="22"/>
                      <w:color w:val="000000"/>
                    </w:rPr>
                    <w:t>6、支持ActiveMQ、AFP、DB2、FTP、Highgo、HTTP-basic、IMAP、Kingbase、MongoDB、MSSQL、Mysql、ONVIF、Oracle、POP3、Postgres、RDP、Redis、RTSP、SIP、SMB、SMTP、SNMPV1、SNMPV2C、SNMPV3、SSH、Sybase、Telnet、Tomcat、UXDB、VNC、Weblogic、WinRM等弱口令探测；</w:t>
                  </w:r>
                </w:p>
                <w:p>
                  <w:pPr>
                    <w:pStyle w:val="null3"/>
                    <w:jc w:val="both"/>
                  </w:pPr>
                  <w:r>
                    <w:rPr>
                      <w:rFonts w:ascii="仿宋_GB2312" w:hAnsi="仿宋_GB2312" w:cs="仿宋_GB2312" w:eastAsia="仿宋_GB2312"/>
                      <w:sz w:val="22"/>
                      <w:color w:val="000000"/>
                    </w:rPr>
                    <w:t>▲7、支持大模型漏洞扫描，包含代码注入、输入验证错误、授权问题、跨站脚本，命令注入等类型，可扫描漏洞数量不少于130条；</w:t>
                  </w:r>
                </w:p>
                <w:p>
                  <w:pPr>
                    <w:pStyle w:val="null3"/>
                    <w:jc w:val="both"/>
                  </w:pPr>
                  <w:r>
                    <w:rPr>
                      <w:rFonts w:ascii="仿宋_GB2312" w:hAnsi="仿宋_GB2312" w:cs="仿宋_GB2312" w:eastAsia="仿宋_GB2312"/>
                      <w:sz w:val="22"/>
                      <w:color w:val="000000"/>
                    </w:rPr>
                    <w:t>8、支持漏洞生命周期管理，包括未修复、确定、忽略、修复、已验证五种状态；</w:t>
                  </w:r>
                </w:p>
                <w:p>
                  <w:pPr>
                    <w:pStyle w:val="null3"/>
                    <w:jc w:val="both"/>
                  </w:pPr>
                  <w:r>
                    <w:rPr>
                      <w:rFonts w:ascii="仿宋_GB2312" w:hAnsi="仿宋_GB2312" w:cs="仿宋_GB2312" w:eastAsia="仿宋_GB2312"/>
                      <w:sz w:val="22"/>
                      <w:color w:val="000000"/>
                    </w:rPr>
                    <w:t>▲9、支持网页敏感信息扫描，支持设置敏感字字典。</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日志审计系统</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规格要求：</w:t>
                  </w:r>
                  <w:r>
                    <w:rPr>
                      <w:rFonts w:ascii="仿宋_GB2312" w:hAnsi="仿宋_GB2312" w:cs="仿宋_GB2312" w:eastAsia="仿宋_GB2312"/>
                      <w:sz w:val="24"/>
                    </w:rPr>
                    <w:t>产品须采用国产化芯片及国产化操作系统，标准</w:t>
                  </w:r>
                  <w:r>
                    <w:rPr>
                      <w:rFonts w:ascii="仿宋_GB2312" w:hAnsi="仿宋_GB2312" w:cs="仿宋_GB2312" w:eastAsia="仿宋_GB2312"/>
                      <w:sz w:val="24"/>
                    </w:rPr>
                    <w:t>2U机箱，≥</w:t>
                  </w:r>
                </w:p>
                <w:p>
                  <w:pPr>
                    <w:pStyle w:val="null3"/>
                    <w:jc w:val="both"/>
                  </w:pPr>
                  <w:r>
                    <w:rPr>
                      <w:rFonts w:ascii="仿宋_GB2312" w:hAnsi="仿宋_GB2312" w:cs="仿宋_GB2312" w:eastAsia="仿宋_GB2312"/>
                      <w:sz w:val="24"/>
                    </w:rPr>
                    <w:t>≥1个console口，≥10个千兆电口，≥8个千兆光口，≥2个万兆光口,冗余电源，≥32G内存，≥4T硬盘，冗余电源，日志采集处理均值≥5000EPS；</w:t>
                  </w:r>
                </w:p>
                <w:p>
                  <w:pPr>
                    <w:pStyle w:val="null3"/>
                    <w:jc w:val="both"/>
                  </w:pPr>
                  <w:r>
                    <w:rPr>
                      <w:rFonts w:ascii="仿宋_GB2312" w:hAnsi="仿宋_GB2312" w:cs="仿宋_GB2312" w:eastAsia="仿宋_GB2312"/>
                      <w:sz w:val="24"/>
                      <w:b/>
                    </w:rPr>
                    <w:t>服务要求：</w:t>
                  </w:r>
                  <w:r>
                    <w:rPr>
                      <w:rFonts w:ascii="仿宋_GB2312" w:hAnsi="仿宋_GB2312" w:cs="仿宋_GB2312" w:eastAsia="仿宋_GB2312"/>
                      <w:sz w:val="24"/>
                    </w:rPr>
                    <w:t>包含</w:t>
                  </w:r>
                  <w:r>
                    <w:rPr>
                      <w:rFonts w:ascii="仿宋_GB2312" w:hAnsi="仿宋_GB2312" w:cs="仿宋_GB2312" w:eastAsia="仿宋_GB2312"/>
                      <w:sz w:val="24"/>
                    </w:rPr>
                    <w:t>≥50日志采集授权点数，含三年硬件质保服务；</w:t>
                  </w:r>
                </w:p>
                <w:p>
                  <w:pPr>
                    <w:pStyle w:val="null3"/>
                    <w:jc w:val="both"/>
                  </w:pPr>
                  <w:r>
                    <w:rPr>
                      <w:rFonts w:ascii="仿宋_GB2312" w:hAnsi="仿宋_GB2312" w:cs="仿宋_GB2312" w:eastAsia="仿宋_GB2312"/>
                      <w:sz w:val="24"/>
                      <w:b/>
                    </w:rPr>
                    <w:t>功能要求</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color w:val="000000"/>
                    </w:rPr>
                    <w:t>1、支持安全设备、网络设备、中间件、服务器、数据库、操作系统、业务系统等多种类型设备进行日志数据采集；</w:t>
                  </w:r>
                </w:p>
                <w:p>
                  <w:pPr>
                    <w:pStyle w:val="null3"/>
                    <w:jc w:val="both"/>
                  </w:pPr>
                  <w:r>
                    <w:rPr>
                      <w:rFonts w:ascii="仿宋_GB2312" w:hAnsi="仿宋_GB2312" w:cs="仿宋_GB2312" w:eastAsia="仿宋_GB2312"/>
                      <w:sz w:val="24"/>
                      <w:color w:val="000000"/>
                    </w:rPr>
                    <w:t>▲2、支持主动、被动相结合的数据采集方式；支持Syslog、SNMPTrap、Netflow、JDBC、WMI、FTP、SFTP、SCP、文件等方式进行数据采集；支持通过Agent采集日志数据；</w:t>
                  </w:r>
                </w:p>
                <w:p>
                  <w:pPr>
                    <w:pStyle w:val="null3"/>
                    <w:jc w:val="both"/>
                  </w:pPr>
                  <w:r>
                    <w:rPr>
                      <w:rFonts w:ascii="仿宋_GB2312" w:hAnsi="仿宋_GB2312" w:cs="仿宋_GB2312" w:eastAsia="仿宋_GB2312"/>
                      <w:sz w:val="24"/>
                      <w:color w:val="000000"/>
                    </w:rPr>
                    <w:t>3、支持日志归一化处理，将不同设备所产生的不同格式的难以理解的日志数据进行统一格式化处理，提炼出有用信息清晰、明确的展示给管理者；</w:t>
                  </w:r>
                </w:p>
                <w:p>
                  <w:pPr>
                    <w:pStyle w:val="null3"/>
                    <w:jc w:val="both"/>
                  </w:pPr>
                  <w:r>
                    <w:rPr>
                      <w:rFonts w:ascii="仿宋_GB2312" w:hAnsi="仿宋_GB2312" w:cs="仿宋_GB2312" w:eastAsia="仿宋_GB2312"/>
                      <w:sz w:val="24"/>
                      <w:color w:val="000000"/>
                    </w:rPr>
                    <w:t>▲4、支持对日志流量非常大但是日志重要程度低的syslog类型日志源进行限制接收速率，降低对系统资源的占用，保障重要日志的收集；</w:t>
                  </w:r>
                </w:p>
                <w:p>
                  <w:pPr>
                    <w:pStyle w:val="null3"/>
                    <w:jc w:val="both"/>
                  </w:pPr>
                  <w:r>
                    <w:rPr>
                      <w:rFonts w:ascii="仿宋_GB2312" w:hAnsi="仿宋_GB2312" w:cs="仿宋_GB2312" w:eastAsia="仿宋_GB2312"/>
                      <w:sz w:val="24"/>
                      <w:color w:val="000000"/>
                    </w:rPr>
                    <w:t>▲5、支持根据设备重要程度独立设置每个被采集源的日志、报表数据存储时间为1个月、3个月、6个月和永久保存等参数；</w:t>
                  </w:r>
                </w:p>
                <w:p>
                  <w:pPr>
                    <w:pStyle w:val="null3"/>
                    <w:jc w:val="both"/>
                  </w:pPr>
                  <w:r>
                    <w:rPr>
                      <w:rFonts w:ascii="仿宋_GB2312" w:hAnsi="仿宋_GB2312" w:cs="仿宋_GB2312" w:eastAsia="仿宋_GB2312"/>
                      <w:sz w:val="24"/>
                      <w:color w:val="000000"/>
                    </w:rPr>
                    <w:t>▲6、支持首页以全国地图、全球地图展示最近24小时日志访问源和访问目的的分布，能根据颜色区分访问来源和访问目的数据量大小，能够通过首页地图快速下钻查询指定区域的日志详细信息；</w:t>
                  </w:r>
                </w:p>
                <w:p>
                  <w:pPr>
                    <w:pStyle w:val="null3"/>
                    <w:jc w:val="both"/>
                  </w:pPr>
                  <w:r>
                    <w:rPr>
                      <w:rFonts w:ascii="仿宋_GB2312" w:hAnsi="仿宋_GB2312" w:cs="仿宋_GB2312" w:eastAsia="仿宋_GB2312"/>
                      <w:sz w:val="24"/>
                      <w:color w:val="000000"/>
                    </w:rPr>
                    <w:t>7、支持邮件、SnmpTrap、声音、声光、短信、一信通响应、数据库响应等多种告警方式，支持报警内容引用字段变量参数；</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4"/>
                      <w:color w:val="000000"/>
                    </w:rPr>
                    <w:t>8、支持基于拓扑图的日志源相关数据信息快速查看；支持通过拓扑下钻查看对应日志源的日志、报表、告警数据。</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防病毒软件</w:t>
                  </w: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规格要求</w:t>
                  </w:r>
                  <w:r>
                    <w:rPr>
                      <w:rFonts w:ascii="仿宋_GB2312" w:hAnsi="仿宋_GB2312" w:cs="仿宋_GB2312" w:eastAsia="仿宋_GB2312"/>
                      <w:sz w:val="24"/>
                      <w:b/>
                    </w:rPr>
                    <w:t>：</w:t>
                  </w:r>
                  <w:r>
                    <w:rPr>
                      <w:rFonts w:ascii="仿宋_GB2312" w:hAnsi="仿宋_GB2312" w:cs="仿宋_GB2312" w:eastAsia="仿宋_GB2312"/>
                      <w:sz w:val="24"/>
                    </w:rPr>
                    <w:t>防病毒软件支持</w:t>
                  </w:r>
                  <w:r>
                    <w:rPr>
                      <w:rFonts w:ascii="仿宋_GB2312" w:hAnsi="仿宋_GB2312" w:cs="仿宋_GB2312" w:eastAsia="仿宋_GB2312"/>
                      <w:sz w:val="24"/>
                    </w:rPr>
                    <w:t>采用</w:t>
                  </w:r>
                  <w:r>
                    <w:rPr>
                      <w:rFonts w:ascii="仿宋_GB2312" w:hAnsi="仿宋_GB2312" w:cs="仿宋_GB2312" w:eastAsia="仿宋_GB2312"/>
                      <w:sz w:val="24"/>
                    </w:rPr>
                    <w:t>C/S架构，管理采用B/S架构，管理员只需通过浏览器登录管理中心，即可对系统进行管理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服务端</w:t>
                  </w:r>
                  <w:r>
                    <w:rPr>
                      <w:rFonts w:ascii="仿宋_GB2312" w:hAnsi="仿宋_GB2312" w:cs="仿宋_GB2312" w:eastAsia="仿宋_GB2312"/>
                      <w:sz w:val="24"/>
                    </w:rPr>
                    <w:t>支持部署在</w:t>
                  </w:r>
                  <w:r>
                    <w:rPr>
                      <w:rFonts w:ascii="仿宋_GB2312" w:hAnsi="仿宋_GB2312" w:cs="仿宋_GB2312" w:eastAsia="仿宋_GB2312"/>
                      <w:sz w:val="24"/>
                    </w:rPr>
                    <w:t>linux</w:t>
                  </w:r>
                  <w:r>
                    <w:rPr>
                      <w:rFonts w:ascii="仿宋_GB2312" w:hAnsi="仿宋_GB2312" w:cs="仿宋_GB2312" w:eastAsia="仿宋_GB2312"/>
                      <w:sz w:val="24"/>
                    </w:rPr>
                    <w:t>、国产化</w:t>
                  </w:r>
                  <w:r>
                    <w:rPr>
                      <w:rFonts w:ascii="仿宋_GB2312" w:hAnsi="仿宋_GB2312" w:cs="仿宋_GB2312" w:eastAsia="仿宋_GB2312"/>
                      <w:sz w:val="24"/>
                    </w:rPr>
                    <w:t>操作系统，</w:t>
                  </w:r>
                  <w:r>
                    <w:rPr>
                      <w:rFonts w:ascii="仿宋_GB2312" w:hAnsi="仿宋_GB2312" w:cs="仿宋_GB2312" w:eastAsia="仿宋_GB2312"/>
                      <w:sz w:val="24"/>
                    </w:rPr>
                    <w:t>终端环境支持</w:t>
                  </w:r>
                  <w:r>
                    <w:rPr>
                      <w:rFonts w:ascii="仿宋_GB2312" w:hAnsi="仿宋_GB2312" w:cs="仿宋_GB2312" w:eastAsia="仿宋_GB2312"/>
                      <w:sz w:val="24"/>
                    </w:rPr>
                    <w:t>windows客户端</w:t>
                  </w:r>
                  <w:r>
                    <w:rPr>
                      <w:rFonts w:ascii="仿宋_GB2312" w:hAnsi="仿宋_GB2312" w:cs="仿宋_GB2312" w:eastAsia="仿宋_GB2312"/>
                      <w:sz w:val="24"/>
                    </w:rPr>
                    <w:t>、</w:t>
                  </w:r>
                  <w:r>
                    <w:rPr>
                      <w:rFonts w:ascii="仿宋_GB2312" w:hAnsi="仿宋_GB2312" w:cs="仿宋_GB2312" w:eastAsia="仿宋_GB2312"/>
                      <w:sz w:val="24"/>
                    </w:rPr>
                    <w:t>linux客户端支持</w:t>
                  </w:r>
                  <w:r>
                    <w:rPr>
                      <w:rFonts w:ascii="仿宋_GB2312" w:hAnsi="仿宋_GB2312" w:cs="仿宋_GB2312" w:eastAsia="仿宋_GB2312"/>
                      <w:sz w:val="24"/>
                    </w:rPr>
                    <w:t>、国产化、虚拟化</w:t>
                  </w:r>
                  <w:r>
                    <w:rPr>
                      <w:rFonts w:ascii="仿宋_GB2312" w:hAnsi="仿宋_GB2312" w:cs="仿宋_GB2312" w:eastAsia="仿宋_GB2312"/>
                      <w:sz w:val="24"/>
                    </w:rPr>
                    <w:t>等环境中，</w:t>
                  </w:r>
                  <w:r>
                    <w:rPr>
                      <w:rFonts w:ascii="仿宋_GB2312" w:hAnsi="仿宋_GB2312" w:cs="仿宋_GB2312" w:eastAsia="仿宋_GB2312"/>
                      <w:sz w:val="24"/>
                    </w:rPr>
                    <w:t>提供病毒防御、系统防御以及网络防御等主动防御功能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服务要求：</w:t>
                  </w:r>
                  <w:r>
                    <w:rPr>
                      <w:rFonts w:ascii="仿宋_GB2312" w:hAnsi="仿宋_GB2312" w:cs="仿宋_GB2312" w:eastAsia="仿宋_GB2312"/>
                      <w:sz w:val="24"/>
                    </w:rPr>
                    <w:t>包含</w:t>
                  </w:r>
                  <w:r>
                    <w:rPr>
                      <w:rFonts w:ascii="仿宋_GB2312" w:hAnsi="仿宋_GB2312" w:cs="仿宋_GB2312" w:eastAsia="仿宋_GB2312"/>
                      <w:sz w:val="24"/>
                    </w:rPr>
                    <w:t>≥100</w:t>
                  </w:r>
                  <w:r>
                    <w:rPr>
                      <w:rFonts w:ascii="仿宋_GB2312" w:hAnsi="仿宋_GB2312" w:cs="仿宋_GB2312" w:eastAsia="仿宋_GB2312"/>
                      <w:sz w:val="24"/>
                    </w:rPr>
                    <w:t>个</w:t>
                  </w:r>
                  <w:r>
                    <w:rPr>
                      <w:rFonts w:ascii="仿宋_GB2312" w:hAnsi="仿宋_GB2312" w:cs="仿宋_GB2312" w:eastAsia="仿宋_GB2312"/>
                      <w:sz w:val="24"/>
                    </w:rPr>
                    <w:t>信创</w:t>
                  </w:r>
                  <w:r>
                    <w:rPr>
                      <w:rFonts w:ascii="仿宋_GB2312" w:hAnsi="仿宋_GB2312" w:cs="仿宋_GB2312" w:eastAsia="仿宋_GB2312"/>
                      <w:sz w:val="24"/>
                    </w:rPr>
                    <w:t>客户端防病毒功能授权</w:t>
                  </w:r>
                  <w:r>
                    <w:rPr>
                      <w:rFonts w:ascii="仿宋_GB2312" w:hAnsi="仿宋_GB2312" w:cs="仿宋_GB2312" w:eastAsia="仿宋_GB2312"/>
                      <w:sz w:val="24"/>
                    </w:rPr>
                    <w:t>和升级许可；</w:t>
                  </w:r>
                </w:p>
                <w:p>
                  <w:pPr>
                    <w:pStyle w:val="null3"/>
                    <w:jc w:val="both"/>
                  </w:pPr>
                  <w:r>
                    <w:rPr>
                      <w:rFonts w:ascii="仿宋_GB2312" w:hAnsi="仿宋_GB2312" w:cs="仿宋_GB2312" w:eastAsia="仿宋_GB2312"/>
                      <w:sz w:val="24"/>
                      <w:b/>
                    </w:rPr>
                    <w:t>功能要求</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全网安全态势展示，统计运行概况及客户端概况，包括终端信息、使用授权信息、待处理威胁、当日防护、全网风险趋势、威胁终端排行、病毒风险排行、安全事件、服务器信息等统计情况，点击统计数据可跳转查看详细信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管理中心支持实时显示客户端的状态及终端基本信息，包括客户端连接状态、服务状态；终端机器名称、客户端版本、病毒库版本、IP地址、MAC地址、操作系统版本、主板信息、显卡信息、内存大小和物理位置等信息，并支持终端信息导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3、支持部门架构的导入，包含部门规则、部门与IP规则、LDAP规则导入，并可根据IP规则一键整理；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支持通过</w:t>
                  </w:r>
                  <w:r>
                    <w:rPr>
                      <w:rFonts w:ascii="仿宋_GB2312" w:hAnsi="仿宋_GB2312" w:cs="仿宋_GB2312" w:eastAsia="仿宋_GB2312"/>
                      <w:sz w:val="24"/>
                    </w:rPr>
                    <w:t>PING、ARP、NMAP方式扫描，及时发现尚未纳入管控的终端，支持以IP地址池方式展示终端的终端在线、离线、安装情况</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支持多引擎，启发式扫描引擎、基因识别引擎和虚拟沙盒引擎，全方位提高终端防护水平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支持终端防卸载、防退出功能，管理员能够统一设置防卸载密码，防止终端用户随意脱离保护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支持对压缩文件内的恶意文件扫描，包括但不限于对</w:t>
                  </w:r>
                  <w:r>
                    <w:rPr>
                      <w:rFonts w:ascii="仿宋_GB2312" w:hAnsi="仿宋_GB2312" w:cs="仿宋_GB2312" w:eastAsia="仿宋_GB2312"/>
                      <w:sz w:val="24"/>
                    </w:rPr>
                    <w:t>Arj、bzip2、Lzh、Tar、Zip、Rar4等压缩文件格式类型查杀防护；支持扫描压缩文件大小设定、不扫描指定扩展名文件，提高扫描效率，降低资源占用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主动对</w:t>
                  </w:r>
                  <w:r>
                    <w:rPr>
                      <w:rFonts w:ascii="仿宋_GB2312" w:hAnsi="仿宋_GB2312" w:cs="仿宋_GB2312" w:eastAsia="仿宋_GB2312"/>
                      <w:sz w:val="24"/>
                    </w:rPr>
                    <w:t>U 盘中的文件进行扫描，对U 盘传播类恶意软件常见恶意修改操作进行恢复</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能够解除文件的占用并且可以强制删除相关被占用文件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当文件被执行、修改、访问时，反病毒引擎对相应文件进行扫描，如扫描到威胁则阻断用户对该恶意威胁的触碰并根据需要进行隔离操作</w:t>
                  </w:r>
                  <w:r>
                    <w:rPr>
                      <w:rFonts w:ascii="仿宋_GB2312" w:hAnsi="仿宋_GB2312" w:cs="仿宋_GB2312" w:eastAsia="仿宋_GB2312"/>
                      <w:sz w:val="24"/>
                    </w:rPr>
                    <w:t>。</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进度款，产品交付且验收合格后，达到付款条件起7个工作日内，支付合同总金额的100.0%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598297080@qq.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供应商提供《非联合体不分包投标声明》，视为独立投标，不分包。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中小企业声明函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响应函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竞争性磋商文件要求，供应商应认真审核其响应文件中技术指标响应，并提供所投产品的功能要求（▲项）对应的佐证材料（佐证资料包括但不限于国家认可的检测机构出具的检测报告、制造商检验报告、产品彩页、官网功能截图、白皮书等）。提供所投产品的功能要求（▲项）完全响应磋商文件要求得14分，每缺少一项扣1分，提供的材料出现负偏离每项扣0.5分，共14项。</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一、评审内容根据本项目实际需求及特点，制定实施方案，实施方案内容包含①供货组织安排②供货进度计划③安装调试及验收方案④产品联动对接能力 二、评审标准 1、完整性：方案必须全面，对评审内容中的各项要求有详细描述；2、可实施性：切合本项目实际情况，提出步骤清晰、合理的方案；3、针对性：方案能够紧扣项目实际情况，内容科学合理。 三、赋分标准（满分21分） ①供货组织安排：完全满足每个评审标准得2分，有瑕疵得1分，有缺陷得0分。满分6分； ②供货进度计划:完全满足每个评审标准得2分，有瑕疵得1分，有缺陷得0分。满分6分； ③安装调试及验收方案:完全满足每个评审标准得2分，有瑕疵得1分，有缺陷得0分。满分6分；④产品联动对接能力：完全满足每个评审标准得1分，有瑕疵得0.5分，有缺陷得0分。满分3分；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一、评审内容根据项目实际需要，制定与本次采购产品相配套的培训方案，方案内容包括：①培训目标及计划②培训内容及方式。 二、评审标准 1、完整性：方案必须全面，对评审内容中的各项要求有详细描 述；2、可实施性：切合本项目实际情况，提出步骤清晰、合理的方案；3、针对性：方案能够紧扣项目实际情况，内容科学合理。 三、赋分标准（满分6分） ①培训目标及计划：完全满足每个评审标准得1分，有瑕疵得0.5分，有缺陷得0分。满分3分； ②培训内容及方式:完全满足每个评审标准得1分，有瑕疵得0.5分，有缺陷得0分。满分3分。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应急保障处理预案及解决问题能力；②售后服务内容及保障措施；③产品交付后出现质量问题的响应时间、方式；④故障处理及补救措施。 二、评审标准 1、完整性：方案必须全面，对评审内容中的各项要求有详细描述；2、可实施性：切合本项目实际情况，提出步骤清晰、合理的方案； 3、针对性：方案能够紧扣项目实际情况， 内容科学合理。 三、赋分标准（满分12分） ①应急保障处理预案及解决问题能力：完全满足每个评审标准得1分，有瑕疵得0.5分，有缺陷得0分。满分3分； ②售后服务内容及保障措施:完全满足每个评审标准得1分，有瑕疵得0.5分，有缺陷得0分。满分3分； ③产品交付后出现质量问题的响应时间、方式:完全满足每个评审标准得1分，有瑕疵得0.5分，有缺陷得0分。满分3分。④故障处理及补救措施:完全满足每个评审标准得1分，有瑕疵得0.5分，有缺陷得0分。满分3分。 备注：瑕疵是指存在不完全满足评分标准，但项目仍可实施。缺陷是指为不满足评分标准, 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定点服务方案</w:t>
            </w:r>
          </w:p>
        </w:tc>
        <w:tc>
          <w:tcPr>
            <w:tcW w:type="dxa" w:w="2492"/>
          </w:tcPr>
          <w:p>
            <w:pPr>
              <w:pStyle w:val="null3"/>
            </w:pPr>
            <w:r>
              <w:rPr>
                <w:rFonts w:ascii="仿宋_GB2312" w:hAnsi="仿宋_GB2312" w:cs="仿宋_GB2312" w:eastAsia="仿宋_GB2312"/>
              </w:rPr>
              <w:t>一、评审内容根据项目实际需求，提供针对本项目的定点服务方案，方案内容包含①定点服务方案；②技术服务团队人员；③所投产品的备品备件库情况说明。 二、评审标准 1、完整性：方案必须全面，对评审内容中的各项要求有详细描述；2、可实施性：切合本项目实际情况，提出步骤清晰、合理的方案；3、针对性：方案能够紧扣项目实际情况，内容科学合理。 三、赋分标准（满分9分） ①定点服务方案：完全满足每个评审标准得1分，有瑕疵得0.5分，有缺陷得0分。满分3分； ②技术服务团队人员:完全满足每个评审标准得1分，有瑕疵得0.5分，有缺陷得0分。满分3分； ③所投产品的备品备件库情况说明:完全满足每个评审标准得1分，有瑕疵得0.5分，有缺陷得0分。满分3分。 备注：瑕疵是指存在不完全满足评分标准，但项目仍可实施。缺陷是指为不满足评分标准,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供应商提供所投产品的合法来源渠道证明文件，满分3分，不提供不得分。以下资料提供任意一种： 1、如供应商为所投产品代理商：提供货物的合法来源渠道证明文件（例如：产品制造商授权、销售协议、代理协议等证明文件），每提供一份产品证明文件得1分，满分3分。 2、如供应商为所投产品的制造商：需提供情况说明（说明某一项产品为制造商自己生产），情况说明每涉及一项产品得1分，满分3分。备注：以加盖供应商公章的证明材料复印件为计分依据。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供应商提供2023年1月1日至今同类项目业绩证明（以合同签订日期为准，提供合同复印件）进行评定, 每份计2.5分，最高计5分。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