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版本号：KY2026-3-26320260731001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陕西省不可移动文物保护规划编制项目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KY2026-3-263</w:t>
      </w:r>
      <w:r>
        <w:br/>
      </w:r>
      <w:r>
        <w:br/>
      </w:r>
      <w:r>
        <w:br/>
      </w:r>
    </w:p>
    <w:p>
      <w:pPr>
        <w:pStyle w:val="null3"/>
        <w:jc w:val="center"/>
        <w:outlineLvl w:val="2"/>
      </w:pPr>
      <w:r>
        <w:rPr>
          <w:rFonts w:ascii="仿宋_GB2312" w:hAnsi="仿宋_GB2312" w:cs="仿宋_GB2312" w:eastAsia="仿宋_GB2312"/>
          <w:sz w:val="28"/>
          <w:b/>
        </w:rPr>
        <w:t>陕西省文物局机关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陕西省文物局机关</w:t>
      </w:r>
      <w:r>
        <w:rPr>
          <w:rFonts w:ascii="仿宋_GB2312" w:hAnsi="仿宋_GB2312" w:cs="仿宋_GB2312" w:eastAsia="仿宋_GB2312"/>
        </w:rPr>
        <w:t>委托，拟对</w:t>
      </w:r>
      <w:r>
        <w:rPr>
          <w:rFonts w:ascii="仿宋_GB2312" w:hAnsi="仿宋_GB2312" w:cs="仿宋_GB2312" w:eastAsia="仿宋_GB2312"/>
        </w:rPr>
        <w:t>陕西省不可移动文物保护规划编制项目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陕西省不可移动文物保护规划编制项目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破解全省不可移动文物保护与国土空间规划、城乡建设、生态保护等协调难题，构建系统完整、科学规范的保护利用体系，现拟通过采购方式选取具有丰富文物保护规划编制经验、熟悉我省文物资源基本情况与国土空间规划衔接要求的专业机构，承担《陕西省不可移动文物保护总体规划》（以下简称《规划》）编制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采购包1（陕西省不可移动文物保护规划编制项目）：属于专门面向中小企业采购。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8、资质证书：具备文物保护工程勘察设计甲级资质和城乡规划编制乙级及以上资质</w:t>
      </w:r>
    </w:p>
    <w:p>
      <w:pPr>
        <w:pStyle w:val="null3"/>
      </w:pPr>
      <w:r>
        <w:rPr>
          <w:rFonts w:ascii="仿宋_GB2312" w:hAnsi="仿宋_GB2312" w:cs="仿宋_GB2312" w:eastAsia="仿宋_GB2312"/>
        </w:rPr>
        <w:t>9、中小企业声明函：提供中小企业声明函。（本项目为专门面向中、小、微型企业采购项目）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陕西省文物局机关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西安市雁塔区雁塔西路193号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张聪聪、黄梦迪、戈迪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 理暂行办法》（计价格[2002]1980号）及发改办价格[2003]857号文件的规定标准按服务收取。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陕西省文物局机关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陕西省文物局机关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陕西省文物局机关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联系人：张聪聪、黄梦迪、戈迪</w:t>
      </w:r>
    </w:p>
    <w:p>
      <w:pPr>
        <w:pStyle w:val="null3"/>
      </w:pPr>
      <w:r>
        <w:rPr>
          <w:rFonts w:ascii="仿宋_GB2312" w:hAnsi="仿宋_GB2312" w:cs="仿宋_GB2312" w:eastAsia="仿宋_GB2312"/>
        </w:rPr>
        <w:t>联系电话：029-81206622-840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破解全省不可移动文物保护与国土空间规划、城乡建设、生态保护等协调难题，构建系统完整、科学规范的保护利用体系，现拟通过采购方式选取具有丰富文物保护规划编制经验、熟悉我省文物资源基本情况与国土空间规划衔接要求的专业机构，承担《陕西省不可移动文物保护总体规划》（以下简称《规划》）编制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陕西省不可移动文物保护规划编制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标的名称：陕西省不可移动文物保护规划编制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充分发挥陕西作为文物大省、中华文明重要发祥地优势，破解全省不可移动文物保护与国土空间规划、城乡建设、生态保护等协调难题，构建系统完整、科学规范的保护利用体系，现拟通过采购方式选取具有丰富文物保护规划编制经验、熟悉我省文物资源基本情况与国土空间规划衔接要求的专业机构，承担《陕西省不可移动文物保护总体规划》（以下简称《规划》）编制工作。</w:t>
            </w:r>
          </w:p>
          <w:p>
            <w:pPr>
              <w:pStyle w:val="null3"/>
            </w:pPr>
            <w:r>
              <w:rPr>
                <w:rFonts w:ascii="仿宋_GB2312" w:hAnsi="仿宋_GB2312" w:cs="仿宋_GB2312" w:eastAsia="仿宋_GB2312"/>
                <w:sz w:val="20"/>
              </w:rPr>
              <w:t xml:space="preserve">         预期目标：全面摸清我省不可移动文物资源底数与保护利用现状，明确保护利用总体思路、空间布局、重点任务与保护项目；实现不可移动文物保护与国土空间规划</w:t>
            </w:r>
            <w:r>
              <w:rPr>
                <w:rFonts w:ascii="仿宋_GB2312" w:hAnsi="仿宋_GB2312" w:cs="仿宋_GB2312" w:eastAsia="仿宋_GB2312"/>
                <w:sz w:val="20"/>
              </w:rPr>
              <w:t>“一张图”精准衔接，实现保护范围、建设控制地带等空间管控要求精准落地；健全抢救性保护与预防性保护相结合的长效机制，显著提升文物安全防控能力；推动文物资源创造性转化、创新性发展，促进文物保护成果惠及民生；构建权责清晰、协同高效的文物治理体系，文物保护传承工作树立全国典范，为加快建设文化强省提供坚实支撑。</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二、采购内容及服务要求</w:t>
            </w:r>
          </w:p>
          <w:p>
            <w:pPr>
              <w:pStyle w:val="null3"/>
              <w:ind w:firstLine="400"/>
              <w:jc w:val="both"/>
            </w:pPr>
            <w:r>
              <w:rPr>
                <w:rFonts w:ascii="仿宋_GB2312" w:hAnsi="仿宋_GB2312" w:cs="仿宋_GB2312" w:eastAsia="仿宋_GB2312"/>
                <w:sz w:val="20"/>
              </w:rPr>
              <w:t>1.基础调查与现状评估：在全国第四次文物普查成果基础上，开展全省不可移动文物资源专项补充调查，涵盖全国重点文物保护单位、省级文物保护单位、市县级文物保护单位及尚未核定公布的不可移动文物，有选择性的核查文物本体保存状况、周边环境影响、保护设施情况等核心信息；系统梳理全省文物资源类型、分布特征、价值内涵，深入分析当前保护利用中存在的空间管控衔接不足、风险防范薄弱、活化利用水平不均等突出问题，为规划编制提供坚实依据。</w:t>
            </w:r>
          </w:p>
          <w:p>
            <w:pPr>
              <w:pStyle w:val="null3"/>
              <w:ind w:firstLine="400"/>
              <w:jc w:val="both"/>
            </w:pPr>
            <w:r>
              <w:rPr>
                <w:rFonts w:ascii="仿宋_GB2312" w:hAnsi="仿宋_GB2312" w:cs="仿宋_GB2312" w:eastAsia="仿宋_GB2312"/>
                <w:sz w:val="20"/>
              </w:rPr>
              <w:t>2.规划衔接与空间布局：严格遵循“保护第一、加强管理、挖掘价值、有效利用、让文物活起来”的工作要求，衔接国土空间总体规划、相关专项规划及市县各级规划，提出科学划定各级文物保护单位保护范围、建设控制地带及地下文物埋藏区等空间边界的基本原则；统筹线性文化遗产、大遗址与革命文物片区等系统整体保护，提出差异化的空间管控与用途管制措施，确保规划内容与国土空间规划“一张图”实施监督信息系统无缝对接。</w:t>
            </w:r>
          </w:p>
          <w:p>
            <w:pPr>
              <w:pStyle w:val="null3"/>
              <w:ind w:firstLine="400"/>
              <w:jc w:val="both"/>
            </w:pPr>
            <w:r>
              <w:rPr>
                <w:rFonts w:ascii="仿宋_GB2312" w:hAnsi="仿宋_GB2312" w:cs="仿宋_GB2312" w:eastAsia="仿宋_GB2312"/>
                <w:sz w:val="20"/>
              </w:rPr>
              <w:t>3.重点任务与重点项目：针对不同类型文物资源特点，制定分类分级保护策略：一是实施重要文物抢救性保护工程，重点排查并消除全国重点、省级文物保护单位的重大险情；二是推进预防性保护体系建设，建立全省不可移动文物监测预警平台，实现对石窟寺、木结构建筑等重点文物的常态化监测；三是规划大遗址保护利用示范区、国家考古遗址公园等重点项目，推动文物保护与文化旅游、乡村振兴、生态保护深度融合；四是完善革命文物保护传承体系，实施革命旧址修缮、展陈提升等工程，强化红色文化传播。</w:t>
            </w:r>
          </w:p>
          <w:p>
            <w:pPr>
              <w:pStyle w:val="null3"/>
              <w:ind w:firstLine="400"/>
              <w:jc w:val="both"/>
            </w:pPr>
            <w:r>
              <w:rPr>
                <w:rFonts w:ascii="仿宋_GB2312" w:hAnsi="仿宋_GB2312" w:cs="仿宋_GB2312" w:eastAsia="仿宋_GB2312"/>
                <w:sz w:val="20"/>
              </w:rPr>
              <w:t>4.规划成果与规范要求：编制完整的规划成果体系，包括规划文本、说明书、图纸、基础资料汇编及数据库成果。规划文本需明确规划期限、规划目标、空间布局、管控措施、重点工程、实施保障等核心内容；附图需包含不可移动文物分布图、保护空间布局图、重点项目布局图等，确保空间信息精准；数据库需整合文物调查数据、空间边界数据、保护工程数据等。成果需符合国家相关规划编制技术标准，文本规范、逻辑清晰，图纸比例尺、图例等符合要求。</w:t>
            </w:r>
          </w:p>
          <w:p>
            <w:pPr>
              <w:pStyle w:val="null3"/>
              <w:ind w:firstLine="400"/>
              <w:jc w:val="both"/>
            </w:pPr>
            <w:r>
              <w:rPr>
                <w:rFonts w:ascii="仿宋_GB2312" w:hAnsi="仿宋_GB2312" w:cs="仿宋_GB2312" w:eastAsia="仿宋_GB2312"/>
                <w:sz w:val="20"/>
              </w:rPr>
              <w:t>5.规划报批与技术支撑：协助采购人完成规划成果评审、公示、报批等全流程工作；规划获批后，协助解读规划内容、指导市县落实规划要求、解答实施过程中技术问题；同步提交规划成果电子版（含可编辑文本、高清图纸、数据库文件）。</w:t>
            </w:r>
          </w:p>
          <w:p>
            <w:pPr>
              <w:pStyle w:val="null3"/>
            </w:pPr>
            <w:r>
              <w:rPr>
                <w:rFonts w:ascii="仿宋_GB2312" w:hAnsi="仿宋_GB2312" w:cs="仿宋_GB2312" w:eastAsia="仿宋_GB2312"/>
                <w:sz w:val="21"/>
              </w:rPr>
              <w:t xml:space="preserve">        6.项目进度与质量管控：规划编制周期不超过12个月，分阶段提交成果：合同签订后3个月内提交规划大纲；6个月内提交规划初稿；9个月内完成专家论证并提交修改稿；12个月内提交最终成果。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自合同签订之日起12个月。分阶段交付成果时限：签订之日起3个月内提交规划大纲；签订之日起6个月内提交规划初稿；签订之日起9个月内完成专家论证并提交修改稿；签订之日起12个月内提交正式最终成果。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陕西省文物局机关指定地点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2、竞争性磋商文件中所有的商务要求均为实质性要求，供应商必须响应并满足。 3、保证金的退还：自中标通知书发出之日起5个工作日内退还未中标人的投标保证金,自采购合同签订之日起5个工作日内退还中标人的投标保证金。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磋商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具备文物保护工程勘察设计甲级资质和城乡规划编制乙级及以上资质</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商务应答表 服务内容及服务要求应答表 标的清单 报价表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商务应答表 服务内容及服务要求应答表 标的清单 报价表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项目整体理解与现状分析方案</w:t>
            </w:r>
          </w:p>
        </w:tc>
        <w:tc>
          <w:tcPr>
            <w:tcW w:type="dxa" w:w="2492"/>
          </w:tcPr>
          <w:p>
            <w:pPr>
              <w:pStyle w:val="null3"/>
            </w:pPr>
            <w:r>
              <w:rPr>
                <w:rFonts w:ascii="仿宋_GB2312" w:hAnsi="仿宋_GB2312" w:cs="仿宋_GB2312" w:eastAsia="仿宋_GB2312"/>
              </w:rPr>
              <w:t>提供对项目的理解和认识分析，包括但不限于：①项目政策背景与陕西文物大省定位解读；②全省不可移动文物资源现状、现存保护痛点分析；满分4分。以上方案每有一项缺项扣2分，每有一项内容存在1处缺陷，扣1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1、详细评审---项目整体理解与现状分析方案.docx</w:t>
            </w:r>
          </w:p>
        </w:tc>
      </w:tr>
      <w:tr>
        <w:tc>
          <w:tcPr>
            <w:tcW w:type="dxa" w:w="831"/>
            <w:vMerge/>
          </w:tcPr>
          <w:p/>
        </w:tc>
        <w:tc>
          <w:tcPr>
            <w:tcW w:type="dxa" w:w="1661"/>
          </w:tcPr>
          <w:p>
            <w:pPr>
              <w:pStyle w:val="null3"/>
            </w:pPr>
            <w:r>
              <w:rPr>
                <w:rFonts w:ascii="仿宋_GB2312" w:hAnsi="仿宋_GB2312" w:cs="仿宋_GB2312" w:eastAsia="仿宋_GB2312"/>
              </w:rPr>
              <w:t>技术路线与工作方案</w:t>
            </w:r>
          </w:p>
        </w:tc>
        <w:tc>
          <w:tcPr>
            <w:tcW w:type="dxa" w:w="2492"/>
          </w:tcPr>
          <w:p>
            <w:pPr>
              <w:pStyle w:val="null3"/>
            </w:pPr>
            <w:r>
              <w:rPr>
                <w:rFonts w:ascii="仿宋_GB2312" w:hAnsi="仿宋_GB2312" w:cs="仿宋_GB2312" w:eastAsia="仿宋_GB2312"/>
              </w:rPr>
              <w:t>提供对项目的技术路线与工作方案，包括但不限于：①总体技术路线思路清晰、技术方法可行；②基础调查方案完整（含资源补充调查、现状评估方法）；③规划衔接方案明确，提出与国土空间规划“一张图”对接的具体路径；满分12分。每有一项缺项扣4分，每有一项内容存在1处缺陷，扣2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2、详细评审---技术路线与工作方案.docx</w:t>
            </w:r>
          </w:p>
        </w:tc>
      </w:tr>
      <w:tr>
        <w:tc>
          <w:tcPr>
            <w:tcW w:type="dxa" w:w="831"/>
            <w:vMerge/>
          </w:tcPr>
          <w:p/>
        </w:tc>
        <w:tc>
          <w:tcPr>
            <w:tcW w:type="dxa" w:w="1661"/>
          </w:tcPr>
          <w:p>
            <w:pPr>
              <w:pStyle w:val="null3"/>
            </w:pPr>
            <w:r>
              <w:rPr>
                <w:rFonts w:ascii="仿宋_GB2312" w:hAnsi="仿宋_GB2312" w:cs="仿宋_GB2312" w:eastAsia="仿宋_GB2312"/>
              </w:rPr>
              <w:t>重点任务与项目设计</w:t>
            </w:r>
          </w:p>
        </w:tc>
        <w:tc>
          <w:tcPr>
            <w:tcW w:type="dxa" w:w="2492"/>
          </w:tcPr>
          <w:p>
            <w:pPr>
              <w:pStyle w:val="null3"/>
            </w:pPr>
            <w:r>
              <w:rPr>
                <w:rFonts w:ascii="仿宋_GB2312" w:hAnsi="仿宋_GB2312" w:cs="仿宋_GB2312" w:eastAsia="仿宋_GB2312"/>
              </w:rPr>
              <w:t>提供对项目的重点任务与项目设计，包括但不限于：①抢救性保护与预防性保护相结合的方案设计；②大遗址、革命文物、线性文化遗产等分类分级保护策略；③文旅融合、乡村振兴等活化利用路径设计。满分12分。每有一项缺项扣4分，每有一项内容存在1处缺陷，扣2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3、详细评审---重点任务与项目设计.docx</w:t>
            </w:r>
          </w:p>
        </w:tc>
      </w:tr>
      <w:tr>
        <w:tc>
          <w:tcPr>
            <w:tcW w:type="dxa" w:w="831"/>
            <w:vMerge/>
          </w:tcPr>
          <w:p/>
        </w:tc>
        <w:tc>
          <w:tcPr>
            <w:tcW w:type="dxa" w:w="1661"/>
          </w:tcPr>
          <w:p>
            <w:pPr>
              <w:pStyle w:val="null3"/>
            </w:pPr>
            <w:r>
              <w:rPr>
                <w:rFonts w:ascii="仿宋_GB2312" w:hAnsi="仿宋_GB2312" w:cs="仿宋_GB2312" w:eastAsia="仿宋_GB2312"/>
              </w:rPr>
              <w:t>成果体系与质量控制</w:t>
            </w:r>
          </w:p>
        </w:tc>
        <w:tc>
          <w:tcPr>
            <w:tcW w:type="dxa" w:w="2492"/>
          </w:tcPr>
          <w:p>
            <w:pPr>
              <w:pStyle w:val="null3"/>
            </w:pPr>
            <w:r>
              <w:rPr>
                <w:rFonts w:ascii="仿宋_GB2312" w:hAnsi="仿宋_GB2312" w:cs="仿宋_GB2312" w:eastAsia="仿宋_GB2312"/>
              </w:rPr>
              <w:t>提供对项目的成果体系与质量控制措施，包括但不限于：①规划文本、图纸、数据库等成果体系完整性设计；②项目进度安排及保障；③质量保障措施与阶段性成果审查机制。满分12分。每有一项缺项扣4分，每有一项内容存在1处缺陷，扣2分，扣完为止。未提供不得分。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4、详细评审---成果体系与质量控制.docx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1.项目负责人（6分） ①项目负责人具有文物保护工程责任设计师资格或注册城乡规划师资格的，得2分； ②具有正高级职称的，得2分；具有副高级职称的，得1分； ③近5年（以合同签订时间为准）承担过同类项目的，得2分。须提供合同及能体现其主持身份（如编制人员名单页、签字页等）的证明材料。 注：须提供资格证书、职称证书和业绩材料，以及本年度至今任意一个月供应商为其缴纳的社保证明或有效的聘用合同；未提供或提供不全的，该项不得分。 2.项目团队（14分） 项目团队应配备不少于5名专业人员（不含项目负责人），且须满足以下配置： ①具有文物保护工程责任设计师资格的人员，每有1人计2分，满分6分。 ②具有注册城乡规划师资格的人员，每有1人计2分，最高6分。 ③具有高级专业技术职称的人员，每有1人得1分，最高2分。 注：同一人具有多项资格的，可分别计分（如某成员同时持有责任设计师资格+注册城乡规划师资格，可在①和②中分别计分）；同类别资格证书不重复计分。须提供资格证书、职称证书以及本年度至今任意一个月供应商为其缴纳的社保证明或有效的聘用合同；未提供或提供不全的，该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5、详细评审---项目团队.docx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供应商针对本项目提供详细的服务保障承诺。 ①质量保障承诺； 承诺中须包含以下内容：质量控制流程说明、阶段成果内部审查机制说明、成果符合国家规范承诺书。满分2分；提供对应材料，缺项不得分。 ②各阶段工作进度安排及进度保障承诺； 承诺中须包含以下内容：进度计划表（覆盖合同签订后3/6/9/12个月四个节点）、各节点交付成果清单、进度延误补救措施方案。满分2分；提供对应材料，缺项不得分。 ③安全管理及保密承诺； 承诺中须包含以下内容：数据安全管理制度、保密管理方案、保密承诺函（格式自拟）。满分2分；提供对应材料，缺项不得分。 ④规划获批后提供技术支撑服务承诺； 承诺中须包含以下内容：规划解读培训服务内容、指导市县落实规划的具体方式（如联络机制说明、定期回访计划）。满分2分；提供对应材料，缺项不得分。 ⑤服务时效性承诺 提供服务承诺书，明确规划编制及获批后服务期间的响应时限。承诺紧急问题2小时内响应、24小时内提出解决方案的得2分；承诺4小时内响应、48小时内提出方案的得1分；仅作一般性承诺未明确具体时限的得0分；未提供承诺书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6、详细评审---服务保障.docx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供应商提供2021年1月至今（以签订时间为准）承担过同类型项目业绩的完整合同，每份得2分，最高得10分。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详见附件：1、详细评审---项目整体理解与现状分析方案.docx</w:t>
      </w:r>
    </w:p>
    <w:p>
      <w:pPr>
        <w:pStyle w:val="null3"/>
        <w:ind w:firstLine="960"/>
      </w:pPr>
      <w:r>
        <w:rPr>
          <w:rFonts w:ascii="仿宋_GB2312" w:hAnsi="仿宋_GB2312" w:cs="仿宋_GB2312" w:eastAsia="仿宋_GB2312"/>
        </w:rPr>
        <w:t>详见附件：2、详细评审---技术路线与工作方案.docx</w:t>
      </w:r>
    </w:p>
    <w:p>
      <w:pPr>
        <w:pStyle w:val="null3"/>
        <w:ind w:firstLine="960"/>
      </w:pPr>
      <w:r>
        <w:rPr>
          <w:rFonts w:ascii="仿宋_GB2312" w:hAnsi="仿宋_GB2312" w:cs="仿宋_GB2312" w:eastAsia="仿宋_GB2312"/>
        </w:rPr>
        <w:t>详见附件：3、详细评审---重点任务与项目设计.docx</w:t>
      </w:r>
    </w:p>
    <w:p>
      <w:pPr>
        <w:pStyle w:val="null3"/>
        <w:ind w:firstLine="960"/>
      </w:pPr>
      <w:r>
        <w:rPr>
          <w:rFonts w:ascii="仿宋_GB2312" w:hAnsi="仿宋_GB2312" w:cs="仿宋_GB2312" w:eastAsia="仿宋_GB2312"/>
        </w:rPr>
        <w:t>详见附件：4、详细评审---成果体系与质量控制.docx</w:t>
      </w:r>
    </w:p>
    <w:p>
      <w:pPr>
        <w:pStyle w:val="null3"/>
        <w:ind w:firstLine="960"/>
      </w:pPr>
      <w:r>
        <w:rPr>
          <w:rFonts w:ascii="仿宋_GB2312" w:hAnsi="仿宋_GB2312" w:cs="仿宋_GB2312" w:eastAsia="仿宋_GB2312"/>
        </w:rPr>
        <w:t>详见附件：5、详细评审---项目团队.docx</w:t>
      </w:r>
    </w:p>
    <w:p>
      <w:pPr>
        <w:pStyle w:val="null3"/>
        <w:ind w:firstLine="960"/>
      </w:pPr>
      <w:r>
        <w:rPr>
          <w:rFonts w:ascii="仿宋_GB2312" w:hAnsi="仿宋_GB2312" w:cs="仿宋_GB2312" w:eastAsia="仿宋_GB2312"/>
        </w:rPr>
        <w:t>详见附件：6、详细评审---服务保障.docx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