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DD38ED1">
      <w:pPr>
        <w:ind w:firstLine="482"/>
        <w:rPr>
          <w:b/>
          <w:bCs/>
        </w:rPr>
      </w:pPr>
      <w:r>
        <w:rPr>
          <w:rFonts w:hint="eastAsia"/>
          <w:b/>
          <w:bCs/>
        </w:rPr>
        <w:t>一、项目背景及规模</w:t>
      </w:r>
    </w:p>
    <w:p w14:paraId="192E8291">
      <w:pPr>
        <w:ind w:firstLine="482"/>
        <w:rPr>
          <w:b/>
          <w:bCs/>
        </w:rPr>
      </w:pPr>
      <w:r>
        <w:rPr>
          <w:rFonts w:hint="eastAsia"/>
          <w:b/>
          <w:bCs/>
        </w:rPr>
        <w:t>（一）项目背景</w:t>
      </w:r>
    </w:p>
    <w:p w14:paraId="772BBB8B">
      <w:pPr>
        <w:ind w:firstLine="480"/>
      </w:pPr>
      <w:r>
        <w:rPr>
          <w:rFonts w:hint="eastAsia"/>
        </w:rPr>
        <w:t>当前，西咸新区国有企业管理有息债务合同近 3800 份、实物资产 1000 余项，相关信息仍依赖线下Excel表格人工管理，存在数据采集周期长、易出错、难追溯等突出问题。由此引发还本付息测算不准、现金流管控薄弱、资产重复抵押、无效低效资产甄别困难、高成本债务识别与管控效率低下等风险隐患，决策支撑的及时性、精准性明显不足。</w:t>
      </w:r>
    </w:p>
    <w:p w14:paraId="19628FAC">
      <w:pPr>
        <w:ind w:firstLine="480"/>
      </w:pPr>
      <w:r>
        <w:rPr>
          <w:rFonts w:hint="eastAsia"/>
        </w:rPr>
        <w:t>为破解上述痛点问题，亟需建设统一的资产债务数字化管控平台，建立权威唯一数据源，构建可视化资产盘活体系，实现现金流缺口预测预警、高成本债务精准识别、合规报表自动生成，推动债务管理从被动统计向主动管控转变，确保兑付零风险、成本稳下降、资产快盘活、监管全达标，为区域金融安全和国企高质量发展提供坚实支撑。</w:t>
      </w:r>
    </w:p>
    <w:p w14:paraId="626632AF">
      <w:pPr>
        <w:ind w:firstLine="482"/>
        <w:rPr>
          <w:b/>
          <w:bCs/>
        </w:rPr>
      </w:pPr>
      <w:r>
        <w:rPr>
          <w:rFonts w:hint="eastAsia"/>
          <w:b/>
          <w:bCs/>
        </w:rPr>
        <w:t>（二）项目规模</w:t>
      </w:r>
    </w:p>
    <w:p w14:paraId="7D3E4F05">
      <w:pPr>
        <w:ind w:firstLine="482"/>
        <w:rPr>
          <w:rFonts w:hint="eastAsia"/>
          <w:b/>
          <w:bCs/>
        </w:rPr>
      </w:pPr>
      <w:r>
        <w:rPr>
          <w:rFonts w:hint="eastAsia"/>
          <w:b/>
          <w:bCs/>
        </w:rPr>
        <w:t>2.1资产管理子系统</w:t>
      </w:r>
    </w:p>
    <w:p w14:paraId="0267A8D2">
      <w:pPr>
        <w:ind w:firstLine="480"/>
      </w:pPr>
      <w:r>
        <w:rPr>
          <w:rFonts w:hint="eastAsia"/>
        </w:rPr>
        <w:t>本系统覆盖新区所有国有企业，涵盖</w:t>
      </w:r>
      <w:r>
        <w:t>9</w:t>
      </w:r>
      <w:r>
        <w:rPr>
          <w:rFonts w:hint="eastAsia"/>
        </w:rPr>
        <w:t>大类资产（房建类、未开发土地类、基础设施类、车辆与设备类、股权投资类、无形资产类、债权类、货币资金类、其他资产类），同时包含企业信息管理、数据统计与分析、系统管理等辅助功能。系统建成后，将服务于新区国资监管部门全体资产管理相关人员，实现资产全生命周期的信息化管理，解决现有资产管理中信息分散、流程繁琐、统计困难等问题，提升资产管理效率和水平。</w:t>
      </w:r>
    </w:p>
    <w:p w14:paraId="2F1ADB88">
      <w:pPr>
        <w:ind w:firstLine="482"/>
        <w:rPr>
          <w:rFonts w:hint="eastAsia"/>
          <w:b/>
          <w:bCs/>
        </w:rPr>
      </w:pPr>
      <w:r>
        <w:rPr>
          <w:rFonts w:hint="eastAsia"/>
          <w:b/>
          <w:bCs/>
        </w:rPr>
        <w:t>2.2债务综合管控平台子系统</w:t>
      </w:r>
    </w:p>
    <w:p w14:paraId="4553E8EC">
      <w:pPr>
        <w:ind w:firstLine="480"/>
      </w:pPr>
      <w:r>
        <w:rPr>
          <w:rStyle w:val="6"/>
          <w:rFonts w:hint="eastAsia"/>
          <w:sz w:val="24"/>
        </w:rPr>
        <w:t>本</w:t>
      </w:r>
      <w:r>
        <w:rPr>
          <w:rFonts w:hint="eastAsia"/>
        </w:rPr>
        <w:t>系统将全面覆盖西咸新区下属的所有国有企业。系统涵盖银行贷款、债券、非标融资等全部有息负债类型。通过该系统，可实现合同与还款计划的集中管理及数据分析，并对新区债务的规模、结构和期限实施全生命周期的动态监测与精细管控。在用户层面，系统建立了分级审核。</w:t>
      </w:r>
    </w:p>
    <w:p w14:paraId="5F41BB63">
      <w:pPr>
        <w:ind w:firstLine="482"/>
        <w:rPr>
          <w:b/>
          <w:bCs/>
        </w:rPr>
      </w:pPr>
      <w:r>
        <w:rPr>
          <w:rFonts w:hint="eastAsia"/>
          <w:b/>
          <w:bCs/>
        </w:rPr>
        <w:t>二、建设周期</w:t>
      </w:r>
    </w:p>
    <w:p w14:paraId="425D5928">
      <w:pPr>
        <w:ind w:firstLine="480"/>
      </w:pPr>
      <w:r>
        <w:rPr>
          <w:rFonts w:hint="eastAsia"/>
        </w:rPr>
        <w:t>项目计划总工期为9个月。含项目开发建设、试运行（3个月）及验收全过程。</w:t>
      </w:r>
    </w:p>
    <w:p w14:paraId="2351A1F0">
      <w:pPr>
        <w:ind w:firstLine="482"/>
        <w:rPr>
          <w:b/>
          <w:bCs/>
        </w:rPr>
      </w:pPr>
      <w:r>
        <w:rPr>
          <w:rFonts w:hint="eastAsia"/>
          <w:b/>
          <w:bCs/>
        </w:rPr>
        <w:t>三、建设内容</w:t>
      </w:r>
    </w:p>
    <w:p w14:paraId="66B3E057">
      <w:pPr>
        <w:ind w:firstLine="482"/>
      </w:pPr>
      <w:r>
        <w:rPr>
          <w:rFonts w:hint="eastAsia"/>
          <w:b/>
          <w:bCs/>
        </w:rPr>
        <w:t>（一）债务综合管控平台子系统主要建设内容包括以下几个方面：</w:t>
      </w:r>
    </w:p>
    <w:p w14:paraId="37E991C4">
      <w:pPr>
        <w:ind w:firstLine="482"/>
        <w:rPr>
          <w:b w:val="0"/>
          <w:bCs w:val="0"/>
        </w:rPr>
      </w:pPr>
      <w:r>
        <w:rPr>
          <w:rFonts w:hint="eastAsia"/>
          <w:b w:val="0"/>
          <w:bCs w:val="0"/>
        </w:rPr>
        <w:t>1. 应用系统开发：建设银行贷款合同管理、债券（政府债券）管理、债券（企业债券）管理、非标债务管理、担保管理、图表报表分析等模块；通过多维度图表分析，重点展示债务、担保、还款计划执行等分析数据。</w:t>
      </w:r>
    </w:p>
    <w:p w14:paraId="373D882A">
      <w:pPr>
        <w:ind w:firstLine="482"/>
        <w:rPr>
          <w:b w:val="0"/>
          <w:bCs w:val="0"/>
        </w:rPr>
      </w:pPr>
      <w:r>
        <w:rPr>
          <w:rFonts w:hint="eastAsia"/>
          <w:b w:val="0"/>
          <w:bCs w:val="0"/>
        </w:rPr>
        <w:t>2. 系统对接：实现与西咸新区资产管理子系统对接，完成数据资源共享。</w:t>
      </w:r>
    </w:p>
    <w:p w14:paraId="2F31C8C2">
      <w:pPr>
        <w:ind w:firstLine="482"/>
        <w:rPr>
          <w:b w:val="0"/>
          <w:bCs w:val="0"/>
        </w:rPr>
      </w:pPr>
      <w:r>
        <w:rPr>
          <w:rFonts w:hint="eastAsia"/>
          <w:b w:val="0"/>
          <w:bCs w:val="0"/>
        </w:rPr>
        <w:t>3. 安全体系建设：落实等保、国产化适配和密码适配要求；</w:t>
      </w:r>
    </w:p>
    <w:p w14:paraId="345492B8">
      <w:pPr>
        <w:ind w:firstLine="482"/>
        <w:rPr>
          <w:rFonts w:hint="eastAsia"/>
          <w:b w:val="0"/>
          <w:bCs w:val="0"/>
        </w:rPr>
      </w:pPr>
      <w:r>
        <w:rPr>
          <w:rFonts w:hint="eastAsia"/>
          <w:b w:val="0"/>
          <w:bCs w:val="0"/>
        </w:rPr>
        <w:t>4.人员培训和系统运维：开展系统操作培训，确保相关人员熟练使用系统，保障系统长期稳定运行。</w:t>
      </w:r>
    </w:p>
    <w:p w14:paraId="5EFF74C7">
      <w:pPr>
        <w:ind w:firstLine="482"/>
        <w:rPr>
          <w:b/>
          <w:bCs/>
        </w:rPr>
      </w:pPr>
      <w:r>
        <w:rPr>
          <w:rFonts w:hint="eastAsia"/>
          <w:b/>
          <w:bCs/>
        </w:rPr>
        <w:t>（二）资产管理子系统主要建设内容包括以下几个方面：</w:t>
      </w:r>
    </w:p>
    <w:p w14:paraId="5DF789FC">
      <w:pPr>
        <w:ind w:firstLine="480"/>
      </w:pPr>
      <w:r>
        <w:rPr>
          <w:rFonts w:hint="eastAsia"/>
        </w:rPr>
        <w:t>1. 应用系统开发：开发资产管理子系统核心功能模块，主要包括5大功能，一是资产信息填报（</w:t>
      </w:r>
      <w:r>
        <w:t>9</w:t>
      </w:r>
      <w:r>
        <w:rPr>
          <w:rFonts w:hint="eastAsia"/>
        </w:rPr>
        <w:t>大类资产的新增、查询、保存、修改、提交、导出）、二是填报状态监管（填报进度跟踪、填报提醒、审核流程管理）、三是企业信息管理（企业信息填报、修改、查询等）、四是数据统计与分析（驾驶舱主页面、多维度筛选、基础字典表管理等）、五是系统管理（组织机构、用户、角色、权限管理）等；</w:t>
      </w:r>
    </w:p>
    <w:p w14:paraId="273CC307">
      <w:pPr>
        <w:ind w:firstLine="480"/>
      </w:pPr>
      <w:r>
        <w:rPr>
          <w:rFonts w:hint="eastAsia"/>
        </w:rPr>
        <w:t>2. 系统对接：实现与西咸新区债务平台对接，完成数据资源共享。</w:t>
      </w:r>
    </w:p>
    <w:p w14:paraId="2F879A72">
      <w:pPr>
        <w:ind w:firstLine="480"/>
      </w:pPr>
      <w:r>
        <w:rPr>
          <w:rFonts w:hint="eastAsia"/>
        </w:rPr>
        <w:t>3. 安全体系建设：落实等保、国产化适配和密码适配要求；</w:t>
      </w:r>
    </w:p>
    <w:p w14:paraId="5CB59648">
      <w:pPr>
        <w:ind w:firstLine="480"/>
      </w:pPr>
      <w:r>
        <w:rPr>
          <w:rFonts w:hint="eastAsia"/>
        </w:rPr>
        <w:t>4. 人员培训和系统运维：开展系统操作培训，确保相关人员熟练使用系统；保障系统长期稳定运行。</w:t>
      </w:r>
    </w:p>
    <w:p w14:paraId="30BEF94A">
      <w:pPr>
        <w:pStyle w:val="3"/>
        <w:ind w:firstLine="360"/>
      </w:pPr>
    </w:p>
    <w:p w14:paraId="1BA3D67C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480"/>
      </w:pPr>
      <w:r>
        <w:separator/>
      </w:r>
    </w:p>
  </w:endnote>
  <w:endnote w:type="continuationSeparator" w:id="1">
    <w:p>
      <w:pPr>
        <w:spacing w:line="240" w:lineRule="auto"/>
        <w:ind w:firstLine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Copperplate Gothic Bold">
    <w:panose1 w:val="020E0705020206020404"/>
    <w:charset w:val="00"/>
    <w:family w:val="swiss"/>
    <w:pitch w:val="default"/>
    <w:sig w:usb0="00000003" w:usb1="00000000" w:usb2="00000000" w:usb3="00000000" w:csb0="2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  <w:ind w:firstLine="480"/>
      </w:pPr>
      <w:r>
        <w:separator/>
      </w:r>
    </w:p>
  </w:footnote>
  <w:footnote w:type="continuationSeparator" w:id="1">
    <w:p>
      <w:pPr>
        <w:spacing w:line="360" w:lineRule="auto"/>
        <w:ind w:firstLine="48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90E38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99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60" w:lineRule="auto"/>
      <w:ind w:firstLine="643" w:firstLineChars="200"/>
    </w:pPr>
    <w:rPr>
      <w:rFonts w:ascii="Times New Roman" w:hAnsi="Times New Roman" w:eastAsia="宋体" w:cs="Times New Roman"/>
      <w:kern w:val="2"/>
      <w:sz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jc w:val="left"/>
    </w:pPr>
    <w:rPr>
      <w:rFonts w:ascii="Copperplate Gothic Bold" w:hAnsi="Copperplate Gothic Bold"/>
      <w:sz w:val="28"/>
    </w:rPr>
  </w:style>
  <w:style w:type="paragraph" w:styleId="3">
    <w:name w:val="footer"/>
    <w:basedOn w:val="1"/>
    <w:next w:val="2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character" w:styleId="6">
    <w:name w:val="annotation reference"/>
    <w:semiHidden/>
    <w:uiPriority w:val="99"/>
    <w:rPr>
      <w:sz w:val="21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2026-07-24T09:25:27Z</dcterms:created>
  <dc:creator>陕西海佳</dc:creator>
  <cp:lastModifiedBy>MM</cp:lastModifiedBy>
  <dcterms:modified xsi:type="dcterms:W3CDTF">2026-07-24T09:25:34Z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eyJoZGlkIjoiY2M1NWZjOTI0MzZlNzdjZTNiMGIwOWFhODBmMDVjOTciLCJ1c2VySWQiOiIxMjgwNjI5MzYxIn0=</vt:lpwstr>
  </property>
  <property fmtid="{D5CDD505-2E9C-101B-9397-08002B2CF9AE}" pid="4" name="ICV">
    <vt:lpwstr>16E8DD7E5DD24C37B4501FA517009F9B_12</vt:lpwstr>
  </property>
</Properties>
</file>