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3BD1C1">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平台建设要求</w:t>
      </w:r>
    </w:p>
    <w:p w14:paraId="58EB7F6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通过制定全城停车资源联网汇聚标准规范，搭建一体化城市停车平台，接入城市停车动静态数据，统一纳入管理，实现“全城一个停车场”。为停车主管单位，提供人、车、场、位、设备五维一体的资源统筹管理，实现城市停车数据互联共享、停车需求智能分析、停车资源智能调度、治理成效全程跟进，为政府完善城市停车政策、优化停车设施布局、改善停车乱象提供决策依据；在车主端，可在全城范围内找位、导航、停车等，实现一部手机停全城，为车主提供完善的线上服务，提升停车体验。</w:t>
      </w:r>
    </w:p>
    <w:p w14:paraId="1CB5C9F3">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平台功能要求</w:t>
      </w:r>
    </w:p>
    <w:p w14:paraId="44266A9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监管应用属于静态交通系统的一部分，是以城市停车场数据为基础，以互联网、智能计算和大数据等新一代信息技术为支撑，构建城市级停车信息采集、处理、分析和管理为一体的易用、高效的智慧应用。面对“停车乱、交通堵、管理难”等停车问题，通过车场资源整合、实时停车数据采集、停车智能诱导、多维度的数据统计分析等多方面措施，帮助政府监管单位实现停车资源有效管理，并在停车资源优化配置、停车资源科学调度等方面为监管单位提供决策依据，结合丰富的场景化应用，提升停车资源供给能力，缓解停车压力。主要业务应用包括联网汇聚、资源管理、运行监管、公众服务、监管可视化等。</w:t>
      </w:r>
    </w:p>
    <w:p w14:paraId="263A30C4">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联网汇聚</w:t>
      </w:r>
    </w:p>
    <w:p w14:paraId="08C4C27D">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制定标准规范，实现多来源、多种类、多类型的停车数据的汇聚接入，并对联网汇聚上来的停车数据进行统一管理，可对接入的进度、接入的数据质量进行监测，帮助监管单位及时掌握车场接入状态，便于推进车场接入工作。同时，支持过车记录和空余位记录的管理，便于对动态停车数据的分析，为车场运行监管等应用提供基础支撑能力。</w:t>
      </w:r>
    </w:p>
    <w:p w14:paraId="5B93E1C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1、数据汇聚接入网关（后台）</w:t>
      </w:r>
    </w:p>
    <w:p w14:paraId="0080230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通过数据汇聚网关，实现多来源、多种类、多类型的停车数据的汇聚接入、数据标准化转换、数据存储，以标准开放接口服务的方式支撑下级停车场库平台对接。</w:t>
      </w:r>
    </w:p>
    <w:p w14:paraId="69D75AC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2、数据汇聚监测引擎（后台）</w:t>
      </w:r>
    </w:p>
    <w:p w14:paraId="18F57DE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对下级平台数据汇聚对接情况进行实时监控与数据分析，检测平台离线、数据质量问题。</w:t>
      </w:r>
    </w:p>
    <w:p w14:paraId="37748DB7">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3、接入管理</w:t>
      </w:r>
    </w:p>
    <w:p w14:paraId="56C83D3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对联网汇聚上来的停车数据进行统一管理，同时可对接入的进度、接入的数据质量进行监测。可对停车场库的停车资源接入情况进行汇总及统计分析支持对各停车场停车记录、空余记录等停车动态数据统一管理。</w:t>
      </w:r>
    </w:p>
    <w:p w14:paraId="26F53F2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4、停车数据管理</w:t>
      </w:r>
    </w:p>
    <w:p w14:paraId="47021C8D">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车场通过联网接入系统后，系统支持展示各停车场停车记录和余位空闲记录。可根据车牌号码、入车时间、停车时长、停车场名称、停车状态等检索条件查询停车记录。支持查看每笔停车记录相关的停车场、停车时长、状态等信息以及出入车图片。</w:t>
      </w:r>
    </w:p>
    <w:p w14:paraId="58F7C63D">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资源管理</w:t>
      </w:r>
    </w:p>
    <w:p w14:paraId="4B5A160A">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源管理是基于车场信息普查工具，实现对全市停车场（库）、道路停车点基础信息的采集，初步完成资源归集，并通过车场备案、联网汇聚等方式为每一个停车场（库）、道路停车点建立涵盖本底、经营单位、平台厂商、备案状态、接入状态等多维数据的电子档案，实现对车场资源的统一纳管。资源管理主要内容包括车场信息普查、资源档案管理等功能。</w:t>
      </w:r>
    </w:p>
    <w:p w14:paraId="7D924127">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支持统计展示注册车主数量。支持统计指定时间段内新注册用户数量和每日注册量变化趋势。支持统计指定时间段内每日活跃用户数量及变化趋势。</w:t>
      </w:r>
    </w:p>
    <w:p w14:paraId="66460E61">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运行监管</w:t>
      </w:r>
    </w:p>
    <w:p w14:paraId="0662A51C">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打造一个监管中心，对车场、车辆等运行情况集中监管，围绕车场运行、车辆运行、分析研判三个方面，为监管单位提供监管一张图、车场运行监管、车辆运行监管、辅助决策等功能，实现城市停车资源分布、资源利用程度、重点区域、停车趋势、重点车辆动态信息的全面掌握，为停车主管单位的规划研判、政策制定、管理服务提供决策支撑。</w:t>
      </w:r>
    </w:p>
    <w:p w14:paraId="3F0AD2E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1、一张图管理</w:t>
      </w:r>
    </w:p>
    <w:p w14:paraId="27C0E1E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一张GIS地图，展示车场、重点区域、诱导屏分布及实时运行状态，支持车场、重点区域按照利用率、周转率、当前占用率等多维度分析展示，支持停车热力分析。同时，基于车场维度对嫌疑车、僵尸车告警记录进行展示。</w:t>
      </w:r>
    </w:p>
    <w:p w14:paraId="273285B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2、车场运行监管</w:t>
      </w:r>
    </w:p>
    <w:p w14:paraId="66392A70">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全市、行政区划的停车场备案、接入情况、在线情况进行分析，并对各车场停车流量、利用率、周转率、平均停车时长等运行数据进行统计及列表展示。支持对停车场评价次数、评分进行统计分析，对停车场服务质量进行排名展示。</w:t>
      </w:r>
    </w:p>
    <w:p w14:paraId="6D1032D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3、车辆运行监管</w:t>
      </w:r>
    </w:p>
    <w:p w14:paraId="19DEBD2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嫌疑车辆、违停车辆、僵尸车辆的基础信息及停车行为进行监管。可对特管车辆进行定位，列表展示定位告警的停车记录；支持违停记录管理、违停趋势分析、违停时段分布统计；支持僵尸车智能监测，并可对生成的僵尸车记录进行处理结果标记。</w:t>
      </w:r>
    </w:p>
    <w:p w14:paraId="0BED902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4、辅助决策</w:t>
      </w:r>
    </w:p>
    <w:p w14:paraId="6A214FA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提供多种以机器学习算法为核心的辅助决策应用，使监管单位实现数据智能快速规模化转型落地，聚焦城市停车精细化管理，在科学合理地新建车场和泊位、盘活存量停车资源、洞察城市停车态势、有效诱导等方面，全面有效提升监管单位的决策能力。主要内容包括资源供需分析、存量优化分析、停车预测分析、停车综合分析、停车指数分析等功能。</w:t>
      </w:r>
    </w:p>
    <w:p w14:paraId="06882D9B">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公共服务</w:t>
      </w:r>
    </w:p>
    <w:p w14:paraId="3E3A4922">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服务主要为面向车主提供的智能诱导服务。在延安交管支队公众号配置菜单-停车余位信息发布、展示管辖范围内所有停车场，点击可基于用户手机已安装地图进行导航、查询发布的车场停车位总数、余位信息。平台通过对接延安交管支队微信公众号，推送管辖区域内的所有停车场信息，包含地址、总车位数量、剩余车位数量；车主点击后，可调用手机导航，进行线路规划导航。</w:t>
      </w:r>
    </w:p>
    <w:p w14:paraId="64B38E07">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监管可视化</w:t>
      </w:r>
    </w:p>
    <w:p w14:paraId="4B68F7A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管可视化主要面向城市停车监管单位领导管理层，围绕停车管理业务，为管理人员呈现城市级停车场基础数据及运行态势，并对重点区域停车难题进行关键指标分析，辅助管理人员对城市停车科学规划与指挥决策。主要内容包括资源管理，帮助管理单位掌握车场资源底数、资源分布、运行态势以及重点区域运行情况；公众服务，帮助管理单位了解服务车主数量、各类服务次数以及服务质量。</w:t>
      </w:r>
    </w:p>
    <w:p w14:paraId="5D5911BE">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1、车场资源数据综合展示</w:t>
      </w:r>
    </w:p>
    <w:p w14:paraId="64191E4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展示城市车场、泊位、充电桩等资源数据，直观展示全城停车和充电资源的区域和业态分布情况、各种类型停车资源的占比、车场资源的实时接入情况、备案情况、停车资源运行情况等，辅助城市停车资源规划与调控决策。</w:t>
      </w:r>
    </w:p>
    <w:p w14:paraId="6AF5595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.通过公众停车服务分析，能直观了解停车服务次数、支付服务、诱导服务、错时共享服务等信息，掌握服务量级变化趋势，为制定服务策略与改进计划提供数据依据。</w:t>
      </w:r>
    </w:p>
    <w:p w14:paraId="116AECA9">
      <w:pPr>
        <w:spacing w:line="360" w:lineRule="auto"/>
        <w:ind w:firstLine="482" w:firstLineChars="200"/>
        <w:rPr>
          <w:rFonts w:asciiTheme="minorEastAsia" w:hAnsiTheme="minorEastAsia" w:eastAsiaTheme="minorEastAsia" w:cstheme="minorEastAsia"/>
          <w:b/>
          <w:bCs/>
          <w:sz w:val="24"/>
          <w:szCs w:val="24"/>
        </w:rPr>
      </w:pPr>
      <w:bookmarkStart w:id="0" w:name="_Toc180412087"/>
    </w:p>
    <w:p w14:paraId="59A31159">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车主公众服务</w:t>
      </w:r>
    </w:p>
    <w:p w14:paraId="1DEB6A8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城市停车公众停车服务应用是智慧停车平台面向公众的移动端应用，主要是微信公众号等可以提供车场查询、导航等服务。</w:t>
      </w:r>
    </w:p>
    <w:p w14:paraId="061C4CF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1、支持以列表形式展示平台发布的资讯内容，支持查看资讯详情，支持资讯图文显示。</w:t>
      </w:r>
    </w:p>
    <w:p w14:paraId="605E29A0">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2、支持查找个人当前位置周边的停车点；查看停车点名称、地址、开放时段、收费标准等信息；收藏停车点。</w:t>
      </w:r>
    </w:p>
    <w:p w14:paraId="44446EF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3、支持查找个人当前位置周边的充电站；查看充电站名称、地址、开放时段、收费标准、停车优惠等信息；收藏充电站。</w:t>
      </w:r>
    </w:p>
    <w:bookmarkEnd w:id="0"/>
    <w:p w14:paraId="260C4FEF">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平台功能清单</w:t>
      </w:r>
    </w:p>
    <w:tbl>
      <w:tblPr>
        <w:tblStyle w:val="2"/>
        <w:tblW w:w="5001" w:type="pct"/>
        <w:tblInd w:w="-5" w:type="dxa"/>
        <w:tblLayout w:type="autofit"/>
        <w:tblCellMar>
          <w:top w:w="0" w:type="dxa"/>
          <w:left w:w="108" w:type="dxa"/>
          <w:bottom w:w="0" w:type="dxa"/>
          <w:right w:w="108" w:type="dxa"/>
        </w:tblCellMar>
      </w:tblPr>
      <w:tblGrid>
        <w:gridCol w:w="438"/>
        <w:gridCol w:w="202"/>
        <w:gridCol w:w="628"/>
        <w:gridCol w:w="36"/>
        <w:gridCol w:w="725"/>
        <w:gridCol w:w="639"/>
        <w:gridCol w:w="5856"/>
      </w:tblGrid>
      <w:tr w14:paraId="2051B933">
        <w:tblPrEx>
          <w:tblCellMar>
            <w:top w:w="0" w:type="dxa"/>
            <w:left w:w="108" w:type="dxa"/>
            <w:bottom w:w="0" w:type="dxa"/>
            <w:right w:w="108" w:type="dxa"/>
          </w:tblCellMar>
        </w:tblPrEx>
        <w:trPr>
          <w:trHeight w:val="330" w:hRule="atLeast"/>
        </w:trPr>
        <w:tc>
          <w:tcPr>
            <w:tcW w:w="3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A5F8D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序号</w:t>
            </w:r>
          </w:p>
        </w:tc>
        <w:tc>
          <w:tcPr>
            <w:tcW w:w="383" w:type="pct"/>
            <w:tcBorders>
              <w:top w:val="single" w:color="auto" w:sz="4" w:space="0"/>
              <w:left w:val="nil"/>
              <w:bottom w:val="single" w:color="auto" w:sz="4" w:space="0"/>
              <w:right w:val="single" w:color="auto" w:sz="4" w:space="0"/>
            </w:tcBorders>
            <w:shd w:val="clear" w:color="auto" w:fill="auto"/>
            <w:vAlign w:val="center"/>
          </w:tcPr>
          <w:p w14:paraId="1571FDFF">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系统名称</w:t>
            </w:r>
          </w:p>
        </w:tc>
        <w:tc>
          <w:tcPr>
            <w:tcW w:w="476" w:type="pct"/>
            <w:gridSpan w:val="2"/>
            <w:tcBorders>
              <w:top w:val="single" w:color="auto" w:sz="4" w:space="0"/>
              <w:left w:val="nil"/>
              <w:bottom w:val="single" w:color="auto" w:sz="4" w:space="0"/>
              <w:right w:val="single" w:color="auto" w:sz="4" w:space="0"/>
            </w:tcBorders>
            <w:shd w:val="clear" w:color="auto" w:fill="auto"/>
            <w:vAlign w:val="center"/>
          </w:tcPr>
          <w:p w14:paraId="53667D6B">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模块名称</w:t>
            </w:r>
          </w:p>
        </w:tc>
        <w:tc>
          <w:tcPr>
            <w:tcW w:w="389" w:type="pct"/>
            <w:tcBorders>
              <w:top w:val="single" w:color="auto" w:sz="4" w:space="0"/>
              <w:left w:val="nil"/>
              <w:bottom w:val="single" w:color="auto" w:sz="4" w:space="0"/>
              <w:right w:val="single" w:color="auto" w:sz="4" w:space="0"/>
            </w:tcBorders>
            <w:shd w:val="clear" w:color="auto" w:fill="auto"/>
            <w:vAlign w:val="center"/>
          </w:tcPr>
          <w:p w14:paraId="27A4272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子模块名称</w:t>
            </w:r>
          </w:p>
        </w:tc>
        <w:tc>
          <w:tcPr>
            <w:tcW w:w="3449" w:type="pct"/>
            <w:tcBorders>
              <w:top w:val="single" w:color="auto" w:sz="4" w:space="0"/>
              <w:left w:val="nil"/>
              <w:bottom w:val="single" w:color="auto" w:sz="4" w:space="0"/>
              <w:right w:val="single" w:color="auto" w:sz="4" w:space="0"/>
            </w:tcBorders>
            <w:shd w:val="clear" w:color="auto" w:fill="auto"/>
            <w:vAlign w:val="center"/>
          </w:tcPr>
          <w:p w14:paraId="0500C13D">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功能描述</w:t>
            </w:r>
          </w:p>
        </w:tc>
      </w:tr>
      <w:tr w14:paraId="38A7B5AD">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4C2B15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一</w:t>
            </w:r>
          </w:p>
        </w:tc>
        <w:tc>
          <w:tcPr>
            <w:tcW w:w="4697" w:type="pct"/>
            <w:gridSpan w:val="5"/>
            <w:tcBorders>
              <w:top w:val="single" w:color="auto" w:sz="4" w:space="0"/>
              <w:left w:val="nil"/>
              <w:bottom w:val="single" w:color="auto" w:sz="4" w:space="0"/>
              <w:right w:val="single" w:color="auto" w:sz="4" w:space="0"/>
            </w:tcBorders>
            <w:shd w:val="clear" w:color="000000" w:fill="FFFFFF"/>
            <w:vAlign w:val="center"/>
          </w:tcPr>
          <w:p w14:paraId="05D14091">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城市停车诱导监管平台</w:t>
            </w:r>
          </w:p>
        </w:tc>
      </w:tr>
      <w:tr w14:paraId="163D8CC1">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B9399B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2CD05F6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展示中心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4849B3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资源管理</w:t>
            </w:r>
          </w:p>
        </w:tc>
        <w:tc>
          <w:tcPr>
            <w:tcW w:w="389" w:type="pct"/>
            <w:tcBorders>
              <w:top w:val="nil"/>
              <w:left w:val="nil"/>
              <w:bottom w:val="single" w:color="auto" w:sz="4" w:space="0"/>
              <w:right w:val="single" w:color="auto" w:sz="4" w:space="0"/>
            </w:tcBorders>
            <w:shd w:val="clear" w:color="000000" w:fill="FFFFFF"/>
            <w:vAlign w:val="center"/>
          </w:tcPr>
          <w:p w14:paraId="74CD7B2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停车设施分析</w:t>
            </w:r>
          </w:p>
        </w:tc>
        <w:tc>
          <w:tcPr>
            <w:tcW w:w="3449" w:type="pct"/>
            <w:tcBorders>
              <w:top w:val="nil"/>
              <w:left w:val="nil"/>
              <w:bottom w:val="single" w:color="auto" w:sz="4" w:space="0"/>
              <w:right w:val="single" w:color="auto" w:sz="4" w:space="0"/>
            </w:tcBorders>
            <w:shd w:val="clear" w:color="000000" w:fill="FFFFFF"/>
            <w:vAlign w:val="center"/>
          </w:tcPr>
          <w:p w14:paraId="3BBB920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1.展示全市或区县已建、在建、待建状态的停车场数量和停车位数量。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2.展示全市或区县路外公共停车场、路外专用停车场、路内道路停车场的数量与停车位数量，便于了解停车场解资源结构组成与分布。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3.展示全市或区县的充电站数量以及快充桩数量、慢充桩数量。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4.展示全市或区县的普查车场数量，对比展示已备案停车场数与备案率、已接入停车场数与接入率、在线停车场数与在线率。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5.列表滚动展示所辖下级各行政区划的已备案停车场数与备案率、已接入停车场数与接入率、在线停车场数与在线率，可对比呈现各区域的数据备案推进情况、停车场接入工作进展以及停车场在线情况。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6.按行政区划展示停车场和停车位数量，便于了解停车设施区域分布情况。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7.按交通枢纽、企业园区等业态区分展示停车场和停车位数量，便于了解各业态的停车设施分布情况。</w:t>
            </w:r>
          </w:p>
        </w:tc>
      </w:tr>
      <w:tr w14:paraId="307350C1">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BB423A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F02E84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D61DF0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F6F0BC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停车运行分析</w:t>
            </w:r>
          </w:p>
        </w:tc>
        <w:tc>
          <w:tcPr>
            <w:tcW w:w="3449" w:type="pct"/>
            <w:tcBorders>
              <w:top w:val="nil"/>
              <w:left w:val="nil"/>
              <w:bottom w:val="single" w:color="auto" w:sz="4" w:space="0"/>
              <w:right w:val="single" w:color="auto" w:sz="4" w:space="0"/>
            </w:tcBorders>
            <w:shd w:val="clear" w:color="000000" w:fill="FFFFFF"/>
            <w:vAlign w:val="center"/>
          </w:tcPr>
          <w:p w14:paraId="77C2653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1.通过车位指标展示区域停车运行情况，显示当前时刻区域内道路泊位的停车周转率，当前时刻所有在停车数量和停车位占用率。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2.展示停车场指标展示区域总体停车状态，显示停车难区域数量，当前停车难的高占用车场数以及区域停车高峰时长。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3.展示今日停车流量并以图形化方式按时间呈现停车流量变化情况，便于发现停车需求高峰时刻。通过今日数据与历史数据对比，可帮助发现停车流量异常情况。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4.展示今日停车场利用率，以图形化方式按时间呈现利用率变化情况，便于掌握停车需求持续情况。通过今日数据与历史数据对比，可帮助发现需求变化情况。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5.展示今日平均停车时长，以图形化方式对比展示各停车时长区间的停车次数。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6.展示全市或区县的停车运行指数，以可视化方式呈现下级行政区划的停车运行指数和区域占用率并排名。</w:t>
            </w:r>
          </w:p>
        </w:tc>
      </w:tr>
      <w:tr w14:paraId="2D1EE901">
        <w:tblPrEx>
          <w:tblCellMar>
            <w:top w:w="0" w:type="dxa"/>
            <w:left w:w="108" w:type="dxa"/>
            <w:bottom w:w="0" w:type="dxa"/>
            <w:right w:w="108" w:type="dxa"/>
          </w:tblCellMar>
        </w:tblPrEx>
        <w:trPr>
          <w:trHeight w:val="11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CEA943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005471A">
            <w:pPr>
              <w:widowControl/>
              <w:spacing w:line="360" w:lineRule="auto"/>
              <w:jc w:val="left"/>
              <w:rPr>
                <w:rFonts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7A203B4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公众服务</w:t>
            </w:r>
          </w:p>
        </w:tc>
        <w:tc>
          <w:tcPr>
            <w:tcW w:w="389" w:type="pct"/>
            <w:tcBorders>
              <w:top w:val="nil"/>
              <w:left w:val="nil"/>
              <w:bottom w:val="single" w:color="auto" w:sz="4" w:space="0"/>
              <w:right w:val="single" w:color="auto" w:sz="4" w:space="0"/>
            </w:tcBorders>
            <w:shd w:val="clear" w:color="000000" w:fill="FFFFFF"/>
            <w:vAlign w:val="center"/>
          </w:tcPr>
          <w:p w14:paraId="7C58760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公共服务分析</w:t>
            </w:r>
          </w:p>
        </w:tc>
        <w:tc>
          <w:tcPr>
            <w:tcW w:w="3449" w:type="pct"/>
            <w:tcBorders>
              <w:top w:val="nil"/>
              <w:left w:val="nil"/>
              <w:bottom w:val="single" w:color="auto" w:sz="4" w:space="0"/>
              <w:right w:val="single" w:color="auto" w:sz="4" w:space="0"/>
            </w:tcBorders>
            <w:shd w:val="clear" w:color="000000" w:fill="FFFFFF"/>
            <w:vAlign w:val="center"/>
          </w:tcPr>
          <w:p w14:paraId="7DB26DD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1.展示累计注册用户数，支持对比展示各渠道注册用户数占比。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2.支持可视化方式展示近六个月的月度活跃用户数及变化趋势。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3.展示今日停车诱导服务次数。展示诱导服务累计覆盖的车主用户数量。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4.以可视化图表展示近六个月诱导服务使用次数及变化趋势。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5.支持对停车订单进行统计分析，展示今日停车次数及累计服务车辆数。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6.可视化图表对比展示近六月不同类型停车次数以及变化趋势，帮助了解停车服务需求量。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7.通过对停车订单支付方式进行分析，展示线上支付、线下支付笔数占比，同时展示无感支付率。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8.可视化图表直观展示现金、微信、支付宝等各类支付方式的缴费笔数及占比。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9.展示错时共享车位数和错时共享服务覆盖用户数。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10.可视化方式展示近六个月错时共享车位数量及变化趋势、错时共享包月用户数及变化趋势。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11.展示各停车场平均评分及评分次数，可对比展示各分值评分次数。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12.可展示今日订单申诉次数，可以可视化方式展示近六个月万笔订单申诉数及变化趋势。</w:t>
            </w:r>
          </w:p>
        </w:tc>
      </w:tr>
      <w:tr w14:paraId="19D2C527">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071F1E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89C505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74AB092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停车地图</w:t>
            </w:r>
          </w:p>
        </w:tc>
        <w:tc>
          <w:tcPr>
            <w:tcW w:w="389" w:type="pct"/>
            <w:tcBorders>
              <w:top w:val="nil"/>
              <w:left w:val="nil"/>
              <w:bottom w:val="single" w:color="auto" w:sz="4" w:space="0"/>
              <w:right w:val="single" w:color="auto" w:sz="4" w:space="0"/>
            </w:tcBorders>
            <w:shd w:val="clear" w:color="000000" w:fill="FFFFFF"/>
            <w:vAlign w:val="center"/>
          </w:tcPr>
          <w:p w14:paraId="44F40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停车服务地图</w:t>
            </w:r>
          </w:p>
        </w:tc>
        <w:tc>
          <w:tcPr>
            <w:tcW w:w="3449" w:type="pct"/>
            <w:tcBorders>
              <w:top w:val="nil"/>
              <w:left w:val="nil"/>
              <w:bottom w:val="single" w:color="auto" w:sz="4" w:space="0"/>
              <w:right w:val="single" w:color="auto" w:sz="4" w:space="0"/>
            </w:tcBorders>
            <w:shd w:val="clear" w:color="000000" w:fill="FFFFFF"/>
            <w:vAlign w:val="center"/>
          </w:tcPr>
          <w:p w14:paraId="54867A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1.支持在地图上以不同图标展示不同类型停车场，点击停车场图标可展示停车场类型、业态、地址、服务次数、支付方式占比等信息。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2.支持切换展示或隐藏不同类型停车场。</w:t>
            </w:r>
          </w:p>
        </w:tc>
      </w:tr>
      <w:tr w14:paraId="163FC8F4">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0E29909">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FD3576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5BB6BB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EEF0E2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停车资源地图</w:t>
            </w:r>
          </w:p>
        </w:tc>
        <w:tc>
          <w:tcPr>
            <w:tcW w:w="3449" w:type="pct"/>
            <w:tcBorders>
              <w:top w:val="nil"/>
              <w:left w:val="nil"/>
              <w:bottom w:val="single" w:color="auto" w:sz="4" w:space="0"/>
              <w:right w:val="single" w:color="auto" w:sz="4" w:space="0"/>
            </w:tcBorders>
            <w:shd w:val="clear" w:color="000000" w:fill="FFFFFF"/>
            <w:vAlign w:val="center"/>
          </w:tcPr>
          <w:p w14:paraId="775979A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1.支持在地图上刻画区域轮廓并查看各区县的今日停车服务次数、今日缴费次数、诱导次数、错时共享使用次数，选中区县后，地图切换到该区县地图详情界面。选中区县时，两侧数据看板呈现区县数据。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2.支持以城市地图作为背景，在地图上定位展示各个停车场。可在地图上切换类型选择展示路外公共停车场、路外专用停车场、路内道路停车场中的一类或多类。</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3.支持以城市地图作为背景，在地图上定位展示各个充电站。可在地图上切换类型选择展示或隐藏充电站。点击充电站图标可展示地址、快充桩数量、慢充桩数量、充电站类型、经营单位、经营时间、联系电话。</w:t>
            </w:r>
          </w:p>
        </w:tc>
      </w:tr>
      <w:tr w14:paraId="12DA05B2">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895DEA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92729C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663559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F6A224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停车效率地图</w:t>
            </w:r>
          </w:p>
        </w:tc>
        <w:tc>
          <w:tcPr>
            <w:tcW w:w="3449" w:type="pct"/>
            <w:tcBorders>
              <w:top w:val="nil"/>
              <w:left w:val="nil"/>
              <w:bottom w:val="single" w:color="auto" w:sz="4" w:space="0"/>
              <w:right w:val="single" w:color="auto" w:sz="4" w:space="0"/>
            </w:tcBorders>
            <w:shd w:val="clear" w:color="000000" w:fill="FFFFFF"/>
            <w:vAlign w:val="center"/>
          </w:tcPr>
          <w:p w14:paraId="706E506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1.支持点击车场图标展示停车场运行特征数据，包括该车场类型、业态、在停车数量、空闲车位数量、当日车位占用率、周转率、利用率、停车流量等信息。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2.在地图上以热力图方式用颜色变化实时展现停车量的分布情况。通过热力图颜色的深度和色块的大小，表示各区域车场车辆停放饱和度、繁忙程度。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3.可在地图上切换展示不同特征的停车场，包括盲点停车场、高占用停车场和有协查车辆出入告警的停车场。</w:t>
            </w:r>
          </w:p>
        </w:tc>
      </w:tr>
      <w:tr w14:paraId="34B91D07">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53D2CC3">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16EBC7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40B725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ED00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车场地图展示</w:t>
            </w:r>
          </w:p>
        </w:tc>
        <w:tc>
          <w:tcPr>
            <w:tcW w:w="3449" w:type="pct"/>
            <w:tcBorders>
              <w:top w:val="nil"/>
              <w:left w:val="nil"/>
              <w:bottom w:val="single" w:color="auto" w:sz="4" w:space="0"/>
              <w:right w:val="single" w:color="auto" w:sz="4" w:space="0"/>
            </w:tcBorders>
            <w:shd w:val="clear" w:color="000000" w:fill="FFFFFF"/>
            <w:vAlign w:val="center"/>
          </w:tcPr>
          <w:p w14:paraId="3EFA50E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1.支持切换展示或隐藏不同类型设备。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2.可在地图上定位展示各类型诱导屏，可详细查看诱导屏信息和当前播放的节目截图。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3.可切换展示重点区域，查看重点区域的详细信息，包括区域空余车位数、占用率、协查车辆告警次数等。</w:t>
            </w:r>
          </w:p>
        </w:tc>
      </w:tr>
      <w:tr w14:paraId="68FE2634">
        <w:tblPrEx>
          <w:tblCellMar>
            <w:top w:w="0" w:type="dxa"/>
            <w:left w:w="108" w:type="dxa"/>
            <w:bottom w:w="0" w:type="dxa"/>
            <w:right w:w="108" w:type="dxa"/>
          </w:tblCellMar>
        </w:tblPrEx>
        <w:trPr>
          <w:trHeight w:val="580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6249E4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1138B23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093BC1ED">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监管一张图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（中屏）</w:t>
            </w:r>
          </w:p>
        </w:tc>
        <w:tc>
          <w:tcPr>
            <w:tcW w:w="389" w:type="pct"/>
            <w:tcBorders>
              <w:top w:val="nil"/>
              <w:left w:val="nil"/>
              <w:bottom w:val="single" w:color="auto" w:sz="4" w:space="0"/>
              <w:right w:val="single" w:color="auto" w:sz="4" w:space="0"/>
            </w:tcBorders>
            <w:shd w:val="clear" w:color="000000" w:fill="FFFFFF"/>
            <w:vAlign w:val="center"/>
          </w:tcPr>
          <w:p w14:paraId="007267C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停车场地图</w:t>
            </w:r>
          </w:p>
        </w:tc>
        <w:tc>
          <w:tcPr>
            <w:tcW w:w="3449" w:type="pct"/>
            <w:tcBorders>
              <w:top w:val="nil"/>
              <w:left w:val="nil"/>
              <w:bottom w:val="single" w:color="auto" w:sz="4" w:space="0"/>
              <w:right w:val="single" w:color="auto" w:sz="4" w:space="0"/>
            </w:tcBorders>
            <w:shd w:val="clear" w:color="000000" w:fill="FFFFFF"/>
            <w:vAlign w:val="center"/>
          </w:tcPr>
          <w:p w14:paraId="2DC61550">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选择城市、区县、街道等行政区划，通过信息看板展示行政区划下的停车场数量、停车位数量、充电站数量、今日停车流量、当前占用率、今日周转率、今日利用率、区域内高占用停车场数量、区域内盲点停车场数量、错时共享停车场数量、今日区域内告警次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2.支持展示全市、区县、街道各行政区划停车场数量与在线停车场数量，选择具体街道可展开列表呈现区域内的所有在线和离线的停车场。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3.支持列表展示区域内的充电站，并显式区域停车场内充电站与独立充电站。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4.支持通过选择列表中的停车场名称或点击地图上的停车场图标展示选中停车场的基本信息，包括：停车场名称、停车场地址、停车场类型、停车位等信息。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5.支持展示场内快充桩数量、慢充桩数量。点击详情支持展示充电经营单位名称、营业时间、联系电话。</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6.支持可视化展示停车场运行信息，包括：今日停车流量、在停车数量、剩余泊位、占用率、今日周转率，今日利用率、今日平均停车时长、24小时出入车趋势、24小时占用率趋势等信息。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7.支持通过选择列表中的充电站名称或点击地图上的充电站图标展示选中充电站的基本信息，包括：充电站名称、地址、类型、快充桩数量、慢充桩数量、营业时间、服务电话、收费规则、运营单位等信息。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8.支持根据停车场名称模糊匹配检索停车场，在列表中展示符合条件的停车场。支持根据停车场类型、停车场标签、我的收藏停车场快速检索停车场。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9.支持根据充电站名称模糊匹配检索充电站，在列表中展示符合条件的充电站。支持根据充电站标签、我的收藏快速检索充电站。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10.支持对停车场进行收藏和取消收藏。支持通过“我的收藏”快速检索所有已收藏停车场，并展示在线、离线状态。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支持基于地图定位展示全市停车场，通过特定图标区分展示路外公共停车场、路外专用停车场和路内道路停车场；支持停车场聚合展示，地图缩小到一定比例尺时局部多个停车场聚合为一个图标展示，图标中数字表示停车场数量；支持在停车场列表点选停车场名称时，地图上自动定位停车场，图标自动切换为选中状态，同时通过信息看板展示选中停车场的信息概览；支持根据停车场停车位占用率情况，在地图上对高占用的停车场自动切换图标展示方式（颜色）进行区分标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12.支持展示停车场今日协查车辆告警次数。点击告警信息可查看协查车辆告警详情。</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13.支持切换展示车辆停放密度热力图，通过热力图展示当前停车场运行情况。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14.支持选择指定日期，在地图上按时间展示停车热力变化情况。支持快进、快退、暂停、播放操作。</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15.支持在地图上配置停车场定位位置，保存生效后同步更新停车场档案。</w:t>
            </w:r>
          </w:p>
        </w:tc>
      </w:tr>
      <w:tr w14:paraId="52BB4F57">
        <w:tblPrEx>
          <w:tblCellMar>
            <w:top w:w="0" w:type="dxa"/>
            <w:left w:w="108" w:type="dxa"/>
            <w:bottom w:w="0" w:type="dxa"/>
            <w:right w:w="108" w:type="dxa"/>
          </w:tblCellMar>
        </w:tblPrEx>
        <w:trPr>
          <w:trHeight w:val="1366"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D774DF6">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DE701E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D741D3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D6D049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重点区域地图</w:t>
            </w:r>
          </w:p>
        </w:tc>
        <w:tc>
          <w:tcPr>
            <w:tcW w:w="3449" w:type="pct"/>
            <w:tcBorders>
              <w:top w:val="nil"/>
              <w:left w:val="nil"/>
              <w:bottom w:val="single" w:color="auto" w:sz="4" w:space="0"/>
              <w:right w:val="single" w:color="auto" w:sz="4" w:space="0"/>
            </w:tcBorders>
            <w:shd w:val="clear" w:color="000000" w:fill="FFFFFF"/>
            <w:vAlign w:val="center"/>
          </w:tcPr>
          <w:p w14:paraId="0DC1A60C">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通过重点区域列表展示所有已划设的重点区域，点击任意重点区域可在信息看板展示重点区域信息，包括：停车场数量、停车位数量、充电站数量、诱导屏数量、车场类型分布、区域停车流量、今日利用率、周转率、当前占用率、占用率变化趋势、车辆类型占比、区域内高占用车场数、区域内盲点车场数、区域内错时共享车场数、当前告警次数、区域内停车订单支付方式占比，同时自动在地图上定位重点区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2.支持在列表里展示重点区域下的停车场清单，选中停车场可展示停车场信息。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3.支持在列表里展示重点区域下的充电站清单，选中充电站可展示充电站信息。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4.支持根据重点区域名称关键字模糊匹配检索目标重点区域；支持拖曳地图查找重点区域，选中重点区域可在信息看板展示信息。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5.支持在地图上以不规则区域框展示各重点区域。支持地图上显示或隐藏重点区域内各停车场；支持以颜色区分展示当前时刻重点区域停车位使用情况，红色代表高占用，黄色代表适中，绿色代表占用率较低。</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6.支持在地图上自定义绘制不规则区域为重点关注区域并设置区域名称，配置区域中心。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7.支持在重点区域列表对重点区域进行排序，支持修改区域名称；支持在地图上修改重点区域的范围、中心坐标。</w:t>
            </w:r>
          </w:p>
        </w:tc>
      </w:tr>
      <w:tr w14:paraId="45D05A5C">
        <w:tblPrEx>
          <w:tblCellMar>
            <w:top w:w="0" w:type="dxa"/>
            <w:left w:w="108" w:type="dxa"/>
            <w:bottom w:w="0" w:type="dxa"/>
            <w:right w:w="108" w:type="dxa"/>
          </w:tblCellMar>
        </w:tblPrEx>
        <w:trPr>
          <w:trHeight w:val="60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B14C882">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CCC120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9EE1E2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51297C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诱导屏地图</w:t>
            </w:r>
          </w:p>
        </w:tc>
        <w:tc>
          <w:tcPr>
            <w:tcW w:w="3449" w:type="pct"/>
            <w:tcBorders>
              <w:top w:val="nil"/>
              <w:left w:val="nil"/>
              <w:bottom w:val="single" w:color="auto" w:sz="4" w:space="0"/>
              <w:right w:val="single" w:color="auto" w:sz="4" w:space="0"/>
            </w:tcBorders>
            <w:shd w:val="clear" w:color="000000" w:fill="FFFFFF"/>
            <w:vAlign w:val="center"/>
          </w:tcPr>
          <w:p w14:paraId="5CEB2B7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列表展示各区域部署的诱导屏；点击诱导屏名称可在信息看板上展示诱导屏名称、诱导屏类型、诱导屏在线状态、诱导屏当前发布停车节目截图；支持根据诱导屏名称模糊匹配检索诱导屏，查询结果在列表展示，点击诱导屏名称地图上自动定位标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2.支持对列表中未配置安装位置的诱导屏进行快捷设置，在地图上设置部署经纬度并存档。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地图定位展示全市的诱导屏，可通过不同颜色图标来呈现诱导屏在线/离线的状态；支持拖曳地图查找诱导屏，点击诱导屏图标可查看诱导屏详细信息，包括诱导屏基本情况和正在发布停车诱导节目截图。</w:t>
            </w:r>
          </w:p>
        </w:tc>
      </w:tr>
      <w:tr w14:paraId="41CF1D2B">
        <w:tblPrEx>
          <w:tblCellMar>
            <w:top w:w="0" w:type="dxa"/>
            <w:left w:w="108" w:type="dxa"/>
            <w:bottom w:w="0" w:type="dxa"/>
            <w:right w:w="108" w:type="dxa"/>
          </w:tblCellMar>
        </w:tblPrEx>
        <w:trPr>
          <w:trHeight w:val="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FA9E65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938CE5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DD0959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22EEA1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车辆地图</w:t>
            </w:r>
          </w:p>
        </w:tc>
        <w:tc>
          <w:tcPr>
            <w:tcW w:w="3449" w:type="pct"/>
            <w:tcBorders>
              <w:top w:val="nil"/>
              <w:left w:val="nil"/>
              <w:bottom w:val="single" w:color="auto" w:sz="4" w:space="0"/>
              <w:right w:val="single" w:color="auto" w:sz="4" w:space="0"/>
            </w:tcBorders>
            <w:shd w:val="clear" w:color="000000" w:fill="FFFFFF"/>
            <w:vAlign w:val="center"/>
          </w:tcPr>
          <w:p w14:paraId="79568A2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区域告警次数、停车场告警次数。支持以列表形式展示今日协查车辆出入过的停车场，及其车牌号码与今日出入车次数；支持展示协查车告警记录详情，包括：协查车车牌号码、协查原因、出入车时间、出入车图片；支持点击列表选中存在告警的停车场，在地图上自动定位展示；支持在地图上以警示图标标识今日存在协查车辆出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各行政区划下停车场僵尸车车辆告警记录。选中停车场可展示平台监测出的场内僵尸车信息，包括：僵尸车车牌、入车时间、停车时长等。支持基于僵尸车处理结果为僵尸车记录打标签；支持点击列表选中存在告警的停车场，在地图上自动定位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3.支持根据车辆车牌号码查询今日车辆在停车场的过车记录，展示信息包括：车辆号牌、出入停车场名称、过车时间。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4.支持根据车辆车牌号码、出入时间区间进行检索，在地图上按照时间顺序展示车辆停车记录。地图上点击出入标识可查看车辆具体停车时间、出入车图片信息。</w:t>
            </w:r>
          </w:p>
        </w:tc>
      </w:tr>
      <w:tr w14:paraId="72D1D8C6">
        <w:tblPrEx>
          <w:tblCellMar>
            <w:top w:w="0" w:type="dxa"/>
            <w:left w:w="108" w:type="dxa"/>
            <w:bottom w:w="0" w:type="dxa"/>
            <w:right w:w="108" w:type="dxa"/>
          </w:tblCellMar>
        </w:tblPrEx>
        <w:trPr>
          <w:trHeight w:val="2928"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CF71E8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56879D8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04DD7A5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运行监管</w:t>
            </w:r>
          </w:p>
        </w:tc>
        <w:tc>
          <w:tcPr>
            <w:tcW w:w="389" w:type="pct"/>
            <w:tcBorders>
              <w:top w:val="nil"/>
              <w:left w:val="nil"/>
              <w:bottom w:val="single" w:color="auto" w:sz="4" w:space="0"/>
              <w:right w:val="single" w:color="auto" w:sz="4" w:space="0"/>
            </w:tcBorders>
            <w:shd w:val="clear" w:color="000000" w:fill="FFFFFF"/>
            <w:vAlign w:val="center"/>
          </w:tcPr>
          <w:p w14:paraId="2013954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车场运行监管</w:t>
            </w:r>
          </w:p>
        </w:tc>
        <w:tc>
          <w:tcPr>
            <w:tcW w:w="3449" w:type="pct"/>
            <w:tcBorders>
              <w:top w:val="nil"/>
              <w:left w:val="nil"/>
              <w:bottom w:val="single" w:color="auto" w:sz="4" w:space="0"/>
              <w:right w:val="single" w:color="auto" w:sz="4" w:space="0"/>
            </w:tcBorders>
            <w:shd w:val="clear" w:color="000000" w:fill="FFFFFF"/>
            <w:vAlign w:val="center"/>
          </w:tcPr>
          <w:p w14:paraId="637CC7C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1.可对全市、行政区划的停车场备案、接入情况、在线情况进行分析。支持以可视化方式展示全市、各行政区划的备案停车场数量和备案率、停车场接入数量和接入率、停车场平台在线数量和在线率。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2.支持列表展示所选区域或其子区域的各类停车场数量、备案停车场数量、接入停车场数量、在线停车场数量、备案率、接入率、在线率。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针对区域、业态、停车场三个统计维度分析并展示今日停车场运行数据；支持根据区域、停车场类型、停车场名称检索停车场，展示目标停车场的类型、所属业态、车位数等基础信息和当前余位数、占用率、车位状态、今日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4.支持按区域或按业态展示停车场数量、停车位数量，实时余位数、占用率，今日停车流量、周转率、利用率、平均停车时长。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针对区域、业态、停车场三个维度，切换展示历史停车运行数据。支持按照区域、日期段（日、周、月、年）等条件检索，展示各类业态或各区域指定时间内的停车场数量、停车位数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6.支持按照区域、停车场类型（路外公共停车场、路外专用停车场、路内道路停车场）、停车场名称等条件对今日车场运行数据进行统计及列表展示，数据内容包括：停车流量、利用率、周转率、平均停车时长。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根据区域、年份、节假日、停车场名称进行检索，展示目标停车场在指定年份节假日期间的停车流量、利用率、周转率对比趋势图；支持通过图表展示节假日停车场运行数据趋势，帮助管理部门了解历史节假日停车需求，提前预判，采取手段进行引导分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8.支持列表展示指定年份节假日期间各停车场运行数据，包括停车场流量、周转率、平均停车时长、停车高峰时长等。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基于停车场名称、车牌号码、出入车时间区间、泊位号、数据质量等条件对停车记录进行查询，展示停车场名称、车牌号码、车牌颜色、泊位编号、停车类型、出入车时间、停车时长、出入场图片等信息。支持停车记录导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10.支持根据停车场的车主评价次数、车主评分统计，对停车场服务质量进行排名，以可视化的方式展示评价最好的停车场、评价次数最多的停车场。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11.支持展示各评分区间停车场数量与占比。支持查看具体停车场评价次数，全部车主评价详情，包括评价内容、评分、评价时间等。</w:t>
            </w:r>
          </w:p>
        </w:tc>
      </w:tr>
      <w:tr w14:paraId="646BF815">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8CE040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3C4F62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B6E9F9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5F07DC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车主习惯分析</w:t>
            </w:r>
          </w:p>
        </w:tc>
        <w:tc>
          <w:tcPr>
            <w:tcW w:w="3449" w:type="pct"/>
            <w:tcBorders>
              <w:top w:val="nil"/>
              <w:left w:val="nil"/>
              <w:bottom w:val="single" w:color="auto" w:sz="4" w:space="0"/>
              <w:right w:val="single" w:color="auto" w:sz="4" w:space="0"/>
            </w:tcBorders>
            <w:shd w:val="clear" w:color="000000" w:fill="FFFFFF"/>
            <w:vAlign w:val="center"/>
          </w:tcPr>
          <w:p w14:paraId="5DA1F99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1.支持对停车订单进行统计，按支付方式、停车场所、停车时长维度对分析车主停车习惯。</w:t>
            </w:r>
          </w:p>
        </w:tc>
      </w:tr>
      <w:tr w14:paraId="20618DA2">
        <w:tblPrEx>
          <w:tblCellMar>
            <w:top w:w="0" w:type="dxa"/>
            <w:left w:w="108" w:type="dxa"/>
            <w:bottom w:w="0" w:type="dxa"/>
            <w:right w:w="108" w:type="dxa"/>
          </w:tblCellMar>
        </w:tblPrEx>
        <w:trPr>
          <w:trHeight w:val="40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53EA819">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D5666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4F2F1E">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C771104">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车辆运行监管</w:t>
            </w:r>
          </w:p>
        </w:tc>
        <w:tc>
          <w:tcPr>
            <w:tcW w:w="3449" w:type="pct"/>
            <w:tcBorders>
              <w:top w:val="nil"/>
              <w:left w:val="nil"/>
              <w:bottom w:val="single" w:color="auto" w:sz="4" w:space="0"/>
              <w:right w:val="single" w:color="auto" w:sz="4" w:space="0"/>
            </w:tcBorders>
            <w:shd w:val="clear" w:color="000000" w:fill="FFFFFF"/>
            <w:vAlign w:val="center"/>
          </w:tcPr>
          <w:p w14:paraId="6A31669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协查信息，协查信息包括：车牌号码、车辆类型、车身颜色、协查原因（恶意欠费、多次违章未处理、危害公共安全、限制通行等）、协查期限（一个月、六个月、永久、自定义）等。支持配置联动告警帐号。支持批量导入协查信息。支持对协查车辆进行撤控、编辑等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2.支持基于车牌号码、协查人、协查原因、协查期限检索当前生效的协查信息。支持批量导出全部或选中的协查信息。支持快捷查看协查车具体历史告警信息，支持查看协查车曾出入的停车场与次数。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3.支持展示历史协查记录，展示内容包括车辆信息、协查原因、告警次数、撤控人、撤控时间、撤控原因。支持对已撤控的车辆进行重新协查。</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4.支持以系统通知方式向平台登录用户推送协查车辆告警信息。支持在消息提醒中查看历史告警信息。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5.支持根据车牌号码、协查原因、过车时间等条件检索协查告警记录，支持展示告警信息详情，包括：车牌号码、车辆类型、车联颜色、过车时间、停车场、泊位号、过车图片等。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6.支持展示已消除告警的协查告警记录。支持根据车牌号码、协查原因、停车场查询解除告警记录。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7.支持批量导入违停数据。支持下载违停数据导入模版。支持根据车牌号码、违停地点、违停事件发生时间（日、周、月）检索违停记录。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8.支持展示目标地点在指定日期区间的违停次数。支持以可视化方式展示违停时间的日期及时间段的分布情况。支持根据违停次数进行违停高发地点排名。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分析停车场出入车数据，自动发现并记录存在僵尸车停车行为的车辆。支持以列表方式展示存在僵尸车停车行为车辆的号牌、当前在停停车场、入车时间、停车时长。支持基于入车时间区间、停车场、处理标签等条件检索潜在僵尸车辆，检索结果展示入车时间、入车图片。支持过滤展示当前仍然在停的僵尸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10.支持根据僵尸车处置结果为僵尸车打标签。</w:t>
            </w:r>
          </w:p>
        </w:tc>
      </w:tr>
      <w:tr w14:paraId="6B49783B">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291794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AA7EDE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46F141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2DEDF6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监管报告</w:t>
            </w:r>
          </w:p>
        </w:tc>
        <w:tc>
          <w:tcPr>
            <w:tcW w:w="3449" w:type="pct"/>
            <w:tcBorders>
              <w:top w:val="nil"/>
              <w:left w:val="nil"/>
              <w:bottom w:val="single" w:color="auto" w:sz="4" w:space="0"/>
              <w:right w:val="single" w:color="auto" w:sz="4" w:space="0"/>
            </w:tcBorders>
            <w:shd w:val="clear" w:color="000000" w:fill="FFFFFF"/>
            <w:vAlign w:val="center"/>
          </w:tcPr>
          <w:p w14:paraId="7CCF02BD">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按照模版生成月度、年度停车监管报告。支持基于月、年查询对应周期的停车监管报告。支持预览监管报告内容，点击目录可快捷定位到监管报告对应章节。默认按停车资源管理、停车秩序管理、停车收费监管、服务水平等专题展示各项数据并给出分析建议。支持手动重新生成报告，根据模板更新报告文字、各项指标和图表。支持下载pdf格式和word格式的监管报告。</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月度、年度报告模版。可对报告模板进行配置，自定义编辑报告模板的标题、文字，支持在报告中快速插入各类停车数据指标、图表、表格，支持对报告的字体、字号、编号、缩进量、背景颜色、行距等属性进行设置。支持统计各数据指标、图表、表格在监管报告中的使用次数。支持配置停车数据指标阈值和触达阈值时应提示的预警信息，条件被触发是在监管报告中自动生成预警信息。</w:t>
            </w:r>
          </w:p>
        </w:tc>
      </w:tr>
      <w:tr w14:paraId="3B64CC76">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AD2990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3C46C55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593918C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辅助决策</w:t>
            </w:r>
          </w:p>
        </w:tc>
        <w:tc>
          <w:tcPr>
            <w:tcW w:w="389" w:type="pct"/>
            <w:tcBorders>
              <w:top w:val="nil"/>
              <w:left w:val="nil"/>
              <w:bottom w:val="single" w:color="auto" w:sz="4" w:space="0"/>
              <w:right w:val="single" w:color="auto" w:sz="4" w:space="0"/>
            </w:tcBorders>
            <w:shd w:val="clear" w:color="000000" w:fill="FFFFFF"/>
            <w:vAlign w:val="center"/>
          </w:tcPr>
          <w:p w14:paraId="3971494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资源供需分析</w:t>
            </w:r>
          </w:p>
        </w:tc>
        <w:tc>
          <w:tcPr>
            <w:tcW w:w="3449" w:type="pct"/>
            <w:tcBorders>
              <w:top w:val="nil"/>
              <w:left w:val="nil"/>
              <w:bottom w:val="single" w:color="auto" w:sz="4" w:space="0"/>
              <w:right w:val="single" w:color="auto" w:sz="4" w:space="0"/>
            </w:tcBorders>
            <w:shd w:val="clear" w:color="000000" w:fill="FFFFFF"/>
            <w:vAlign w:val="center"/>
          </w:tcPr>
          <w:p w14:paraId="700A3BD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日期、区域、停车场对停车数据进行检索，展示指定日期区间内所选区域的停车流量趋势、本/外地车停车量趋势、新能源/非新能源车辆停车辆趋势图。支持列表展示各停车场停车位泊位数、总停车量、出入车流量、本/外地车停车量、新能源/传统能源车辆停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2.支持对日常停车需求和资源供给能力进行分析，支持展示所选区域的泊位供应量、需求量及停车运行指标。支持展示停车供需指数。支持以可视化方式展示近六个月停车泊位缺口变化趋势。</w:t>
            </w:r>
          </w:p>
        </w:tc>
      </w:tr>
      <w:tr w14:paraId="127A98DD">
        <w:tblPrEx>
          <w:tblCellMar>
            <w:top w:w="0" w:type="dxa"/>
            <w:left w:w="108" w:type="dxa"/>
            <w:bottom w:w="0" w:type="dxa"/>
            <w:right w:w="108" w:type="dxa"/>
          </w:tblCellMar>
        </w:tblPrEx>
        <w:trPr>
          <w:trHeight w:val="8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18167D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C61C196">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EFB119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E40020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存量优化分析</w:t>
            </w:r>
          </w:p>
        </w:tc>
        <w:tc>
          <w:tcPr>
            <w:tcW w:w="3449" w:type="pct"/>
            <w:tcBorders>
              <w:top w:val="nil"/>
              <w:left w:val="nil"/>
              <w:bottom w:val="single" w:color="auto" w:sz="4" w:space="0"/>
              <w:right w:val="single" w:color="auto" w:sz="4" w:space="0"/>
            </w:tcBorders>
            <w:shd w:val="clear" w:color="000000" w:fill="FFFFFF"/>
            <w:vAlign w:val="center"/>
          </w:tcPr>
          <w:p w14:paraId="443EA06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1.支持展示指定日期区间的不同收费等级停车场的周转率、平均单泊位应收、平均停车时长。支持对不同收费等级停车场进行周转率排名。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识别并列表展示具有错时共享潜力的停车场，同时展示停车场建议错时共享的时段、可错时共享的停车位数量、周边可分流的停车场数量。点击列表里的停车场，可在地图上自动定位停车场。支持地图上定位展示具有错时共享潜力的停车场，点击车场可展示空闲时段和当前占用率，并框选周边可互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挖掘并展示各区域泊位利用率长期较低，而周边停车需求旺盛的车场。支持展示指定区域盲点车场数量与环比变化数据。支持展示盲点停车场占比与组成结构。支持可视化展示近3个月、近6个月、近1年所选区域盲点停车场数量变化趋势。支持展示盲点停车场区域分布数量与各区域盲点停车场比重。支持在地图上展示盲点停车场、诱导屏。支持切换展示全部停车场或只展示盲点停车场；支持根据停车情况对区域内盲点车场进行统计排名。支持展示盲点停车场今日停车数据与统计周期数据。支持在选中盲点停车场列表中的停车场时，在地图上自动定位对应停车场。支持在地图选中盲点停车场，看板展示周边停车资源数量、周边违停情况、周边诱导屏建设情况、停车场设施情况、收费标准、最近统计周期运行情况。支持展示近一个月盲点停车场与相邻停车场中繁忙停车场的利用率变化趋势对比图。支持在地图上以图标标识盲点车场周边可分流停车场。支持在选中盲点停车场列表中的停车场时，在地图上自动定位对应停车场。</w:t>
            </w:r>
          </w:p>
        </w:tc>
      </w:tr>
      <w:tr w14:paraId="2A1A0E82">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4CDDBC4">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0E1510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DB7E2D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5536C9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停车预测分析</w:t>
            </w:r>
          </w:p>
        </w:tc>
        <w:tc>
          <w:tcPr>
            <w:tcW w:w="3449" w:type="pct"/>
            <w:tcBorders>
              <w:top w:val="nil"/>
              <w:left w:val="nil"/>
              <w:bottom w:val="single" w:color="auto" w:sz="4" w:space="0"/>
              <w:right w:val="single" w:color="auto" w:sz="4" w:space="0"/>
            </w:tcBorders>
            <w:shd w:val="clear" w:color="000000" w:fill="FFFFFF"/>
            <w:vAlign w:val="center"/>
          </w:tcPr>
          <w:p w14:paraId="766CF55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区域、停车场展示停车位供给总量、当前空余停车位数量。支持以可视化方式展示当前时刻停车余位指数。支持以可视化方式展示所选区域或停车场近一小时实际余位数量与未来二十四小时的预测余位数量、预测余位指数。支持通过不同颜色展示停车余位指数区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所选区域、停车场近七日日均停车量、平均通行时长，各类场景下的支付方式占比。支持展示所选区域未来三日日均停车量、平均通行时长的预测值。支持展示通行效率存在优化空间的排名前十的停车场列表，展示各停车场名称与平均通行时长。支持在地图定位各停车场并展示停车位数量、通行时长、日均停车量。</w:t>
            </w:r>
          </w:p>
        </w:tc>
      </w:tr>
      <w:tr w14:paraId="022D577C">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B4B7B6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BE707DA">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009328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0F153F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停车综合分析</w:t>
            </w:r>
          </w:p>
        </w:tc>
        <w:tc>
          <w:tcPr>
            <w:tcW w:w="3449" w:type="pct"/>
            <w:tcBorders>
              <w:top w:val="nil"/>
              <w:left w:val="nil"/>
              <w:bottom w:val="single" w:color="auto" w:sz="4" w:space="0"/>
              <w:right w:val="single" w:color="auto" w:sz="4" w:space="0"/>
            </w:tcBorders>
            <w:shd w:val="clear" w:color="auto" w:fill="auto"/>
            <w:vAlign w:val="center"/>
          </w:tcPr>
          <w:p w14:paraId="590B4DA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停车设施资源、停车运行效率、停车服务水平三个维度进行分析，建立城市停车评价指标体系，对城市停车体系运行质量进行综合评分。支持展示所选区域的停车治理综合评分，分项展示停车资源指数、停车服务指数、停车运行指数。支持对所选区域的子区域进行指数排名；支持以可视化方式展示近3个月、近6个月、近12个月区域停车综合评分变化趋势，支持各行政区划评分月度对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指定统计周期、指定区域的停车综合评分，支持展示每个统计周期内各区域的资源、运行、服务指数以及作为支撑的各项二级指数。支持可视化展示指定统计周期、指定区域的综合评分及各项指数变化趋势图，支持展示本区划与上级行政区划的各项指数对比。</w:t>
            </w:r>
          </w:p>
        </w:tc>
      </w:tr>
      <w:tr w14:paraId="340A6CFA">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56F8D64">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8CAE65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135076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85C074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停车指数分析</w:t>
            </w:r>
          </w:p>
        </w:tc>
        <w:tc>
          <w:tcPr>
            <w:tcW w:w="3449" w:type="pct"/>
            <w:tcBorders>
              <w:top w:val="nil"/>
              <w:left w:val="nil"/>
              <w:bottom w:val="single" w:color="auto" w:sz="4" w:space="0"/>
              <w:right w:val="single" w:color="auto" w:sz="4" w:space="0"/>
            </w:tcBorders>
            <w:shd w:val="clear" w:color="auto" w:fill="auto"/>
            <w:vAlign w:val="center"/>
          </w:tcPr>
          <w:p w14:paraId="3AF1B10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1.支持根据区域、停车场类型、时间区间等条件检索停车场，分析展示停车运行指数、停车利用率、停车高峰时段与累计高峰时长、停车低谷时段与累计低谷时长。</w:t>
            </w:r>
          </w:p>
        </w:tc>
      </w:tr>
      <w:tr w14:paraId="6B5FE496">
        <w:tblPrEx>
          <w:tblCellMar>
            <w:top w:w="0" w:type="dxa"/>
            <w:left w:w="108" w:type="dxa"/>
            <w:bottom w:w="0" w:type="dxa"/>
            <w:right w:w="108" w:type="dxa"/>
          </w:tblCellMar>
        </w:tblPrEx>
        <w:trPr>
          <w:trHeight w:val="29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AE8C27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598FB74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6A1928C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停车诱导服务</w:t>
            </w:r>
          </w:p>
        </w:tc>
        <w:tc>
          <w:tcPr>
            <w:tcW w:w="389" w:type="pct"/>
            <w:tcBorders>
              <w:top w:val="nil"/>
              <w:left w:val="nil"/>
              <w:bottom w:val="single" w:color="auto" w:sz="4" w:space="0"/>
              <w:right w:val="single" w:color="auto" w:sz="4" w:space="0"/>
            </w:tcBorders>
            <w:shd w:val="clear" w:color="000000" w:fill="FFFFFF"/>
            <w:vAlign w:val="center"/>
          </w:tcPr>
          <w:p w14:paraId="07AAD4D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数据源管理</w:t>
            </w:r>
          </w:p>
        </w:tc>
        <w:tc>
          <w:tcPr>
            <w:tcW w:w="3449" w:type="pct"/>
            <w:tcBorders>
              <w:top w:val="nil"/>
              <w:left w:val="nil"/>
              <w:bottom w:val="single" w:color="auto" w:sz="4" w:space="0"/>
              <w:right w:val="single" w:color="auto" w:sz="4" w:space="0"/>
            </w:tcBorders>
            <w:shd w:val="clear" w:color="000000" w:fill="FFFFFF"/>
            <w:vAlign w:val="center"/>
          </w:tcPr>
          <w:p w14:paraId="7929D45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1.支持查看诱导屏与停车场关联关系，支持将单个或者多个停车场与具体诱导屏进行关联。支持查看指定数据源最近一次余位数据更新结果。</w:t>
            </w:r>
          </w:p>
        </w:tc>
      </w:tr>
      <w:tr w14:paraId="0C5377D1">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745A201">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8E3B2B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37B693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F41ADD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余位自动发布</w:t>
            </w:r>
          </w:p>
        </w:tc>
        <w:tc>
          <w:tcPr>
            <w:tcW w:w="3449" w:type="pct"/>
            <w:tcBorders>
              <w:top w:val="nil"/>
              <w:left w:val="nil"/>
              <w:bottom w:val="single" w:color="auto" w:sz="4" w:space="0"/>
              <w:right w:val="single" w:color="auto" w:sz="4" w:space="0"/>
            </w:tcBorders>
            <w:shd w:val="clear" w:color="000000" w:fill="FFFFFF"/>
            <w:vAlign w:val="center"/>
          </w:tcPr>
          <w:p w14:paraId="354718C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1.支持自动检测停车场余位数据变化情况，在诱导屏固定区域关联展示指定停车场余位数据（动态刷新）。</w:t>
            </w:r>
          </w:p>
        </w:tc>
      </w:tr>
      <w:tr w14:paraId="203925D6">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FA3A54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593695A">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A10D99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7BB46C4">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数据更新记录</w:t>
            </w:r>
          </w:p>
        </w:tc>
        <w:tc>
          <w:tcPr>
            <w:tcW w:w="3449" w:type="pct"/>
            <w:tcBorders>
              <w:top w:val="nil"/>
              <w:left w:val="nil"/>
              <w:bottom w:val="single" w:color="auto" w:sz="4" w:space="0"/>
              <w:right w:val="single" w:color="auto" w:sz="4" w:space="0"/>
            </w:tcBorders>
            <w:shd w:val="clear" w:color="000000" w:fill="FFFFFF"/>
            <w:vAlign w:val="center"/>
          </w:tcPr>
          <w:p w14:paraId="02393B1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1.支持对余位信息更新记录进行查询，展示内容包括：数据源名称、更新内容、更新时间、更新结果。</w:t>
            </w:r>
          </w:p>
        </w:tc>
      </w:tr>
      <w:tr w14:paraId="358DF124">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3C6914E">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F71B386">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AFAF146">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D3D2E5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画布管理</w:t>
            </w:r>
          </w:p>
        </w:tc>
        <w:tc>
          <w:tcPr>
            <w:tcW w:w="3449" w:type="pct"/>
            <w:tcBorders>
              <w:top w:val="nil"/>
              <w:left w:val="nil"/>
              <w:bottom w:val="single" w:color="auto" w:sz="4" w:space="0"/>
              <w:right w:val="single" w:color="auto" w:sz="4" w:space="0"/>
            </w:tcBorders>
            <w:shd w:val="clear" w:color="000000" w:fill="FFFFFF"/>
            <w:vAlign w:val="center"/>
          </w:tcPr>
          <w:p w14:paraId="7F8302A2">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1.支持以缩略图方式展示画布并标识同步状态，支持基于画布名称、同步状态查询画布。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2.支持添加、预览、编辑、删除画布，支持设置画布名称和尺寸。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3.支持发布画布至素材库网页列表。支持在画布上自定义添加/删除水平公路、垂直公路、横向文本、纵向文本、上下左右箭头、方向图例、停车场，形成道路路网图，</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4.支持鼠标拖拉方式调整元素位置和形状，支持设置文字大小和颜色，支持设置道路颜色。支持支持上传和删除自定义元素。支持为停车场关联数据源。支持为道路关联路段。</w:t>
            </w:r>
          </w:p>
        </w:tc>
      </w:tr>
      <w:tr w14:paraId="0685FD20">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058BEA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1D16101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汇聚中心</w:t>
            </w:r>
          </w:p>
        </w:tc>
        <w:tc>
          <w:tcPr>
            <w:tcW w:w="476" w:type="pct"/>
            <w:gridSpan w:val="2"/>
            <w:tcBorders>
              <w:top w:val="nil"/>
              <w:left w:val="nil"/>
              <w:bottom w:val="single" w:color="auto" w:sz="4" w:space="0"/>
              <w:right w:val="single" w:color="auto" w:sz="4" w:space="0"/>
            </w:tcBorders>
            <w:shd w:val="clear" w:color="000000" w:fill="FFFFFF"/>
            <w:vAlign w:val="center"/>
          </w:tcPr>
          <w:p w14:paraId="4CDCDBA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89" w:type="pct"/>
            <w:tcBorders>
              <w:top w:val="nil"/>
              <w:left w:val="nil"/>
              <w:bottom w:val="single" w:color="auto" w:sz="4" w:space="0"/>
              <w:right w:val="single" w:color="auto" w:sz="4" w:space="0"/>
            </w:tcBorders>
            <w:shd w:val="clear" w:color="000000" w:fill="FFFFFF"/>
            <w:vAlign w:val="center"/>
          </w:tcPr>
          <w:p w14:paraId="0C26A22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449" w:type="pct"/>
            <w:tcBorders>
              <w:top w:val="nil"/>
              <w:left w:val="nil"/>
              <w:bottom w:val="single" w:color="auto" w:sz="4" w:space="0"/>
              <w:right w:val="single" w:color="auto" w:sz="4" w:space="0"/>
            </w:tcBorders>
            <w:shd w:val="clear" w:color="000000" w:fill="FFFFFF"/>
            <w:vAlign w:val="center"/>
          </w:tcPr>
          <w:p w14:paraId="480E0E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1.通过数据汇聚网关，实现多来源、多种类、多类型的停车数据的汇聚接入、数据标准化转换、数据存储，以标准开放接口服务的方式支撑下级停车场库平台对接。</w:t>
            </w:r>
          </w:p>
        </w:tc>
      </w:tr>
      <w:tr w14:paraId="037C7413">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D43830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5C9C658B">
            <w:pPr>
              <w:widowControl/>
              <w:spacing w:line="360" w:lineRule="auto"/>
              <w:jc w:val="left"/>
              <w:rPr>
                <w:rFonts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182247C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89" w:type="pct"/>
            <w:tcBorders>
              <w:top w:val="nil"/>
              <w:left w:val="nil"/>
              <w:bottom w:val="single" w:color="auto" w:sz="4" w:space="0"/>
              <w:right w:val="single" w:color="auto" w:sz="4" w:space="0"/>
            </w:tcBorders>
            <w:shd w:val="clear" w:color="000000" w:fill="FFFFFF"/>
            <w:vAlign w:val="center"/>
          </w:tcPr>
          <w:p w14:paraId="3E286AD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449" w:type="pct"/>
            <w:tcBorders>
              <w:top w:val="nil"/>
              <w:left w:val="nil"/>
              <w:bottom w:val="single" w:color="auto" w:sz="4" w:space="0"/>
              <w:right w:val="single" w:color="auto" w:sz="4" w:space="0"/>
            </w:tcBorders>
            <w:shd w:val="clear" w:color="000000" w:fill="FFFFFF"/>
            <w:vAlign w:val="center"/>
          </w:tcPr>
          <w:p w14:paraId="06328D8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1.对下级平台数据汇聚对接情况进行实时监控与数据分析，检测平台离线、数据质量问题。</w:t>
            </w:r>
          </w:p>
        </w:tc>
      </w:tr>
      <w:tr w14:paraId="7B2E054C">
        <w:tblPrEx>
          <w:tblCellMar>
            <w:top w:w="0" w:type="dxa"/>
            <w:left w:w="108" w:type="dxa"/>
            <w:bottom w:w="0" w:type="dxa"/>
            <w:right w:w="108" w:type="dxa"/>
          </w:tblCellMar>
        </w:tblPrEx>
        <w:trPr>
          <w:trHeight w:val="174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93A442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212A2E3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0615FD5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接入管理</w:t>
            </w:r>
          </w:p>
        </w:tc>
        <w:tc>
          <w:tcPr>
            <w:tcW w:w="389" w:type="pct"/>
            <w:tcBorders>
              <w:top w:val="nil"/>
              <w:left w:val="nil"/>
              <w:bottom w:val="single" w:color="auto" w:sz="4" w:space="0"/>
              <w:right w:val="single" w:color="auto" w:sz="4" w:space="0"/>
            </w:tcBorders>
            <w:shd w:val="clear" w:color="auto" w:fill="auto"/>
            <w:vAlign w:val="center"/>
          </w:tcPr>
          <w:p w14:paraId="527301D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区域接入分析</w:t>
            </w:r>
          </w:p>
        </w:tc>
        <w:tc>
          <w:tcPr>
            <w:tcW w:w="3449" w:type="pct"/>
            <w:tcBorders>
              <w:top w:val="nil"/>
              <w:left w:val="nil"/>
              <w:bottom w:val="single" w:color="auto" w:sz="4" w:space="0"/>
              <w:right w:val="single" w:color="auto" w:sz="4" w:space="0"/>
            </w:tcBorders>
            <w:shd w:val="clear" w:color="auto" w:fill="auto"/>
            <w:vAlign w:val="center"/>
          </w:tcPr>
          <w:p w14:paraId="711482C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1.支持按区域、区域类型、停车场类型进行检索，以图形化方式展示选中区域及下级区域停车场接入数量、接入车场占比。展示在线停车场数量、接入停车场数量占比。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列表形式展示各区域的停车场总数、接入车场数、接入车位数、车场接入率、在线车场数、车场在线率。支持根据接入率、在线率、车场接入数、车场在线数进行区域排序，并显式标识接入率前三位的区域。</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照时间维度（月、季、年）、区域、停车场类型查询历史时间段内指定区域停车场接入分析数据。支持以图形化方式对比展示选中区域在指定时间段内的接入量变化趋势、接入率变化趋势。支持以列表展示统计时段内各区域的停车场数量、接入量、接入率。支持导出历史接入分析数据。</w:t>
            </w:r>
          </w:p>
        </w:tc>
      </w:tr>
      <w:tr w14:paraId="6ABE614F">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410ED43">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5DE3B3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201AAE5">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47456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业态接入分析</w:t>
            </w:r>
          </w:p>
        </w:tc>
        <w:tc>
          <w:tcPr>
            <w:tcW w:w="3449" w:type="pct"/>
            <w:tcBorders>
              <w:top w:val="nil"/>
              <w:left w:val="nil"/>
              <w:bottom w:val="single" w:color="auto" w:sz="4" w:space="0"/>
              <w:right w:val="single" w:color="auto" w:sz="4" w:space="0"/>
            </w:tcBorders>
            <w:shd w:val="clear" w:color="auto" w:fill="auto"/>
            <w:vAlign w:val="center"/>
          </w:tcPr>
          <w:p w14:paraId="2E0CA2E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1.为便于了解各业态车场接入情况，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2.支持基于业态分析车场接入率和在线率。支持按区域、业态进行检索，以图形化方式展示各区域下各业态的停车场接入情况。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3.支持列表展示指定区域下辖区域的各业态停车场接入率、停车位接入量、车场接入率、车场在线率。</w:t>
            </w:r>
          </w:p>
        </w:tc>
      </w:tr>
      <w:tr w14:paraId="7872F4E1">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420C401">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DF0A09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C879B8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903436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服务商接入分析</w:t>
            </w:r>
          </w:p>
        </w:tc>
        <w:tc>
          <w:tcPr>
            <w:tcW w:w="3449" w:type="pct"/>
            <w:tcBorders>
              <w:top w:val="nil"/>
              <w:left w:val="nil"/>
              <w:bottom w:val="single" w:color="auto" w:sz="4" w:space="0"/>
              <w:right w:val="single" w:color="auto" w:sz="4" w:space="0"/>
            </w:tcBorders>
            <w:shd w:val="clear" w:color="auto" w:fill="auto"/>
            <w:vAlign w:val="center"/>
          </w:tcPr>
          <w:p w14:paraId="5A89473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1.为便于对各信息系统服务商接入情况进行摸底和考核，支持基于信息系统服务商和信息系统进行接入分析。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2.支持按区域、信息系统服务商、信息系统进行检索，以图表展示已接入停车场数量和占比、各服务商接入停车场占比、在线停车场数量和占比。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3.支持以列表展示指定区域下各服务商、信息系统的的接入车场数、接入车位数、接入率、在线率，便于了解区域中存在哪些信息系统服务商及各服务商及当前车场接入进度。</w:t>
            </w:r>
          </w:p>
        </w:tc>
      </w:tr>
      <w:tr w14:paraId="3C6C7973">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05AB40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AE4AF43">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CC396F">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EBECB2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接入进度管理</w:t>
            </w:r>
          </w:p>
        </w:tc>
        <w:tc>
          <w:tcPr>
            <w:tcW w:w="3449" w:type="pct"/>
            <w:tcBorders>
              <w:top w:val="nil"/>
              <w:left w:val="nil"/>
              <w:bottom w:val="single" w:color="auto" w:sz="4" w:space="0"/>
              <w:right w:val="single" w:color="auto" w:sz="4" w:space="0"/>
            </w:tcBorders>
            <w:shd w:val="clear" w:color="auto" w:fill="auto"/>
            <w:vAlign w:val="center"/>
          </w:tcPr>
          <w:p w14:paraId="095FBBC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1.支持按照信息系统服务商、信息系统名称、状态查询服务商接入进度数据，展示信息包括信息系统名称、信息系统服务商名称、当前接入状态、接入车场数、对接平台IP、今日上传数量。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2.支持查询服务商接入详情，内容包括服务商接入的生命周期，以及服务商下各停车场接入平台的时间、当前状态。</w:t>
            </w:r>
          </w:p>
        </w:tc>
      </w:tr>
      <w:tr w14:paraId="1CA6C088">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6E19E1E">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731312">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6FD0EC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5EA4FA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车场接入分析</w:t>
            </w:r>
          </w:p>
        </w:tc>
        <w:tc>
          <w:tcPr>
            <w:tcW w:w="3449" w:type="pct"/>
            <w:tcBorders>
              <w:top w:val="nil"/>
              <w:left w:val="nil"/>
              <w:bottom w:val="single" w:color="auto" w:sz="4" w:space="0"/>
              <w:right w:val="single" w:color="auto" w:sz="4" w:space="0"/>
            </w:tcBorders>
            <w:shd w:val="clear" w:color="auto" w:fill="auto"/>
            <w:vAlign w:val="center"/>
          </w:tcPr>
          <w:p w14:paraId="53C9A4E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1.支持展示各车场接入厂商、当前接入状态、最近一次数据上传时间、最近一次上传数据质量，2.支持展示最近24小时停车场上传数据数量及数据正常率。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3.支持按日期展示各个停车场累计数据上传数量、正常率和累计离线次数。</w:t>
            </w:r>
          </w:p>
        </w:tc>
      </w:tr>
      <w:tr w14:paraId="0F661A58">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4D26D4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969881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C73C23A">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241E56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接入质量管理</w:t>
            </w:r>
          </w:p>
        </w:tc>
        <w:tc>
          <w:tcPr>
            <w:tcW w:w="3449" w:type="pct"/>
            <w:tcBorders>
              <w:top w:val="nil"/>
              <w:left w:val="nil"/>
              <w:bottom w:val="single" w:color="auto" w:sz="4" w:space="0"/>
              <w:right w:val="single" w:color="auto" w:sz="4" w:space="0"/>
            </w:tcBorders>
            <w:shd w:val="clear" w:color="auto" w:fill="auto"/>
            <w:vAlign w:val="center"/>
          </w:tcPr>
          <w:p w14:paraId="2426290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停车场、信息系统服务商、车场在线状态、数据质量评级等条件查询停车场24小时内接入的数据质量，展示信息有停车场名称、信息系统服务商名称、车场在线状态、最近一条数据上传时间、最近一条数据质量、上传数量、正常数量、数据质量评估等级。</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2.支持按时间范围、停车场、信息系统服务商、数据质量评级等条件查询停车场接入的数据质量，展示信息有停车场名称、信息系统服务商名称、上传数量、离线次数、数据质量评估等级。</w:t>
            </w:r>
          </w:p>
        </w:tc>
      </w:tr>
      <w:tr w14:paraId="6018DDCE">
        <w:tblPrEx>
          <w:tblCellMar>
            <w:top w:w="0" w:type="dxa"/>
            <w:left w:w="108" w:type="dxa"/>
            <w:bottom w:w="0" w:type="dxa"/>
            <w:right w:w="108" w:type="dxa"/>
          </w:tblCellMar>
        </w:tblPrEx>
        <w:trPr>
          <w:trHeight w:val="87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521B4F7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3B39DC3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0358F6F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停车数据管理</w:t>
            </w:r>
          </w:p>
        </w:tc>
        <w:tc>
          <w:tcPr>
            <w:tcW w:w="389" w:type="pct"/>
            <w:tcBorders>
              <w:top w:val="nil"/>
              <w:left w:val="nil"/>
              <w:bottom w:val="single" w:color="auto" w:sz="4" w:space="0"/>
              <w:right w:val="single" w:color="auto" w:sz="4" w:space="0"/>
            </w:tcBorders>
            <w:shd w:val="clear" w:color="auto" w:fill="auto"/>
            <w:vAlign w:val="center"/>
          </w:tcPr>
          <w:p w14:paraId="12007FF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停车记录管理</w:t>
            </w:r>
          </w:p>
        </w:tc>
        <w:tc>
          <w:tcPr>
            <w:tcW w:w="3449" w:type="pct"/>
            <w:tcBorders>
              <w:top w:val="nil"/>
              <w:left w:val="nil"/>
              <w:bottom w:val="single" w:color="auto" w:sz="4" w:space="0"/>
              <w:right w:val="single" w:color="auto" w:sz="4" w:space="0"/>
            </w:tcBorders>
            <w:shd w:val="clear" w:color="auto" w:fill="auto"/>
            <w:vAlign w:val="center"/>
          </w:tcPr>
          <w:p w14:paraId="2D03A08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停车场通过联网接入系统后，支持对各停车场停车记录集中存储和展示。支持根据车牌号码、入车时间、停车时长、停车场名称、停车状态等检索条件查询停车记录。支持查看每笔停车记录相关的停车场、停车时长、状态等信息以及出入车图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2.支持导出选中或全部停车记录。</w:t>
            </w:r>
          </w:p>
        </w:tc>
      </w:tr>
      <w:tr w14:paraId="041F1FEC">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3EE9CAD">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EE20BF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89EF79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37F068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过车记录管理</w:t>
            </w:r>
          </w:p>
        </w:tc>
        <w:tc>
          <w:tcPr>
            <w:tcW w:w="3449" w:type="pct"/>
            <w:tcBorders>
              <w:top w:val="nil"/>
              <w:left w:val="nil"/>
              <w:bottom w:val="single" w:color="auto" w:sz="4" w:space="0"/>
              <w:right w:val="single" w:color="auto" w:sz="4" w:space="0"/>
            </w:tcBorders>
            <w:shd w:val="clear" w:color="auto" w:fill="auto"/>
            <w:vAlign w:val="center"/>
          </w:tcPr>
          <w:p w14:paraId="1C5CEED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1.支持根据出入车时间、出入方向、车牌号码、停车场名称、停车类型、泊位号、数据质量等条件检索过车记录。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2.支持检索并导出选中或全部过车记录。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3.支持对过车记录进行人工抽检，对任一条数据进行数据质量审核，判定数据问题并记录原因。</w:t>
            </w:r>
          </w:p>
        </w:tc>
      </w:tr>
      <w:tr w14:paraId="17CCAA7F">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28E6EBC">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DFD5B6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D26B2FF">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958CFD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空余记录管理</w:t>
            </w:r>
          </w:p>
        </w:tc>
        <w:tc>
          <w:tcPr>
            <w:tcW w:w="3449" w:type="pct"/>
            <w:tcBorders>
              <w:top w:val="nil"/>
              <w:left w:val="nil"/>
              <w:bottom w:val="single" w:color="auto" w:sz="4" w:space="0"/>
              <w:right w:val="single" w:color="auto" w:sz="4" w:space="0"/>
            </w:tcBorders>
            <w:shd w:val="clear" w:color="000000" w:fill="FFFFFF"/>
            <w:vAlign w:val="center"/>
          </w:tcPr>
          <w:p w14:paraId="5057FD5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支持展示下级停车场信息系统上传的各停车场空余车位记录。</w:t>
            </w:r>
          </w:p>
        </w:tc>
      </w:tr>
      <w:tr w14:paraId="55419384">
        <w:tblPrEx>
          <w:tblCellMar>
            <w:top w:w="0" w:type="dxa"/>
            <w:left w:w="108" w:type="dxa"/>
            <w:bottom w:w="0" w:type="dxa"/>
            <w:right w:w="108" w:type="dxa"/>
          </w:tblCellMar>
        </w:tblPrEx>
        <w:trPr>
          <w:trHeight w:val="832"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E34D6D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4D7CDF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6AE034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DC0BC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数据质量分析</w:t>
            </w:r>
          </w:p>
        </w:tc>
        <w:tc>
          <w:tcPr>
            <w:tcW w:w="3449" w:type="pct"/>
            <w:tcBorders>
              <w:top w:val="nil"/>
              <w:left w:val="nil"/>
              <w:bottom w:val="single" w:color="auto" w:sz="4" w:space="0"/>
              <w:right w:val="single" w:color="auto" w:sz="4" w:space="0"/>
            </w:tcBorders>
            <w:shd w:val="clear" w:color="000000" w:fill="FFFFFF"/>
            <w:vAlign w:val="center"/>
          </w:tcPr>
          <w:p w14:paraId="152B35C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1.支持对各车场上传的数据进行质量检测，便于发现车场数据问题，确保数据完整性、时效性，支撑数据分析和公众停车信息服务。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维度（日、月、年）、区域、经营单位、信息系统服务商等条件进行检索，展示指定区域停车场上传数据总量、正常数据条数、数据质量评级，以及数据规范性、完整性、准确性、时效性各项指标评分。支持以图形化方式展示指定区域、信息系统服务商在特定时间段内数据质量分析结果，展示合格数据、规范性问题数据、完整性问题数据、准确性问题数据、时效性问题数据的数量，便于发现主要数据问题，有针对性的进行整改。</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3.支持对各信息系统服务商数据进行分析，展示各服务商的等级评分。支持以列表展示各区域的数据质量数据，内容包括区域名称、接收数据量、正常数据量、数据质量评级、规范率、完整率、准确率、时效率。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照时间维度（日、月、年）、区域、停车场、信息系统服务商、经营单位、数据质量评级、查询车场数据域数据质量，以列表展示各停车场的数据质量数据，内容包括区域名称、接收数据量、正常数据量、数据质量评级、规范率、完整率、准确率、实效率。</w:t>
            </w:r>
          </w:p>
        </w:tc>
      </w:tr>
      <w:tr w14:paraId="0A6A4BFA">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D8A2405">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1D8147C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2FD6B2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告警管理</w:t>
            </w:r>
          </w:p>
        </w:tc>
        <w:tc>
          <w:tcPr>
            <w:tcW w:w="389" w:type="pct"/>
            <w:tcBorders>
              <w:top w:val="nil"/>
              <w:left w:val="nil"/>
              <w:bottom w:val="single" w:color="auto" w:sz="4" w:space="0"/>
              <w:right w:val="single" w:color="auto" w:sz="4" w:space="0"/>
            </w:tcBorders>
            <w:shd w:val="clear" w:color="auto" w:fill="auto"/>
            <w:vAlign w:val="center"/>
          </w:tcPr>
          <w:p w14:paraId="58874F2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停车场离线告警</w:t>
            </w:r>
          </w:p>
        </w:tc>
        <w:tc>
          <w:tcPr>
            <w:tcW w:w="3449" w:type="pct"/>
            <w:tcBorders>
              <w:top w:val="nil"/>
              <w:left w:val="nil"/>
              <w:bottom w:val="single" w:color="auto" w:sz="4" w:space="0"/>
              <w:right w:val="single" w:color="auto" w:sz="4" w:space="0"/>
            </w:tcBorders>
            <w:shd w:val="clear" w:color="auto" w:fill="auto"/>
            <w:vAlign w:val="center"/>
          </w:tcPr>
          <w:p w14:paraId="2E33DA8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1.支持对停车场离线情况进行统计分析，便于发现频繁数据中断的停车场，要求整改确保数据完整获取。</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2.支持根据时间、区域、停车场、信息系统服务商等条件检索停车场离线数据。支持图形化方式展示指定区域当前离线车场数，指定时间段内的离线次数和离线告警次数。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3.支持按离线次数进行排名，展示离线最频繁的10家停车场。 支持按离线时长进行排名，展示累计离线时长最长的10家停车场。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4.支持以列表展示查询条件范围内停车场告警数据，内容包括当前状态、累计离线时长、离线次数、告警次数。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5.支持展示停车场离线告警详情，包括累计离线次数、累计离线时长。支持对每次离线时长进行统计，分析离线时长分布。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6.支持以离线告警日历直观展示停车场离线情况，点击日历表可以展示离线时间范围、离线时长、告警次数，便于发现离线规律。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7.支持开启和关闭离线告警通知功能，关闭告警的停车场不再自动推送信息通知用户。</w:t>
            </w:r>
          </w:p>
        </w:tc>
      </w:tr>
      <w:tr w14:paraId="2EAEFCC0">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6CC07D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F62708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2DEAE41">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66C61F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停车场异常数据告警</w:t>
            </w:r>
          </w:p>
        </w:tc>
        <w:tc>
          <w:tcPr>
            <w:tcW w:w="3449" w:type="pct"/>
            <w:tcBorders>
              <w:top w:val="nil"/>
              <w:left w:val="nil"/>
              <w:bottom w:val="single" w:color="auto" w:sz="4" w:space="0"/>
              <w:right w:val="single" w:color="auto" w:sz="4" w:space="0"/>
            </w:tcBorders>
            <w:shd w:val="clear" w:color="auto" w:fill="auto"/>
            <w:vAlign w:val="center"/>
          </w:tcPr>
          <w:p w14:paraId="7BC9E1A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1.支持对存在数据突变、持续数据质量不合格等数据异常情况的车场进行检测。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区域、业态、停车场、信息系统服务商进行检索，展示指定区域特定时间段内的数据异常车场数量、数据异常告警次数。支持根据异常严重情况对停车场进行排名，展示异常问题较严重10个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3.支持基于数据异常类型进行统计，展示各类异常情况次数和占比。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4.支持以列表展示符合查询条件的停车场数据异常告警数据，包括区域、停车场名称、异常类型、检测时间、告警次数。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5.支持开启和关闭停车场数据异常告警通知功能，关闭告警的停车场不再自动发送信息通知用户。</w:t>
            </w:r>
          </w:p>
        </w:tc>
      </w:tr>
      <w:tr w14:paraId="06109C77">
        <w:tblPrEx>
          <w:tblCellMar>
            <w:top w:w="0" w:type="dxa"/>
            <w:left w:w="108" w:type="dxa"/>
            <w:bottom w:w="0" w:type="dxa"/>
            <w:right w:w="108" w:type="dxa"/>
          </w:tblCellMar>
        </w:tblPrEx>
        <w:trPr>
          <w:trHeight w:val="145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8996EA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tcBorders>
              <w:top w:val="nil"/>
              <w:left w:val="nil"/>
              <w:bottom w:val="single" w:color="auto" w:sz="4" w:space="0"/>
              <w:right w:val="single" w:color="auto" w:sz="4" w:space="0"/>
            </w:tcBorders>
            <w:shd w:val="clear" w:color="000000" w:fill="FFFFFF"/>
            <w:vAlign w:val="center"/>
          </w:tcPr>
          <w:p w14:paraId="4034600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微信公众号</w:t>
            </w:r>
          </w:p>
        </w:tc>
        <w:tc>
          <w:tcPr>
            <w:tcW w:w="476" w:type="pct"/>
            <w:gridSpan w:val="2"/>
            <w:tcBorders>
              <w:top w:val="nil"/>
              <w:left w:val="nil"/>
              <w:bottom w:val="single" w:color="auto" w:sz="4" w:space="0"/>
              <w:right w:val="single" w:color="auto" w:sz="4" w:space="0"/>
            </w:tcBorders>
            <w:shd w:val="clear" w:color="auto" w:fill="auto"/>
            <w:vAlign w:val="center"/>
          </w:tcPr>
          <w:p w14:paraId="23930F5C">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31A9E8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1C7A90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1.在延安交管支队公众号配置菜单-停车余位信息发布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2.展示管辖范围内所有停车场，点击可基于用户手机已安装地图进行导航</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3.支持查询发布的车场停车位总数、余位信息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平台通过对接延安交管支队微信公众号，推送管辖区域内的所有停车场信息，包含地址、总车位数量、剩余车位数量；车主点击后，可调用手机导航，进行线路规划导航。</w:t>
            </w:r>
          </w:p>
        </w:tc>
      </w:tr>
      <w:tr w14:paraId="01A2DDF0">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AE6E92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tcBorders>
              <w:top w:val="nil"/>
              <w:left w:val="nil"/>
              <w:bottom w:val="single" w:color="auto" w:sz="4" w:space="0"/>
              <w:right w:val="single" w:color="auto" w:sz="4" w:space="0"/>
            </w:tcBorders>
            <w:shd w:val="clear" w:color="000000" w:fill="FFFFFF"/>
            <w:vAlign w:val="center"/>
          </w:tcPr>
          <w:p w14:paraId="4055980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高德地图数据对接</w:t>
            </w:r>
          </w:p>
        </w:tc>
        <w:tc>
          <w:tcPr>
            <w:tcW w:w="476" w:type="pct"/>
            <w:gridSpan w:val="2"/>
            <w:tcBorders>
              <w:top w:val="nil"/>
              <w:left w:val="nil"/>
              <w:bottom w:val="single" w:color="auto" w:sz="4" w:space="0"/>
              <w:right w:val="single" w:color="auto" w:sz="4" w:space="0"/>
            </w:tcBorders>
            <w:shd w:val="clear" w:color="auto" w:fill="auto"/>
            <w:vAlign w:val="center"/>
          </w:tcPr>
          <w:p w14:paraId="6BF2E3BD">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BDBC5D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27847C0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1.对接高德地图接口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2.对高德推送已接入监管平台的停车场余位信息，用于高德对外展示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平台对接高德地图，提供停车场数据，包含地址、总车位数量，余位数量，用于高德地图对外展示。</w:t>
            </w:r>
          </w:p>
        </w:tc>
      </w:tr>
      <w:tr w14:paraId="737D07CF">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EB2E7D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tcBorders>
              <w:top w:val="nil"/>
              <w:left w:val="nil"/>
              <w:bottom w:val="single" w:color="auto" w:sz="4" w:space="0"/>
              <w:right w:val="single" w:color="auto" w:sz="4" w:space="0"/>
            </w:tcBorders>
            <w:shd w:val="clear" w:color="auto" w:fill="auto"/>
            <w:vAlign w:val="center"/>
          </w:tcPr>
          <w:p w14:paraId="64CFE9A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诱导屏对接</w:t>
            </w:r>
          </w:p>
        </w:tc>
        <w:tc>
          <w:tcPr>
            <w:tcW w:w="476" w:type="pct"/>
            <w:gridSpan w:val="2"/>
            <w:tcBorders>
              <w:top w:val="nil"/>
              <w:left w:val="nil"/>
              <w:bottom w:val="single" w:color="auto" w:sz="4" w:space="0"/>
              <w:right w:val="single" w:color="auto" w:sz="4" w:space="0"/>
            </w:tcBorders>
            <w:shd w:val="clear" w:color="auto" w:fill="auto"/>
            <w:vAlign w:val="center"/>
          </w:tcPr>
          <w:p w14:paraId="4CB7BAEE">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DA5F18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0EF330D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1.支持在一二级信息发布屏上调用已接入监管平台的停车场余位信息，对外发布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2.支持“红、黄、蓝”三色展示路况拥堵程度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平台支持接入一二级信息发布诱导屏，对外发布停车场余位信息；支持按“红、黄、蓝”三色，对外展示路况拥堵情况。</w:t>
            </w:r>
          </w:p>
        </w:tc>
      </w:tr>
      <w:tr w14:paraId="46118CB1">
        <w:tblPrEx>
          <w:tblCellMar>
            <w:top w:w="0" w:type="dxa"/>
            <w:left w:w="108" w:type="dxa"/>
            <w:bottom w:w="0" w:type="dxa"/>
            <w:right w:w="108" w:type="dxa"/>
          </w:tblCellMar>
        </w:tblPrEx>
        <w:trPr>
          <w:trHeight w:val="11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74FD855">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tcBorders>
              <w:top w:val="nil"/>
              <w:left w:val="nil"/>
              <w:bottom w:val="single" w:color="auto" w:sz="4" w:space="0"/>
              <w:right w:val="single" w:color="auto" w:sz="4" w:space="0"/>
            </w:tcBorders>
            <w:shd w:val="clear" w:color="auto" w:fill="auto"/>
            <w:vAlign w:val="center"/>
          </w:tcPr>
          <w:p w14:paraId="0DEC35D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车场满位预警</w:t>
            </w:r>
          </w:p>
        </w:tc>
        <w:tc>
          <w:tcPr>
            <w:tcW w:w="476" w:type="pct"/>
            <w:gridSpan w:val="2"/>
            <w:tcBorders>
              <w:top w:val="nil"/>
              <w:left w:val="nil"/>
              <w:bottom w:val="single" w:color="auto" w:sz="4" w:space="0"/>
              <w:right w:val="single" w:color="auto" w:sz="4" w:space="0"/>
            </w:tcBorders>
            <w:shd w:val="clear" w:color="auto" w:fill="auto"/>
            <w:vAlign w:val="center"/>
          </w:tcPr>
          <w:p w14:paraId="100A2833">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AAB225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11312D2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1.针对车场满位无余位时，平台产生告警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2.支持后台策略分析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3.支持车位数据校准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平台针对车场满位，无余位时，产生告警，提供相关满位信息，支持针对不准确的车位余位，数据调整校准。</w:t>
            </w:r>
          </w:p>
        </w:tc>
      </w:tr>
      <w:tr w14:paraId="7173FFBE">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right w:val="single" w:color="auto" w:sz="4" w:space="0"/>
            </w:tcBorders>
            <w:shd w:val="clear" w:color="auto" w:fill="auto"/>
            <w:noWrap/>
            <w:vAlign w:val="center"/>
          </w:tcPr>
          <w:p w14:paraId="79B0285E">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383" w:type="pct"/>
            <w:vMerge w:val="restart"/>
            <w:tcBorders>
              <w:top w:val="nil"/>
              <w:left w:val="nil"/>
              <w:right w:val="single" w:color="auto" w:sz="4" w:space="0"/>
            </w:tcBorders>
            <w:shd w:val="clear" w:color="auto" w:fill="auto"/>
            <w:vAlign w:val="center"/>
          </w:tcPr>
          <w:p w14:paraId="50D8972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系统管理</w:t>
            </w:r>
          </w:p>
        </w:tc>
        <w:tc>
          <w:tcPr>
            <w:tcW w:w="476" w:type="pct"/>
            <w:gridSpan w:val="2"/>
            <w:vMerge w:val="restart"/>
            <w:tcBorders>
              <w:top w:val="nil"/>
              <w:left w:val="nil"/>
              <w:right w:val="single" w:color="auto" w:sz="4" w:space="0"/>
            </w:tcBorders>
            <w:shd w:val="clear" w:color="auto" w:fill="auto"/>
            <w:vAlign w:val="center"/>
          </w:tcPr>
          <w:p w14:paraId="4C46382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基础配置</w:t>
            </w:r>
          </w:p>
        </w:tc>
        <w:tc>
          <w:tcPr>
            <w:tcW w:w="389" w:type="pct"/>
            <w:tcBorders>
              <w:top w:val="nil"/>
              <w:left w:val="nil"/>
              <w:bottom w:val="single" w:color="auto" w:sz="4" w:space="0"/>
              <w:right w:val="single" w:color="auto" w:sz="4" w:space="0"/>
            </w:tcBorders>
            <w:shd w:val="clear" w:color="auto" w:fill="auto"/>
            <w:vAlign w:val="center"/>
          </w:tcPr>
          <w:p w14:paraId="67FC451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组织机构管理</w:t>
            </w:r>
          </w:p>
        </w:tc>
        <w:tc>
          <w:tcPr>
            <w:tcW w:w="3449" w:type="pct"/>
            <w:tcBorders>
              <w:top w:val="nil"/>
              <w:left w:val="nil"/>
              <w:bottom w:val="single" w:color="auto" w:sz="4" w:space="0"/>
              <w:right w:val="single" w:color="auto" w:sz="4" w:space="0"/>
            </w:tcBorders>
            <w:shd w:val="clear" w:color="auto" w:fill="auto"/>
            <w:vAlign w:val="center"/>
          </w:tcPr>
          <w:p w14:paraId="008A805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支持以树形菜单结构展示组织架构，呈现层级关系。支持对组织的新增、删除、修改、查询、导入、导出。</w:t>
            </w:r>
          </w:p>
        </w:tc>
      </w:tr>
      <w:tr w14:paraId="46C7FA9D">
        <w:tblPrEx>
          <w:tblCellMar>
            <w:top w:w="0" w:type="dxa"/>
            <w:left w:w="108" w:type="dxa"/>
            <w:bottom w:w="0" w:type="dxa"/>
            <w:right w:w="108" w:type="dxa"/>
          </w:tblCellMar>
        </w:tblPrEx>
        <w:trPr>
          <w:trHeight w:val="823" w:hRule="atLeast"/>
        </w:trPr>
        <w:tc>
          <w:tcPr>
            <w:tcW w:w="303" w:type="pct"/>
            <w:gridSpan w:val="2"/>
            <w:vMerge w:val="continue"/>
            <w:tcBorders>
              <w:left w:val="single" w:color="auto" w:sz="4" w:space="0"/>
              <w:right w:val="single" w:color="auto" w:sz="4" w:space="0"/>
            </w:tcBorders>
            <w:shd w:val="clear" w:color="auto" w:fill="auto"/>
            <w:noWrap/>
            <w:vAlign w:val="center"/>
          </w:tcPr>
          <w:p w14:paraId="30E22A62">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31B1B25">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2E340A40">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0E4AB1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7B9D00A4">
            <w:pPr>
              <w:pStyle w:val="4"/>
              <w:widowControl/>
              <w:numPr>
                <w:ilvl w:val="0"/>
                <w:numId w:val="1"/>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支持对平台用户添加、修改、注销。支持帐号查询、帐号启用、帐号禁用、重置帐号密码。</w:t>
            </w:r>
          </w:p>
          <w:p w14:paraId="05D4ADB1">
            <w:pPr>
              <w:pStyle w:val="4"/>
              <w:widowControl/>
              <w:numPr>
                <w:ilvl w:val="0"/>
                <w:numId w:val="1"/>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支持对用户帐号的安全信息、登录认证方式进行配置，支持用户帐号与人员关联。</w:t>
            </w:r>
          </w:p>
          <w:p w14:paraId="01B96BC5">
            <w:pPr>
              <w:pStyle w:val="4"/>
              <w:widowControl/>
              <w:numPr>
                <w:ilvl w:val="0"/>
                <w:numId w:val="1"/>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支持对用户进行导入、导出。</w:t>
            </w:r>
          </w:p>
          <w:p w14:paraId="5A433708">
            <w:pPr>
              <w:pStyle w:val="4"/>
              <w:widowControl/>
              <w:numPr>
                <w:ilvl w:val="0"/>
                <w:numId w:val="1"/>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支持记录并展示用户的登录次数、最后登录时间。</w:t>
            </w:r>
          </w:p>
          <w:p w14:paraId="48168495">
            <w:pPr>
              <w:pStyle w:val="4"/>
              <w:widowControl/>
              <w:numPr>
                <w:ilvl w:val="0"/>
                <w:numId w:val="1"/>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支持对平台用户组添加、修改、删除。用户组导入、导出。</w:t>
            </w:r>
          </w:p>
        </w:tc>
      </w:tr>
      <w:tr w14:paraId="042C7A8E">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68F8CC4E">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D725ACD">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6DF1A8E7">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62A953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人员管理</w:t>
            </w:r>
          </w:p>
        </w:tc>
        <w:tc>
          <w:tcPr>
            <w:tcW w:w="3449" w:type="pct"/>
            <w:tcBorders>
              <w:top w:val="nil"/>
              <w:left w:val="nil"/>
              <w:bottom w:val="single" w:color="auto" w:sz="4" w:space="0"/>
              <w:right w:val="single" w:color="auto" w:sz="4" w:space="0"/>
            </w:tcBorders>
            <w:shd w:val="clear" w:color="auto" w:fill="auto"/>
            <w:vAlign w:val="center"/>
          </w:tcPr>
          <w:p w14:paraId="0402CE7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支持对人员信息增加、删除、修改、导入、导出。支持查看各组织下的人员清单及人员详情。</w:t>
            </w:r>
          </w:p>
        </w:tc>
      </w:tr>
      <w:tr w14:paraId="7731A0E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0AC52577">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0EB2DC3">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12071F52">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8BF8B3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角色管理</w:t>
            </w:r>
          </w:p>
        </w:tc>
        <w:tc>
          <w:tcPr>
            <w:tcW w:w="3449" w:type="pct"/>
            <w:tcBorders>
              <w:top w:val="nil"/>
              <w:left w:val="nil"/>
              <w:bottom w:val="single" w:color="auto" w:sz="4" w:space="0"/>
              <w:right w:val="single" w:color="auto" w:sz="4" w:space="0"/>
            </w:tcBorders>
            <w:shd w:val="clear" w:color="auto" w:fill="auto"/>
            <w:vAlign w:val="center"/>
          </w:tcPr>
          <w:p w14:paraId="3DD5FB7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平台角色的新增、删除、配置、查询。支持对角色进行菜单、区域、组织等权限进行设置。</w:t>
            </w:r>
          </w:p>
        </w:tc>
      </w:tr>
      <w:tr w14:paraId="61FFDA16">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1E18E42F">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182D2B6F">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restart"/>
            <w:tcBorders>
              <w:top w:val="nil"/>
              <w:left w:val="nil"/>
              <w:right w:val="single" w:color="auto" w:sz="4" w:space="0"/>
            </w:tcBorders>
            <w:shd w:val="clear" w:color="auto" w:fill="auto"/>
            <w:vAlign w:val="center"/>
          </w:tcPr>
          <w:p w14:paraId="3C02E3B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门户管理</w:t>
            </w:r>
          </w:p>
        </w:tc>
        <w:tc>
          <w:tcPr>
            <w:tcW w:w="389" w:type="pct"/>
            <w:tcBorders>
              <w:top w:val="nil"/>
              <w:left w:val="nil"/>
              <w:bottom w:val="single" w:color="auto" w:sz="4" w:space="0"/>
              <w:right w:val="single" w:color="auto" w:sz="4" w:space="0"/>
            </w:tcBorders>
            <w:shd w:val="clear" w:color="auto" w:fill="auto"/>
            <w:vAlign w:val="center"/>
          </w:tcPr>
          <w:p w14:paraId="251B3FF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登录配置</w:t>
            </w:r>
          </w:p>
        </w:tc>
        <w:tc>
          <w:tcPr>
            <w:tcW w:w="3449" w:type="pct"/>
            <w:tcBorders>
              <w:top w:val="nil"/>
              <w:left w:val="nil"/>
              <w:bottom w:val="single" w:color="auto" w:sz="4" w:space="0"/>
              <w:right w:val="single" w:color="auto" w:sz="4" w:space="0"/>
            </w:tcBorders>
            <w:shd w:val="clear" w:color="auto" w:fill="auto"/>
            <w:vAlign w:val="center"/>
          </w:tcPr>
          <w:p w14:paraId="4EFCE14D">
            <w:pPr>
              <w:pStyle w:val="4"/>
              <w:widowControl/>
              <w:numPr>
                <w:ilvl w:val="0"/>
                <w:numId w:val="2"/>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支持对登录页主题进行配置。支持对登录页进行创建、编辑、预览、删除、设为主登录。</w:t>
            </w:r>
          </w:p>
          <w:p w14:paraId="7CE46792">
            <w:pPr>
              <w:pStyle w:val="4"/>
              <w:widowControl/>
              <w:numPr>
                <w:ilvl w:val="0"/>
                <w:numId w:val="2"/>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支持对登录页logo、页面背景、前景插图、跳转插图等参数进行自定义配置。</w:t>
            </w:r>
          </w:p>
        </w:tc>
      </w:tr>
      <w:tr w14:paraId="6EA354C5">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23B3B60E">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1432FA5">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11AEC731">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A6B5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首页配置</w:t>
            </w:r>
          </w:p>
        </w:tc>
        <w:tc>
          <w:tcPr>
            <w:tcW w:w="3449" w:type="pct"/>
            <w:tcBorders>
              <w:top w:val="nil"/>
              <w:left w:val="nil"/>
              <w:bottom w:val="single" w:color="auto" w:sz="4" w:space="0"/>
              <w:right w:val="single" w:color="auto" w:sz="4" w:space="0"/>
            </w:tcBorders>
            <w:shd w:val="clear" w:color="auto" w:fill="auto"/>
            <w:vAlign w:val="center"/>
          </w:tcPr>
          <w:p w14:paraId="6BEDB151">
            <w:pPr>
              <w:pStyle w:val="4"/>
              <w:widowControl/>
              <w:numPr>
                <w:ilvl w:val="0"/>
                <w:numId w:val="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支持对首页主题进行创建、导入、配置、预览、发布。</w:t>
            </w:r>
          </w:p>
          <w:p w14:paraId="5954AD5F">
            <w:pPr>
              <w:pStyle w:val="4"/>
              <w:widowControl/>
              <w:numPr>
                <w:ilvl w:val="0"/>
                <w:numId w:val="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支持对首页名称、logo、样式进行自定义设置。</w:t>
            </w:r>
          </w:p>
        </w:tc>
      </w:tr>
      <w:tr w14:paraId="0DB9AE18">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bottom w:val="single" w:color="auto" w:sz="4" w:space="0"/>
              <w:right w:val="single" w:color="auto" w:sz="4" w:space="0"/>
            </w:tcBorders>
            <w:shd w:val="clear" w:color="auto" w:fill="auto"/>
            <w:noWrap/>
            <w:vAlign w:val="center"/>
          </w:tcPr>
          <w:p w14:paraId="465B6BDC">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bottom w:val="single" w:color="auto" w:sz="4" w:space="0"/>
              <w:right w:val="single" w:color="auto" w:sz="4" w:space="0"/>
            </w:tcBorders>
            <w:shd w:val="clear" w:color="auto" w:fill="auto"/>
            <w:vAlign w:val="center"/>
          </w:tcPr>
          <w:p w14:paraId="3DC18E77">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3B5413BD">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3C4748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公告管理</w:t>
            </w:r>
          </w:p>
        </w:tc>
        <w:tc>
          <w:tcPr>
            <w:tcW w:w="3449" w:type="pct"/>
            <w:tcBorders>
              <w:top w:val="nil"/>
              <w:left w:val="nil"/>
              <w:bottom w:val="single" w:color="auto" w:sz="4" w:space="0"/>
              <w:right w:val="single" w:color="auto" w:sz="4" w:space="0"/>
            </w:tcBorders>
            <w:shd w:val="clear" w:color="auto" w:fill="auto"/>
            <w:vAlign w:val="center"/>
          </w:tcPr>
          <w:p w14:paraId="01D5286A">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支持对系统公告进行管理。包括：公告新建、预览、发布/取消发布、删除等。</w:t>
            </w:r>
          </w:p>
        </w:tc>
      </w:tr>
      <w:tr w14:paraId="199A36A5">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F54411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二</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70D730E2">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信息发布管理平台</w:t>
            </w:r>
          </w:p>
        </w:tc>
      </w:tr>
      <w:tr w14:paraId="78066E89">
        <w:tblPrEx>
          <w:tblCellMar>
            <w:top w:w="0" w:type="dxa"/>
            <w:left w:w="108" w:type="dxa"/>
            <w:bottom w:w="0" w:type="dxa"/>
            <w:right w:w="108" w:type="dxa"/>
          </w:tblCellMar>
        </w:tblPrEx>
        <w:trPr>
          <w:trHeight w:val="39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EEA619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63185A2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2AAC08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389" w:type="pct"/>
            <w:tcBorders>
              <w:top w:val="nil"/>
              <w:left w:val="nil"/>
              <w:bottom w:val="single" w:color="auto" w:sz="4" w:space="0"/>
              <w:right w:val="single" w:color="auto" w:sz="4" w:space="0"/>
            </w:tcBorders>
            <w:shd w:val="clear" w:color="000000" w:fill="FFFFFF"/>
            <w:vAlign w:val="center"/>
          </w:tcPr>
          <w:p w14:paraId="436E8A5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内容制作</w:t>
            </w:r>
          </w:p>
        </w:tc>
        <w:tc>
          <w:tcPr>
            <w:tcW w:w="3449" w:type="pct"/>
            <w:tcBorders>
              <w:top w:val="nil"/>
              <w:left w:val="nil"/>
              <w:bottom w:val="single" w:color="auto" w:sz="4" w:space="0"/>
              <w:right w:val="single" w:color="auto" w:sz="4" w:space="0"/>
            </w:tcBorders>
            <w:shd w:val="clear" w:color="000000" w:fill="FFFFFF"/>
            <w:vAlign w:val="center"/>
          </w:tcPr>
          <w:p w14:paraId="70DCAE8A">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1.支持在节目库以缩略图方式展示节目并标识节目审核状态，点击审核状态可查看审核记录。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2.支持根据节目名称、节目类型、系统类型、屏幕类型、屏幕尺寸、审核状态、可见权限、创建时间、更新时间等条件检索节目。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3.支持添加、编辑、编辑属性信息发布节目和诱导节目。支持预览节目，可切换倍速预览和全屏预览节目。支持快捷选择屏幕设备进行紧急插播。</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4.支持创建、删除节目分组，支持对分组名称进行编辑。</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5.支持在素材库展示素材文件并标识素材审核状态，点击审核状态可查看审核记录。支持根据素材名称、素材类型、可见权限、审核状态、是否过期等条件检索素材。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6.支持预览、编辑、下载素材。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7.支持上传本地素材，配置素材可见权限、有效期等信息。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添加动态素材，设置素材类型、素材名称描述信息等，可根据素材类型设置不同素材参数，支持设置动态网页素材的网页地址，支持设置数据源素材的数据源地址，支持设置直播视频素材的直播来源（网络ipc、手动设置、监控点）、ip类型、ip地址、端口号、通道号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9.支持删除素材，支持通过回收站管理还原已删除的素材或清空回收站。</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10.支持过期素材管理，支持修改已过期素材有效期。</w:t>
            </w:r>
          </w:p>
        </w:tc>
      </w:tr>
      <w:tr w14:paraId="1F811E17">
        <w:tblPrEx>
          <w:tblCellMar>
            <w:top w:w="0" w:type="dxa"/>
            <w:left w:w="108" w:type="dxa"/>
            <w:bottom w:w="0" w:type="dxa"/>
            <w:right w:w="108" w:type="dxa"/>
          </w:tblCellMar>
        </w:tblPrEx>
        <w:trPr>
          <w:trHeight w:val="19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6A056C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continue"/>
            <w:tcBorders>
              <w:top w:val="nil"/>
              <w:left w:val="single" w:color="auto" w:sz="4" w:space="0"/>
              <w:bottom w:val="single" w:color="auto" w:sz="4" w:space="0"/>
              <w:right w:val="single" w:color="auto" w:sz="4" w:space="0"/>
            </w:tcBorders>
            <w:vAlign w:val="center"/>
          </w:tcPr>
          <w:p w14:paraId="7112E36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B773D5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C2183F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内容发布</w:t>
            </w:r>
          </w:p>
        </w:tc>
        <w:tc>
          <w:tcPr>
            <w:tcW w:w="3449" w:type="pct"/>
            <w:tcBorders>
              <w:top w:val="nil"/>
              <w:left w:val="nil"/>
              <w:bottom w:val="single" w:color="auto" w:sz="4" w:space="0"/>
              <w:right w:val="single" w:color="auto" w:sz="4" w:space="0"/>
            </w:tcBorders>
            <w:shd w:val="clear" w:color="000000" w:fill="FFFFFF"/>
            <w:vAlign w:val="center"/>
          </w:tcPr>
          <w:p w14:paraId="5DB8372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1.支持查看任务列表，支持根据任务名称、关联设备、设备所属组织、设备所属分组、关联节目名称、任务分类、任务类型、播放模式、审核状态等条件检索任务。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创建、删除、编辑、停止常规任务，支持查看常规任务详情。支持为任务添加一个或多个播放计划，支持设置播放计划的类型（普通轮播、时段轮播），支持在播放计划里添加/删除/清空节目，支持删除播放计划。支持设置时段轮播计划的播放时间。支持配置发布设置参数，包括生效方式、下载方式，支持配置关联终端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3.支持创建追加任务。</w:t>
            </w:r>
          </w:p>
        </w:tc>
      </w:tr>
      <w:tr w14:paraId="7DE90707">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B5811A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2E5AC1D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47300C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EE7BFF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发布记录</w:t>
            </w:r>
          </w:p>
        </w:tc>
        <w:tc>
          <w:tcPr>
            <w:tcW w:w="3449" w:type="pct"/>
            <w:tcBorders>
              <w:top w:val="nil"/>
              <w:left w:val="nil"/>
              <w:bottom w:val="single" w:color="auto" w:sz="4" w:space="0"/>
              <w:right w:val="single" w:color="auto" w:sz="4" w:space="0"/>
            </w:tcBorders>
            <w:shd w:val="clear" w:color="000000" w:fill="FFFFFF"/>
            <w:vAlign w:val="center"/>
          </w:tcPr>
          <w:p w14:paraId="256AEA2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1.支持查看常规、追加、插播任务列表，查看各项任务发布信息和发布状态，支持重新发布和停止发布。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2.支持查看发布终端总数、发布成功数、发布失败数。</w:t>
            </w:r>
          </w:p>
        </w:tc>
      </w:tr>
      <w:tr w14:paraId="567FFC2A">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91E2CE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35E0F7EC">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64128A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9C351C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终端控制</w:t>
            </w:r>
          </w:p>
        </w:tc>
        <w:tc>
          <w:tcPr>
            <w:tcW w:w="3449" w:type="pct"/>
            <w:tcBorders>
              <w:top w:val="nil"/>
              <w:left w:val="nil"/>
              <w:bottom w:val="single" w:color="auto" w:sz="4" w:space="0"/>
              <w:right w:val="single" w:color="auto" w:sz="4" w:space="0"/>
            </w:tcBorders>
            <w:shd w:val="clear" w:color="000000" w:fill="FFFFFF"/>
            <w:vAlign w:val="center"/>
          </w:tcPr>
          <w:p w14:paraId="6CD9CDD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1.支持按照所属组织、所属分组展示终端列表。支持展示各设备当前播放节目的小图，支持节目截屏。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2.支持对终端开机、关机、插播、停止插播、定时开关失效等控制操作。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3.支持配置终端参数。</w:t>
            </w:r>
          </w:p>
        </w:tc>
      </w:tr>
      <w:tr w14:paraId="2FB384FA">
        <w:tblPrEx>
          <w:tblCellMar>
            <w:top w:w="0" w:type="dxa"/>
            <w:left w:w="108" w:type="dxa"/>
            <w:bottom w:w="0" w:type="dxa"/>
            <w:right w:w="108" w:type="dxa"/>
          </w:tblCellMar>
        </w:tblPrEx>
        <w:trPr>
          <w:trHeight w:val="815"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32979E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continue"/>
            <w:tcBorders>
              <w:top w:val="nil"/>
              <w:left w:val="single" w:color="auto" w:sz="4" w:space="0"/>
              <w:bottom w:val="single" w:color="auto" w:sz="4" w:space="0"/>
              <w:right w:val="single" w:color="auto" w:sz="4" w:space="0"/>
            </w:tcBorders>
            <w:vAlign w:val="center"/>
          </w:tcPr>
          <w:p w14:paraId="74A8127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01C977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CF2FFF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发布终端</w:t>
            </w:r>
          </w:p>
        </w:tc>
        <w:tc>
          <w:tcPr>
            <w:tcW w:w="3449" w:type="pct"/>
            <w:tcBorders>
              <w:top w:val="nil"/>
              <w:left w:val="nil"/>
              <w:bottom w:val="single" w:color="auto" w:sz="4" w:space="0"/>
              <w:right w:val="single" w:color="auto" w:sz="4" w:space="0"/>
            </w:tcBorders>
            <w:shd w:val="clear" w:color="000000" w:fill="FFFFFF"/>
            <w:vAlign w:val="center"/>
          </w:tcPr>
          <w:p w14:paraId="542A1F8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1.支持按照所属组织、所属分组展示终端列表，并统计呈现终端设备总数、在线设备数量、离线设备数量、在线率、离线率。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2.支持展示终端设备名称、厂商类型、屏幕类型、设备分辨率、版本号、在线状态、ip地址、激活状态等信息。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3.支持添加、删除、批量导出、批量导入设备。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4.支持在地图上控制设备。</w:t>
            </w:r>
          </w:p>
        </w:tc>
      </w:tr>
      <w:tr w14:paraId="36046ACE">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57F5A3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continue"/>
            <w:tcBorders>
              <w:top w:val="nil"/>
              <w:left w:val="single" w:color="auto" w:sz="4" w:space="0"/>
              <w:bottom w:val="single" w:color="auto" w:sz="4" w:space="0"/>
              <w:right w:val="single" w:color="auto" w:sz="4" w:space="0"/>
            </w:tcBorders>
            <w:vAlign w:val="center"/>
          </w:tcPr>
          <w:p w14:paraId="1A08BBC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7F5884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EA01C3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发布配置</w:t>
            </w:r>
          </w:p>
        </w:tc>
        <w:tc>
          <w:tcPr>
            <w:tcW w:w="3449" w:type="pct"/>
            <w:tcBorders>
              <w:top w:val="nil"/>
              <w:left w:val="nil"/>
              <w:bottom w:val="single" w:color="auto" w:sz="4" w:space="0"/>
              <w:right w:val="single" w:color="auto" w:sz="4" w:space="0"/>
            </w:tcBorders>
            <w:shd w:val="clear" w:color="000000" w:fill="FFFFFF"/>
            <w:vAlign w:val="center"/>
          </w:tcPr>
          <w:p w14:paraId="5B8D8CB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1.支持天气服务配置，开启或关闭天气服务开关。</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2.支持审核配置，支持设置审核内容、审核流程。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3.支持存储配置、NTP服务配置。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4.支持场景配置，配置诱导屏、信息发布屏。支持信息发布屏系统、屏幕类型配置。支持诱导屏厂商配置。</w:t>
            </w:r>
          </w:p>
        </w:tc>
      </w:tr>
      <w:tr w14:paraId="20DF6A48">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3EF9E6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0CFF952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BBFBEB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5CE75F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快速发布</w:t>
            </w:r>
          </w:p>
        </w:tc>
        <w:tc>
          <w:tcPr>
            <w:tcW w:w="3449" w:type="pct"/>
            <w:tcBorders>
              <w:top w:val="nil"/>
              <w:left w:val="nil"/>
              <w:bottom w:val="single" w:color="auto" w:sz="4" w:space="0"/>
              <w:right w:val="single" w:color="auto" w:sz="4" w:space="0"/>
            </w:tcBorders>
            <w:shd w:val="clear" w:color="000000" w:fill="FFFFFF"/>
            <w:vAlign w:val="center"/>
          </w:tcPr>
          <w:p w14:paraId="67FA94E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1.支持在一个界面内选择屏幕，编排内容，快速发布节目。</w:t>
            </w:r>
          </w:p>
        </w:tc>
      </w:tr>
      <w:tr w14:paraId="57992729">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DE0214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2386972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C56924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9B53F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素材管理</w:t>
            </w:r>
          </w:p>
        </w:tc>
        <w:tc>
          <w:tcPr>
            <w:tcW w:w="3449" w:type="pct"/>
            <w:tcBorders>
              <w:top w:val="nil"/>
              <w:left w:val="nil"/>
              <w:bottom w:val="single" w:color="auto" w:sz="4" w:space="0"/>
              <w:right w:val="single" w:color="auto" w:sz="4" w:space="0"/>
            </w:tcBorders>
            <w:shd w:val="clear" w:color="000000" w:fill="FFFFFF"/>
            <w:vAlign w:val="center"/>
          </w:tcPr>
          <w:p w14:paraId="79474F5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1.支持添加信息发布静态素材（图片、文本、pdf、word、excel、ppt、静态网页）、动态素材（网页、视频直播、数据源）。支持对素材进行查询、编辑、删除、审核、下载、预览。素材</w:t>
            </w:r>
          </w:p>
        </w:tc>
      </w:tr>
      <w:tr w14:paraId="527E7220">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C9F7FD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6264689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71A6D6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0A612C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节目管理</w:t>
            </w:r>
          </w:p>
        </w:tc>
        <w:tc>
          <w:tcPr>
            <w:tcW w:w="3449" w:type="pct"/>
            <w:tcBorders>
              <w:top w:val="nil"/>
              <w:left w:val="nil"/>
              <w:bottom w:val="single" w:color="auto" w:sz="4" w:space="0"/>
              <w:right w:val="single" w:color="auto" w:sz="4" w:space="0"/>
            </w:tcBorders>
            <w:shd w:val="clear" w:color="000000" w:fill="FFFFFF"/>
            <w:vAlign w:val="center"/>
          </w:tcPr>
          <w:p w14:paraId="6F59C2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1.支持添加节目，在窗口中创建文字、图片、网页、多媒体等。支持查询、编辑、删除、审核节目。</w:t>
            </w:r>
          </w:p>
        </w:tc>
      </w:tr>
      <w:tr w14:paraId="4D0D512A">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3B37C2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0611FEA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4F336C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E7E460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日程管理</w:t>
            </w:r>
          </w:p>
        </w:tc>
        <w:tc>
          <w:tcPr>
            <w:tcW w:w="3449" w:type="pct"/>
            <w:tcBorders>
              <w:top w:val="nil"/>
              <w:left w:val="nil"/>
              <w:bottom w:val="single" w:color="auto" w:sz="4" w:space="0"/>
              <w:right w:val="single" w:color="auto" w:sz="4" w:space="0"/>
            </w:tcBorders>
            <w:shd w:val="clear" w:color="000000" w:fill="FFFFFF"/>
            <w:vAlign w:val="center"/>
          </w:tcPr>
          <w:p w14:paraId="60F93B0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1.支持添加、编辑、删除、审核、查询轮播日程。</w:t>
            </w:r>
          </w:p>
        </w:tc>
      </w:tr>
      <w:tr w14:paraId="10535CA8">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FDAD1E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vMerge w:val="continue"/>
            <w:tcBorders>
              <w:top w:val="nil"/>
              <w:left w:val="single" w:color="auto" w:sz="4" w:space="0"/>
              <w:bottom w:val="single" w:color="auto" w:sz="4" w:space="0"/>
              <w:right w:val="single" w:color="auto" w:sz="4" w:space="0"/>
            </w:tcBorders>
            <w:vAlign w:val="center"/>
          </w:tcPr>
          <w:p w14:paraId="4DD0363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3525B2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A855BA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审核管理</w:t>
            </w:r>
          </w:p>
        </w:tc>
        <w:tc>
          <w:tcPr>
            <w:tcW w:w="3449" w:type="pct"/>
            <w:tcBorders>
              <w:top w:val="nil"/>
              <w:left w:val="nil"/>
              <w:bottom w:val="single" w:color="auto" w:sz="4" w:space="0"/>
              <w:right w:val="single" w:color="auto" w:sz="4" w:space="0"/>
            </w:tcBorders>
            <w:shd w:val="clear" w:color="000000" w:fill="FFFFFF"/>
            <w:vAlign w:val="center"/>
          </w:tcPr>
          <w:p w14:paraId="31D43DE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1.支持单个/批量素材、节目、日程的审核。</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2.支持待审核、全部状态（待审核和已审核两种状态）的审核列表的查看。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3.支持开启批量审核、关闭批量审核。支持对待审核的内容进行批量审核。</w:t>
            </w:r>
          </w:p>
        </w:tc>
      </w:tr>
      <w:tr w14:paraId="08D0C164">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2E8853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vMerge w:val="continue"/>
            <w:tcBorders>
              <w:top w:val="nil"/>
              <w:left w:val="single" w:color="auto" w:sz="4" w:space="0"/>
              <w:bottom w:val="single" w:color="auto" w:sz="4" w:space="0"/>
              <w:right w:val="single" w:color="auto" w:sz="4" w:space="0"/>
            </w:tcBorders>
            <w:vAlign w:val="center"/>
          </w:tcPr>
          <w:p w14:paraId="0502CBB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5E594F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9578F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发布管理</w:t>
            </w:r>
          </w:p>
        </w:tc>
        <w:tc>
          <w:tcPr>
            <w:tcW w:w="3449" w:type="pct"/>
            <w:tcBorders>
              <w:top w:val="nil"/>
              <w:left w:val="nil"/>
              <w:bottom w:val="single" w:color="auto" w:sz="4" w:space="0"/>
              <w:right w:val="single" w:color="auto" w:sz="4" w:space="0"/>
            </w:tcBorders>
            <w:shd w:val="clear" w:color="000000" w:fill="FFFFFF"/>
            <w:vAlign w:val="center"/>
          </w:tcPr>
          <w:p w14:paraId="2B57FE71">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1.支持选择已创建的日程、生效时间、发布终端，点击确定即可创建发布计划。支持分类查看发布列表，支持查看某条发布计划的终端详情。支持取消发布、重新发布。</w:t>
            </w:r>
          </w:p>
        </w:tc>
      </w:tr>
      <w:tr w14:paraId="784957DC">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ADB5F9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vMerge w:val="continue"/>
            <w:tcBorders>
              <w:top w:val="nil"/>
              <w:left w:val="single" w:color="auto" w:sz="4" w:space="0"/>
              <w:bottom w:val="single" w:color="auto" w:sz="4" w:space="0"/>
              <w:right w:val="single" w:color="auto" w:sz="4" w:space="0"/>
            </w:tcBorders>
            <w:vAlign w:val="center"/>
          </w:tcPr>
          <w:p w14:paraId="6B8D101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90B798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C8CEF2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终端监控</w:t>
            </w:r>
          </w:p>
        </w:tc>
        <w:tc>
          <w:tcPr>
            <w:tcW w:w="3449" w:type="pct"/>
            <w:tcBorders>
              <w:top w:val="nil"/>
              <w:left w:val="nil"/>
              <w:bottom w:val="single" w:color="auto" w:sz="4" w:space="0"/>
              <w:right w:val="single" w:color="auto" w:sz="4" w:space="0"/>
            </w:tcBorders>
            <w:shd w:val="clear" w:color="000000" w:fill="FFFFFF"/>
            <w:vAlign w:val="center"/>
          </w:tcPr>
          <w:p w14:paraId="4DEEC1C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1.支持支持诱导屏开机、关机、插播节目、取消插播、停止插播、定时开关失效等终端控制操作。支持配置诱导屏基本参数，支持设置定时开机时段，支持设置日计划。</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2.支持展示当前诱导屏播放节目，支持节目截屏。</w:t>
            </w:r>
          </w:p>
        </w:tc>
      </w:tr>
      <w:tr w14:paraId="09D61BA0">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860D59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vMerge w:val="continue"/>
            <w:tcBorders>
              <w:top w:val="nil"/>
              <w:left w:val="single" w:color="auto" w:sz="4" w:space="0"/>
              <w:bottom w:val="single" w:color="auto" w:sz="4" w:space="0"/>
              <w:right w:val="single" w:color="auto" w:sz="4" w:space="0"/>
            </w:tcBorders>
            <w:vAlign w:val="center"/>
          </w:tcPr>
          <w:p w14:paraId="677D1C0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6BF733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D53DC6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诱导屏管理</w:t>
            </w:r>
          </w:p>
        </w:tc>
        <w:tc>
          <w:tcPr>
            <w:tcW w:w="3449" w:type="pct"/>
            <w:tcBorders>
              <w:top w:val="nil"/>
              <w:left w:val="nil"/>
              <w:bottom w:val="single" w:color="auto" w:sz="4" w:space="0"/>
              <w:right w:val="single" w:color="auto" w:sz="4" w:space="0"/>
            </w:tcBorders>
            <w:shd w:val="clear" w:color="000000" w:fill="FFFFFF"/>
            <w:vAlign w:val="center"/>
          </w:tcPr>
          <w:p w14:paraId="77661FD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1.支持通过录入诱导屏基本信息的方式，将诱导屏添加至平台，支持自动进行诱导屏信息同步。支持编辑、删除诱导屏。</w:t>
            </w:r>
          </w:p>
        </w:tc>
      </w:tr>
      <w:tr w14:paraId="6A614604">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7EDE4A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三</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12AF81E6">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数据集成软件平台</w:t>
            </w:r>
          </w:p>
        </w:tc>
      </w:tr>
      <w:tr w14:paraId="3CFA5BFF">
        <w:tblPrEx>
          <w:tblCellMar>
            <w:top w:w="0" w:type="dxa"/>
            <w:left w:w="108" w:type="dxa"/>
            <w:bottom w:w="0" w:type="dxa"/>
            <w:right w:w="108" w:type="dxa"/>
          </w:tblCellMar>
        </w:tblPrEx>
        <w:trPr>
          <w:trHeight w:val="2280" w:hRule="atLeast"/>
        </w:trPr>
        <w:tc>
          <w:tcPr>
            <w:tcW w:w="30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7017317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p>
        </w:tc>
        <w:tc>
          <w:tcPr>
            <w:tcW w:w="383" w:type="pct"/>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17D1142D">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476" w:type="pct"/>
            <w:gridSpan w:val="2"/>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5E837BB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389" w:type="pct"/>
            <w:tcBorders>
              <w:top w:val="single" w:color="auto" w:sz="4" w:space="0"/>
              <w:left w:val="nil"/>
              <w:bottom w:val="single" w:color="auto" w:sz="4" w:space="0"/>
              <w:right w:val="single" w:color="auto" w:sz="4" w:space="0"/>
            </w:tcBorders>
            <w:shd w:val="clear" w:color="000000" w:fill="FFFFFF"/>
            <w:vAlign w:val="center"/>
          </w:tcPr>
          <w:p w14:paraId="7B39BB1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数据集成基础包</w:t>
            </w:r>
          </w:p>
        </w:tc>
        <w:tc>
          <w:tcPr>
            <w:tcW w:w="3449" w:type="pct"/>
            <w:tcBorders>
              <w:top w:val="single" w:color="auto" w:sz="4" w:space="0"/>
              <w:left w:val="nil"/>
              <w:bottom w:val="single" w:color="auto" w:sz="4" w:space="0"/>
              <w:right w:val="single" w:color="auto" w:sz="4" w:space="0"/>
            </w:tcBorders>
            <w:shd w:val="clear" w:color="000000" w:fill="FFFFFF"/>
            <w:vAlign w:val="center"/>
          </w:tcPr>
          <w:p w14:paraId="6AF7319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数据集成任务管理，包括查询、新建、修改等操作。支持按照关键字搜索和多条件组合查询任务列表，浏览任务信息，包括任务名称、运行状态、增量激活状态、策略激活时间、节点数、创建人和创建时间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2.支持按用户名、操作类型、操作状态、开始时间、结束时间等条件筛选查看操作日志。</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3.支持定义告警策略，包括数据集成任务运行异常、增量异常、数据断流、数据加载异常、插件运行异常、运行环境异常等，同时支持设置告警级别。</w:t>
            </w:r>
          </w:p>
        </w:tc>
      </w:tr>
      <w:tr w14:paraId="73708E4E">
        <w:tblPrEx>
          <w:tblCellMar>
            <w:top w:w="0" w:type="dxa"/>
            <w:left w:w="108" w:type="dxa"/>
            <w:bottom w:w="0" w:type="dxa"/>
            <w:right w:w="108" w:type="dxa"/>
          </w:tblCellMar>
        </w:tblPrEx>
        <w:trPr>
          <w:trHeight w:val="1290" w:hRule="atLeast"/>
        </w:trPr>
        <w:tc>
          <w:tcPr>
            <w:tcW w:w="303" w:type="pct"/>
            <w:gridSpan w:val="2"/>
            <w:tcBorders>
              <w:top w:val="nil"/>
              <w:left w:val="single" w:color="auto" w:sz="4" w:space="0"/>
              <w:bottom w:val="single" w:color="auto" w:sz="4" w:space="0"/>
              <w:right w:val="single" w:color="auto" w:sz="4" w:space="0"/>
            </w:tcBorders>
            <w:shd w:val="clear" w:color="000000" w:fill="FFFFFF"/>
            <w:vAlign w:val="center"/>
          </w:tcPr>
          <w:p w14:paraId="37AB291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w:t>
            </w:r>
          </w:p>
        </w:tc>
        <w:tc>
          <w:tcPr>
            <w:tcW w:w="383" w:type="pct"/>
            <w:vMerge w:val="continue"/>
            <w:tcBorders>
              <w:top w:val="single" w:color="auto" w:sz="4" w:space="0"/>
              <w:left w:val="single" w:color="auto" w:sz="4" w:space="0"/>
              <w:bottom w:val="single" w:color="000000" w:sz="4" w:space="0"/>
              <w:right w:val="single" w:color="auto" w:sz="4" w:space="0"/>
            </w:tcBorders>
            <w:vAlign w:val="center"/>
          </w:tcPr>
          <w:p w14:paraId="705DBC3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single" w:color="auto" w:sz="4" w:space="0"/>
              <w:left w:val="single" w:color="auto" w:sz="4" w:space="0"/>
              <w:bottom w:val="single" w:color="000000" w:sz="4" w:space="0"/>
              <w:right w:val="single" w:color="auto" w:sz="4" w:space="0"/>
            </w:tcBorders>
            <w:vAlign w:val="center"/>
          </w:tcPr>
          <w:p w14:paraId="721107F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21DEC5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视图数据级联        </w:t>
            </w:r>
          </w:p>
        </w:tc>
        <w:tc>
          <w:tcPr>
            <w:tcW w:w="3449" w:type="pct"/>
            <w:tcBorders>
              <w:top w:val="nil"/>
              <w:left w:val="nil"/>
              <w:bottom w:val="single" w:color="auto" w:sz="4" w:space="0"/>
              <w:right w:val="single" w:color="auto" w:sz="4" w:space="0"/>
            </w:tcBorders>
            <w:shd w:val="clear" w:color="000000" w:fill="FFFFFF"/>
            <w:vAlign w:val="center"/>
          </w:tcPr>
          <w:p w14:paraId="4418FEF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1.支持通过GA/T 1400及扩展协议级联人体、人脸、车辆、设备、车辆违法、非机动车等数据。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2.支持上下级视图库进行注册、保活，支持查看上下级在线情况。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3.支持订阅、取消订阅和修改订阅时间。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4.支持多个下级视图库的联网接入。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5.支持联网接入多个上级视图库。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6.支持设置人脸、人体、车辆、非机动车、违法过车等数据的过滤和填充规则，下级视图库根据规则将数据级联到上级视图库。</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 7.支持以采集接口方式接收下级推送的采集设备，人脸采集数据，车辆采集数据和人体采集数据。</w:t>
            </w:r>
          </w:p>
        </w:tc>
      </w:tr>
      <w:tr w14:paraId="258EEA3B">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1CD2D9E">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四</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6CFAD724">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交通综合管控平台</w:t>
            </w:r>
          </w:p>
        </w:tc>
      </w:tr>
      <w:tr w14:paraId="39385F72">
        <w:tblPrEx>
          <w:tblCellMar>
            <w:top w:w="0" w:type="dxa"/>
            <w:left w:w="108" w:type="dxa"/>
            <w:bottom w:w="0" w:type="dxa"/>
            <w:right w:w="108" w:type="dxa"/>
          </w:tblCellMar>
        </w:tblPrEx>
        <w:trPr>
          <w:trHeight w:val="330" w:hRule="atLeast"/>
        </w:trPr>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1716767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w:t>
            </w:r>
          </w:p>
        </w:tc>
        <w:tc>
          <w:tcPr>
            <w:tcW w:w="542" w:type="pct"/>
            <w:gridSpan w:val="3"/>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16A873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交通综合管控平台</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F7990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系统管理</w:t>
            </w:r>
          </w:p>
        </w:tc>
        <w:tc>
          <w:tcPr>
            <w:tcW w:w="389" w:type="pct"/>
            <w:tcBorders>
              <w:top w:val="single" w:color="auto" w:sz="4" w:space="0"/>
              <w:left w:val="nil"/>
              <w:bottom w:val="single" w:color="auto" w:sz="4" w:space="0"/>
              <w:right w:val="single" w:color="auto" w:sz="4" w:space="0"/>
            </w:tcBorders>
            <w:shd w:val="clear" w:color="auto" w:fill="auto"/>
            <w:vAlign w:val="center"/>
          </w:tcPr>
          <w:p w14:paraId="68245C5A">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部门管理</w:t>
            </w:r>
          </w:p>
        </w:tc>
        <w:tc>
          <w:tcPr>
            <w:tcW w:w="3449" w:type="pct"/>
            <w:tcBorders>
              <w:top w:val="single" w:color="auto" w:sz="4" w:space="0"/>
              <w:left w:val="nil"/>
              <w:bottom w:val="single" w:color="auto" w:sz="4" w:space="0"/>
              <w:right w:val="single" w:color="auto" w:sz="4" w:space="0"/>
            </w:tcBorders>
            <w:shd w:val="clear" w:color="auto" w:fill="auto"/>
            <w:vAlign w:val="center"/>
          </w:tcPr>
          <w:p w14:paraId="759FF5F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支持组织的新增、编辑、移动、批量添加和导入导出</w:t>
            </w:r>
          </w:p>
        </w:tc>
      </w:tr>
      <w:tr w14:paraId="3890C99D">
        <w:tblPrEx>
          <w:tblCellMar>
            <w:top w:w="0" w:type="dxa"/>
            <w:left w:w="108" w:type="dxa"/>
            <w:bottom w:w="0" w:type="dxa"/>
            <w:right w:w="108" w:type="dxa"/>
          </w:tblCellMar>
        </w:tblPrEx>
        <w:trPr>
          <w:trHeight w:val="16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59FC41B">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0DEBE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1D04644E">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1CF07D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权限管理</w:t>
            </w:r>
          </w:p>
        </w:tc>
        <w:tc>
          <w:tcPr>
            <w:tcW w:w="3449" w:type="pct"/>
            <w:tcBorders>
              <w:top w:val="nil"/>
              <w:left w:val="nil"/>
              <w:bottom w:val="single" w:color="auto" w:sz="4" w:space="0"/>
              <w:right w:val="single" w:color="auto" w:sz="4" w:space="0"/>
            </w:tcBorders>
            <w:shd w:val="clear" w:color="auto" w:fill="auto"/>
            <w:vAlign w:val="center"/>
          </w:tcPr>
          <w:p w14:paraId="27550F8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1、支持查看角色列表；</w:t>
            </w:r>
          </w:p>
          <w:p w14:paraId="0DC40CA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2、支持角色的删除、启用、禁用、克隆以及分配；</w:t>
            </w:r>
          </w:p>
          <w:p w14:paraId="607041B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3、支持在应用中心以及系统管理中分别添加/编辑角色基本信息，其中角色名称必填；</w:t>
            </w:r>
          </w:p>
          <w:p w14:paraId="5F877A17">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4、支持系统管理中的管理角色配置用户权限管理各菜单或者功能项</w:t>
            </w:r>
          </w:p>
        </w:tc>
      </w:tr>
      <w:tr w14:paraId="26B40B48">
        <w:tblPrEx>
          <w:tblCellMar>
            <w:top w:w="0" w:type="dxa"/>
            <w:left w:w="108" w:type="dxa"/>
            <w:bottom w:w="0" w:type="dxa"/>
            <w:right w:w="108" w:type="dxa"/>
          </w:tblCellMar>
        </w:tblPrEx>
        <w:trPr>
          <w:trHeight w:val="56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A0463C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194BD4D">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B5A2663">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30EF6A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目录管理</w:t>
            </w:r>
          </w:p>
        </w:tc>
        <w:tc>
          <w:tcPr>
            <w:tcW w:w="3449" w:type="pct"/>
            <w:tcBorders>
              <w:top w:val="nil"/>
              <w:left w:val="nil"/>
              <w:bottom w:val="single" w:color="auto" w:sz="4" w:space="0"/>
              <w:right w:val="single" w:color="auto" w:sz="4" w:space="0"/>
            </w:tcBorders>
            <w:shd w:val="clear" w:color="auto" w:fill="auto"/>
            <w:vAlign w:val="center"/>
          </w:tcPr>
          <w:p w14:paraId="120C37C6">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支持查看目录的名称信息，并支持修改选定目录的名称;</w:t>
            </w:r>
          </w:p>
          <w:p w14:paraId="60C68D67">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5FA84B13">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支持在选定目录下新建、删除、编辑次级国标区域或自定义区域；新建国标区域时默认创建其上级区域</w:t>
            </w:r>
          </w:p>
          <w:p w14:paraId="37607D3E">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支持根据模板批量导入基础目录及基层单位</w:t>
            </w:r>
          </w:p>
          <w:p w14:paraId="33CC7EE6">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支持基础目录数据导出</w:t>
            </w:r>
          </w:p>
          <w:p w14:paraId="703387D3">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5B2EE876">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支持自定义新建及修改目录的名称、关联资源类型、关联目录标识;</w:t>
            </w:r>
          </w:p>
          <w:p w14:paraId="4A45059F">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2BA174F9">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支持将创建的目录关联到特定应用中，使得该目录树可在所选关联应用中使用;</w:t>
            </w:r>
          </w:p>
          <w:p w14:paraId="6CCBC2E2">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支持查看目录的名称、关联资源类型及关联树标识等属性信息;</w:t>
            </w:r>
          </w:p>
          <w:p w14:paraId="00587361">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支持在选定目录下新建、删除、编辑次级区域;</w:t>
            </w:r>
          </w:p>
          <w:p w14:paraId="7DED0BF8">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自定义目录中区域编码长度要求20位</w:t>
            </w:r>
          </w:p>
          <w:p w14:paraId="48899080">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6708F7E1">
            <w:pPr>
              <w:pStyle w:val="4"/>
              <w:widowControl/>
              <w:numPr>
                <w:ilvl w:val="0"/>
                <w:numId w:val="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支持修改区域名称、区域编号及添加区域标签</w:t>
            </w:r>
          </w:p>
        </w:tc>
      </w:tr>
      <w:tr w14:paraId="39211D90">
        <w:tblPrEx>
          <w:tblCellMar>
            <w:top w:w="0" w:type="dxa"/>
            <w:left w:w="108" w:type="dxa"/>
            <w:bottom w:w="0" w:type="dxa"/>
            <w:right w:w="108" w:type="dxa"/>
          </w:tblCellMar>
        </w:tblPrEx>
        <w:trPr>
          <w:trHeight w:val="20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DB7DA7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D7D00F">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5CD0E94">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2A5F1C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门户管理</w:t>
            </w:r>
          </w:p>
        </w:tc>
        <w:tc>
          <w:tcPr>
            <w:tcW w:w="3449" w:type="pct"/>
            <w:tcBorders>
              <w:top w:val="nil"/>
              <w:left w:val="nil"/>
              <w:bottom w:val="single" w:color="auto" w:sz="4" w:space="0"/>
              <w:right w:val="single" w:color="auto" w:sz="4" w:space="0"/>
            </w:tcBorders>
            <w:shd w:val="clear" w:color="auto" w:fill="auto"/>
            <w:vAlign w:val="center"/>
          </w:tcPr>
          <w:p w14:paraId="6F7BD5DF">
            <w:pPr>
              <w:pStyle w:val="4"/>
              <w:widowControl/>
              <w:numPr>
                <w:ilvl w:val="0"/>
                <w:numId w:val="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支持用户将个人常用的应用菜单加入到快捷入口栏中，方便用户快速打开相关常用应用；快捷入口支持拖动排序，支持鼠标悬停分类展示系统菜单，并支持快速打开对应应用。</w:t>
            </w:r>
          </w:p>
          <w:p w14:paraId="34DCA7AB">
            <w:pPr>
              <w:pStyle w:val="4"/>
              <w:widowControl/>
              <w:numPr>
                <w:ilvl w:val="0"/>
                <w:numId w:val="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支持下载使用系统所需要的插件，包括平台播放器、上传工具、标注工具、报警助手、登录助手、下载器、截图工具等。</w:t>
            </w:r>
          </w:p>
          <w:p w14:paraId="10EBB6A8">
            <w:pPr>
              <w:pStyle w:val="4"/>
              <w:widowControl/>
              <w:numPr>
                <w:ilvl w:val="0"/>
                <w:numId w:val="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显示系统名称、型号、版本、授权信息等信息</w:t>
            </w:r>
          </w:p>
          <w:p w14:paraId="28140F55">
            <w:pPr>
              <w:pStyle w:val="4"/>
              <w:widowControl/>
              <w:numPr>
                <w:ilvl w:val="0"/>
                <w:numId w:val="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支持显示系统帮助文档</w:t>
            </w:r>
          </w:p>
          <w:p w14:paraId="25D42498">
            <w:pPr>
              <w:pStyle w:val="4"/>
              <w:widowControl/>
              <w:numPr>
                <w:ilvl w:val="0"/>
                <w:numId w:val="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支持首页的菜单按照分类或者平铺的方式展示</w:t>
            </w:r>
          </w:p>
        </w:tc>
      </w:tr>
      <w:tr w14:paraId="60534983">
        <w:tblPrEx>
          <w:tblCellMar>
            <w:top w:w="0" w:type="dxa"/>
            <w:left w:w="108" w:type="dxa"/>
            <w:bottom w:w="0" w:type="dxa"/>
            <w:right w:w="108" w:type="dxa"/>
          </w:tblCellMar>
        </w:tblPrEx>
        <w:trPr>
          <w:trHeight w:val="29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F553F09">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869D032">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5595A8C8">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AE94C0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通道管理</w:t>
            </w:r>
          </w:p>
        </w:tc>
        <w:tc>
          <w:tcPr>
            <w:tcW w:w="3449" w:type="pct"/>
            <w:tcBorders>
              <w:top w:val="nil"/>
              <w:left w:val="nil"/>
              <w:bottom w:val="single" w:color="auto" w:sz="4" w:space="0"/>
              <w:right w:val="single" w:color="auto" w:sz="4" w:space="0"/>
            </w:tcBorders>
            <w:shd w:val="clear" w:color="auto" w:fill="auto"/>
            <w:vAlign w:val="center"/>
          </w:tcPr>
          <w:p w14:paraId="210F669A">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支持批量添加选中区域及其上级区域的编码设备中的监控点</w:t>
            </w:r>
          </w:p>
          <w:p w14:paraId="0F232D4F">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支持通过导入导出经纬度功能，批量修改监控点经纬度信息</w:t>
            </w:r>
          </w:p>
          <w:p w14:paraId="6C9103BC">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支持批量更改监控点所属区域及批量删除监控点，支持修改监控点排序，支持根据名称或ip模糊搜索监控点</w:t>
            </w:r>
          </w:p>
          <w:p w14:paraId="0CB17E31">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支持列表展示选中区域下的监控点信息，包括监控点名称、传输协议、所属设备、IP地址、端口及通道号等</w:t>
            </w:r>
          </w:p>
          <w:p w14:paraId="003F3200">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支持查看、编辑监控点基本信息、能力集信息、音视频信息及类型信息，支持针对监控点添加标签</w:t>
            </w:r>
          </w:p>
          <w:p w14:paraId="32735D47">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支持手动输入经纬度信息或地图定位方式标注监控点位置</w:t>
            </w:r>
          </w:p>
          <w:p w14:paraId="2AB5EC7D">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支持级联点位标签设置</w:t>
            </w:r>
          </w:p>
          <w:p w14:paraId="3CA6DEA6">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支持osd信息叠加配置，支持osd全局配置，包括监控点名称、时间的显示隐藏，以及位置配置。</w:t>
            </w:r>
          </w:p>
          <w:p w14:paraId="2C14E723">
            <w:pPr>
              <w:pStyle w:val="4"/>
              <w:widowControl/>
              <w:numPr>
                <w:ilvl w:val="0"/>
                <w:numId w:val="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系统支持展示已添加点位的通道信息，支持按通道名称、所属设备、IP地址、电围编号等进行查询。</w:t>
            </w:r>
          </w:p>
        </w:tc>
      </w:tr>
      <w:tr w14:paraId="380CD173">
        <w:tblPrEx>
          <w:tblCellMar>
            <w:top w:w="0" w:type="dxa"/>
            <w:left w:w="108" w:type="dxa"/>
            <w:bottom w:w="0" w:type="dxa"/>
            <w:right w:w="108" w:type="dxa"/>
          </w:tblCellMar>
        </w:tblPrEx>
        <w:trPr>
          <w:trHeight w:val="3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EDA6DC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28DB5A7">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E1B11D7">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D62693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卡口管理</w:t>
            </w:r>
          </w:p>
        </w:tc>
        <w:tc>
          <w:tcPr>
            <w:tcW w:w="3449" w:type="pct"/>
            <w:tcBorders>
              <w:top w:val="nil"/>
              <w:left w:val="nil"/>
              <w:bottom w:val="single" w:color="auto" w:sz="4" w:space="0"/>
              <w:right w:val="single" w:color="auto" w:sz="4" w:space="0"/>
            </w:tcBorders>
            <w:shd w:val="clear" w:color="auto" w:fill="auto"/>
            <w:vAlign w:val="center"/>
          </w:tcPr>
          <w:p w14:paraId="048B5E4B">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支持列表展示所选区域下的卡口信息，包括所属区域、卡口编号、使用类型、前端类型、出入城类型、级联状态、经纬度、治理状态及车道数等信息</w:t>
            </w:r>
          </w:p>
          <w:p w14:paraId="6E95B4B1">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支持添加卡口，并支持编辑卡口基本信息，支持针对卡口添加标签</w:t>
            </w:r>
          </w:p>
          <w:p w14:paraId="6FCE6246">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支持从所选择区域及其上级区域监控点中添加抓拍通道信息</w:t>
            </w:r>
          </w:p>
          <w:p w14:paraId="6ADCD4B9">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支持手动输入卡口经纬度信息或通过地图定位方式标注卡口位置</w:t>
            </w:r>
          </w:p>
          <w:p w14:paraId="429A76A9">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支持配置卡口车道信息，包括车道方向、名称以及城际卡口出入城方向标识</w:t>
            </w:r>
          </w:p>
          <w:p w14:paraId="7C220279">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支持卡口数据导入导出及城际卡口信息下发</w:t>
            </w:r>
          </w:p>
          <w:p w14:paraId="1400A594">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支持批量删除卡口</w:t>
            </w:r>
          </w:p>
          <w:p w14:paraId="08C28CD2">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城际卡口下发支持出入城下发</w:t>
            </w:r>
          </w:p>
          <w:p w14:paraId="48D662C4">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支持卡口自定义扩展卡口属性、方向属性、车道属性、卡口前端类型、车道关联的资源类型</w:t>
            </w:r>
          </w:p>
          <w:p w14:paraId="1BCE6B91">
            <w:pPr>
              <w:pStyle w:val="4"/>
              <w:widowControl/>
              <w:numPr>
                <w:ilvl w:val="0"/>
                <w:numId w:val="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支持方向车道模板配置</w:t>
            </w:r>
          </w:p>
        </w:tc>
      </w:tr>
      <w:tr w14:paraId="74B3B32A">
        <w:tblPrEx>
          <w:tblCellMar>
            <w:top w:w="0" w:type="dxa"/>
            <w:left w:w="108" w:type="dxa"/>
            <w:bottom w:w="0" w:type="dxa"/>
            <w:right w:w="108" w:type="dxa"/>
          </w:tblCellMar>
        </w:tblPrEx>
        <w:trPr>
          <w:trHeight w:val="3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0C0E817">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770A3D5">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060FB864">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1DD205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设备管理</w:t>
            </w:r>
          </w:p>
        </w:tc>
        <w:tc>
          <w:tcPr>
            <w:tcW w:w="3449" w:type="pct"/>
            <w:tcBorders>
              <w:top w:val="nil"/>
              <w:left w:val="nil"/>
              <w:bottom w:val="single" w:color="auto" w:sz="4" w:space="0"/>
              <w:right w:val="single" w:color="auto" w:sz="4" w:space="0"/>
            </w:tcBorders>
            <w:shd w:val="clear" w:color="auto" w:fill="auto"/>
            <w:vAlign w:val="center"/>
          </w:tcPr>
          <w:p w14:paraId="032EB15A">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支持依据模板批量导入编码设备，及编码设备数据导出</w:t>
            </w:r>
          </w:p>
          <w:p w14:paraId="2574C2EF">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支持编辑及同步编码设备信息</w:t>
            </w:r>
          </w:p>
          <w:p w14:paraId="36D5EEDC">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支持在选定区域下手动添加编码设备，支持单IP添加、IP段添加、单编号添加及编号段添加等多种方式</w:t>
            </w:r>
          </w:p>
          <w:p w14:paraId="19769D23">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支持针对编码设备添加标签</w:t>
            </w:r>
          </w:p>
          <w:p w14:paraId="307E498B">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支持列表展示选中区域下的编码设备信息，包括所属区域、设备接入协议、设备编号、设备型号、IP地址及端口号、密码强度、视频通道数、报警通道数、能力集状态、数据接入协议、数据接入协议状态</w:t>
            </w:r>
          </w:p>
          <w:p w14:paraId="430FEE8A">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提供编码设备的增、删、改接口，支持批量操作  </w:t>
            </w:r>
          </w:p>
          <w:p w14:paraId="07F5ECE7">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支持厂商和设备接入协议联动</w:t>
            </w:r>
          </w:p>
          <w:p w14:paraId="6F115C73">
            <w:pPr>
              <w:pStyle w:val="4"/>
              <w:widowControl/>
              <w:numPr>
                <w:ilvl w:val="0"/>
                <w:numId w:val="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支持数据接入协议配置</w:t>
            </w:r>
          </w:p>
        </w:tc>
      </w:tr>
      <w:tr w14:paraId="7E48ADFD">
        <w:tblPrEx>
          <w:tblCellMar>
            <w:top w:w="0" w:type="dxa"/>
            <w:left w:w="108" w:type="dxa"/>
            <w:bottom w:w="0" w:type="dxa"/>
            <w:right w:w="108" w:type="dxa"/>
          </w:tblCellMar>
        </w:tblPrEx>
        <w:trPr>
          <w:trHeight w:val="22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2AFAD4E">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AA55A7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0287DD0">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50FA4C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76578CC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1.支持新增、启用、停用用户；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2.支持充重置密码支持；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3.支持查看用户列表以及其列表下用户信息；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4.支持单个或批量启用或禁用用户；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5.支持导入、导出用户信息；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6.支持编辑用户身份、权限以及登录认证信息；</w:t>
            </w:r>
          </w:p>
        </w:tc>
      </w:tr>
      <w:tr w14:paraId="158BB5E3">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79224D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E59412A">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1FCB51B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89" w:type="pct"/>
            <w:tcBorders>
              <w:top w:val="nil"/>
              <w:left w:val="nil"/>
              <w:bottom w:val="single" w:color="auto" w:sz="4" w:space="0"/>
              <w:right w:val="single" w:color="auto" w:sz="4" w:space="0"/>
            </w:tcBorders>
            <w:shd w:val="clear" w:color="auto" w:fill="auto"/>
            <w:vAlign w:val="center"/>
          </w:tcPr>
          <w:p w14:paraId="6DA58DF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449" w:type="pct"/>
            <w:tcBorders>
              <w:top w:val="nil"/>
              <w:left w:val="nil"/>
              <w:bottom w:val="single" w:color="auto" w:sz="4" w:space="0"/>
              <w:right w:val="single" w:color="auto" w:sz="4" w:space="0"/>
            </w:tcBorders>
            <w:shd w:val="clear" w:color="auto" w:fill="auto"/>
            <w:vAlign w:val="center"/>
          </w:tcPr>
          <w:p w14:paraId="3E8903F1">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为视频监控业务提供级联服务，在平台间进行视频联网，基于视频通用标准协议（GB/T28181-2011,GB/T28181-2016,GB/T28181-2022）与外域平台互联互通，实现上级平台对下级平台视频资源点位的操作控制。</w:t>
            </w:r>
          </w:p>
          <w:p w14:paraId="68EB326B">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支持视频级联预览；</w:t>
            </w:r>
          </w:p>
          <w:p w14:paraId="2AED2AFE">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支持视频录像级联回放；</w:t>
            </w:r>
          </w:p>
          <w:p w14:paraId="7803E9E6">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支持对级联点位进行录像检查；</w:t>
            </w:r>
          </w:p>
          <w:p w14:paraId="65836888">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支持诊断图片查看、本级及级联点位图像重巡；</w:t>
            </w:r>
          </w:p>
          <w:p w14:paraId="3E3DAEA2">
            <w:pPr>
              <w:pStyle w:val="4"/>
              <w:widowControl/>
              <w:numPr>
                <w:ilvl w:val="0"/>
                <w:numId w:val="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支持级联点位巡检配置VQD图片存储配置。</w:t>
            </w:r>
          </w:p>
        </w:tc>
      </w:tr>
      <w:tr w14:paraId="66F71D25">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E767869">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CB0ACCE">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52BF0E1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89" w:type="pct"/>
            <w:tcBorders>
              <w:top w:val="nil"/>
              <w:left w:val="nil"/>
              <w:bottom w:val="single" w:color="auto" w:sz="4" w:space="0"/>
              <w:right w:val="single" w:color="auto" w:sz="4" w:space="0"/>
            </w:tcBorders>
            <w:shd w:val="clear" w:color="auto" w:fill="auto"/>
            <w:vAlign w:val="center"/>
          </w:tcPr>
          <w:p w14:paraId="67067E3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云台控制</w:t>
            </w:r>
          </w:p>
        </w:tc>
        <w:tc>
          <w:tcPr>
            <w:tcW w:w="3449" w:type="pct"/>
            <w:tcBorders>
              <w:top w:val="nil"/>
              <w:left w:val="nil"/>
              <w:bottom w:val="single" w:color="auto" w:sz="4" w:space="0"/>
              <w:right w:val="single" w:color="auto" w:sz="4" w:space="0"/>
            </w:tcBorders>
            <w:shd w:val="clear" w:color="auto" w:fill="auto"/>
            <w:vAlign w:val="center"/>
          </w:tcPr>
          <w:p w14:paraId="0AB7F29E">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支持实时视频云台控制及水平扫描，可以在视频上直接控制。支持八方向转动：上、下、左、右、左上、左下、右上、右下</w:t>
            </w:r>
          </w:p>
          <w:p w14:paraId="514264F3">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支持设置云台转动速度；支持焦距放大缩小；支持聚焦控制；支持光圈扩大缩小；支持一键对焦；支持打开灯光；支持打开雨刮器；支持云台重置</w:t>
            </w:r>
          </w:p>
          <w:p w14:paraId="355BDCA6">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支持高权限用户抢占云台控制权限，并支持云台锁定，可设置云台锁定时长</w:t>
            </w:r>
          </w:p>
          <w:p w14:paraId="1197EC2D">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支持设置、修改及快速选择预置点</w:t>
            </w:r>
          </w:p>
          <w:p w14:paraId="4B8FCA2F">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支持设置、修改及快速选择云台巡航</w:t>
            </w:r>
          </w:p>
          <w:p w14:paraId="758A674D">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支持云台控制叠加osd配置</w:t>
            </w:r>
          </w:p>
          <w:p w14:paraId="09D06CE5">
            <w:pPr>
              <w:pStyle w:val="4"/>
              <w:widowControl/>
              <w:numPr>
                <w:ilvl w:val="0"/>
                <w:numId w:val="10"/>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支持录制及调用云台轨迹</w:t>
            </w:r>
          </w:p>
        </w:tc>
      </w:tr>
      <w:tr w14:paraId="0F12C0CA">
        <w:tblPrEx>
          <w:tblCellMar>
            <w:top w:w="0" w:type="dxa"/>
            <w:left w:w="108" w:type="dxa"/>
            <w:bottom w:w="0" w:type="dxa"/>
            <w:right w:w="108" w:type="dxa"/>
          </w:tblCellMar>
        </w:tblPrEx>
        <w:trPr>
          <w:trHeight w:val="1837"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1AEBFBA">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4577CE21">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923BBD5">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08C322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视频预览</w:t>
            </w:r>
          </w:p>
        </w:tc>
        <w:tc>
          <w:tcPr>
            <w:tcW w:w="3449" w:type="pct"/>
            <w:tcBorders>
              <w:top w:val="nil"/>
              <w:left w:val="nil"/>
              <w:bottom w:val="single" w:color="auto" w:sz="4" w:space="0"/>
              <w:right w:val="single" w:color="auto" w:sz="4" w:space="0"/>
            </w:tcBorders>
            <w:shd w:val="clear" w:color="auto" w:fill="auto"/>
            <w:vAlign w:val="center"/>
          </w:tcPr>
          <w:p w14:paraId="4797DD20">
            <w:pPr>
              <w:pStyle w:val="4"/>
              <w:widowControl/>
              <w:numPr>
                <w:ilvl w:val="0"/>
                <w:numId w:val="1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支持即时回放功能，即时回放过程中支持控制回放时间及画面，支持针对即时回放画面进行抓图、回放、视频增强、打开声音、对讲、录像保存、播放暂停、单帧倒退及单帧前进</w:t>
            </w:r>
          </w:p>
          <w:p w14:paraId="7E4D9C57">
            <w:pPr>
              <w:pStyle w:val="4"/>
              <w:widowControl/>
              <w:numPr>
                <w:ilvl w:val="0"/>
                <w:numId w:val="1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支持开启多屏，开启后新增一个多屏预览窗口，可进行一机双屏操作</w:t>
            </w:r>
          </w:p>
          <w:p w14:paraId="303FFE6E">
            <w:pPr>
              <w:pStyle w:val="4"/>
              <w:widowControl/>
              <w:numPr>
                <w:ilvl w:val="0"/>
                <w:numId w:val="1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支持切换画面为1、4、9、16、25、1+5、3+4、1+7、1+9、2+8、1+12、4+9、1+1+12、1+16及自定义屏幕分屏，支持画面以4:3或16:9展示，支持全屏播放</w:t>
            </w:r>
          </w:p>
          <w:p w14:paraId="635D5A89">
            <w:pPr>
              <w:pStyle w:val="4"/>
              <w:widowControl/>
              <w:numPr>
                <w:ilvl w:val="0"/>
                <w:numId w:val="1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支持组播预览</w:t>
            </w:r>
          </w:p>
          <w:p w14:paraId="686F48D1">
            <w:pPr>
              <w:pStyle w:val="4"/>
              <w:widowControl/>
              <w:numPr>
                <w:ilvl w:val="0"/>
                <w:numId w:val="1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支持按权限控制播放声音，有权限的才能有声音</w:t>
            </w:r>
          </w:p>
        </w:tc>
      </w:tr>
      <w:tr w14:paraId="1F7A4979">
        <w:tblPrEx>
          <w:tblCellMar>
            <w:top w:w="0" w:type="dxa"/>
            <w:left w:w="108" w:type="dxa"/>
            <w:bottom w:w="0" w:type="dxa"/>
            <w:right w:w="108" w:type="dxa"/>
          </w:tblCellMar>
        </w:tblPrEx>
        <w:trPr>
          <w:trHeight w:val="843"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144502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4C5CCE7">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1CF5985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89" w:type="pct"/>
            <w:tcBorders>
              <w:top w:val="nil"/>
              <w:left w:val="nil"/>
              <w:bottom w:val="single" w:color="auto" w:sz="4" w:space="0"/>
              <w:right w:val="single" w:color="auto" w:sz="4" w:space="0"/>
            </w:tcBorders>
            <w:shd w:val="clear" w:color="auto" w:fill="auto"/>
            <w:vAlign w:val="center"/>
          </w:tcPr>
          <w:p w14:paraId="11F5907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449" w:type="pct"/>
            <w:tcBorders>
              <w:top w:val="nil"/>
              <w:left w:val="nil"/>
              <w:bottom w:val="single" w:color="auto" w:sz="4" w:space="0"/>
              <w:right w:val="single" w:color="auto" w:sz="4" w:space="0"/>
            </w:tcBorders>
            <w:shd w:val="clear" w:color="auto" w:fill="auto"/>
            <w:vAlign w:val="center"/>
          </w:tcPr>
          <w:p w14:paraId="19991133">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支持多机部署，即不同服务器上分别安装一个电视墙服务，在电视墙客户端上支持用户选择要操作的电视墙服务并且支持选择不同解码器添加到不同服务上</w:t>
            </w:r>
          </w:p>
          <w:p w14:paraId="6AE680FC">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支持电视墙预览轮巡，并支持进行轮巡播放控制（暂停/启用所有轮巡，执行轮巡上/下一页等）</w:t>
            </w:r>
          </w:p>
          <w:p w14:paraId="4515A112">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支持桌面上墙功能，即客户端所在 PC 机的系统桌面上墙至窗口上显示</w:t>
            </w:r>
          </w:p>
          <w:p w14:paraId="61F1596F">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支持配置模拟通道监控点实时监控画面上墙</w:t>
            </w:r>
          </w:p>
          <w:p w14:paraId="7827FE4F">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支持模糊搜索监控点位</w:t>
            </w:r>
          </w:p>
          <w:p w14:paraId="31A36CAD">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支持根据电视墙名称、电视墙类型添加LCD电视墙，支持框选电视墙规格</w:t>
            </w:r>
          </w:p>
          <w:p w14:paraId="56082745">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支持根据电视墙名称、电视墙类型及屏幕宽高，添加LED电视墙，支持框选电视墙规格</w:t>
            </w:r>
          </w:p>
          <w:p w14:paraId="189C5F6F">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支持修改、删除、刷新电视墙</w:t>
            </w:r>
          </w:p>
          <w:p w14:paraId="5C08A7F5">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支持根据启用向导来指引用户添加解码设备、添加电视墙及资源关联</w:t>
            </w:r>
          </w:p>
          <w:p w14:paraId="780AC120">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支持新建、取消电视墙与解码器通道的关联关系，支持全部取消关联</w:t>
            </w:r>
          </w:p>
          <w:p w14:paraId="3639450B">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支持根据输入的关键字模糊搜索监控点名字、标签名字和报警名字包含该关键字的录像</w:t>
            </w:r>
          </w:p>
          <w:p w14:paraId="4FA4D9D4">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支持根据报警名称、报警类型、优先级及报警时间进行报警查询</w:t>
            </w:r>
          </w:p>
          <w:p w14:paraId="72B6DEF8">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支持针对窗口的分割、拼接等布局，及窗口上的监控点、预览轮巡、告警窗口、是否自动启停及启停时间等进行配置形成电视墙场景</w:t>
            </w:r>
          </w:p>
          <w:p w14:paraId="08BFDF82">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支持针对某电视墙的场景进行增加、修改及删除，支持查看电视墙场景详情，支持配置电视墙场景切换计划</w:t>
            </w:r>
          </w:p>
          <w:p w14:paraId="406FA724">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支持针对某电视墙场景进行增加、修改、删除轮巡计划，支持设置关联的监控点及其轮巡间隔</w:t>
            </w:r>
          </w:p>
          <w:p w14:paraId="052A3C23">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支持针对某电视墙场景进行监控点与窗口的关联，让该监控点保持持续在该窗口上墙；支持从资源树及历史操作点位中选择关联的监控点</w:t>
            </w:r>
          </w:p>
          <w:p w14:paraId="38B92655">
            <w:pPr>
              <w:pStyle w:val="4"/>
              <w:widowControl/>
              <w:numPr>
                <w:ilvl w:val="0"/>
                <w:numId w:val="1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支持在场景中按高、中、低等设为报警窗口，当有相应等级的报警产生时可在该窗口自动上墙</w:t>
            </w:r>
          </w:p>
        </w:tc>
      </w:tr>
      <w:tr w14:paraId="43F55AC5">
        <w:tblPrEx>
          <w:tblCellMar>
            <w:top w:w="0" w:type="dxa"/>
            <w:left w:w="108" w:type="dxa"/>
            <w:bottom w:w="0" w:type="dxa"/>
            <w:right w:w="108" w:type="dxa"/>
          </w:tblCellMar>
        </w:tblPrEx>
        <w:trPr>
          <w:trHeight w:val="12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27831F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96D68DA">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3CAEA07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89" w:type="pct"/>
            <w:tcBorders>
              <w:top w:val="nil"/>
              <w:left w:val="nil"/>
              <w:bottom w:val="single" w:color="auto" w:sz="4" w:space="0"/>
              <w:right w:val="single" w:color="auto" w:sz="4" w:space="0"/>
            </w:tcBorders>
            <w:shd w:val="clear" w:color="auto" w:fill="auto"/>
            <w:vAlign w:val="center"/>
          </w:tcPr>
          <w:p w14:paraId="656C025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449" w:type="pct"/>
            <w:tcBorders>
              <w:top w:val="nil"/>
              <w:left w:val="nil"/>
              <w:bottom w:val="single" w:color="auto" w:sz="4" w:space="0"/>
              <w:right w:val="single" w:color="auto" w:sz="4" w:space="0"/>
            </w:tcBorders>
            <w:shd w:val="clear" w:color="auto" w:fill="auto"/>
            <w:vAlign w:val="center"/>
          </w:tcPr>
          <w:p w14:paraId="7032A170">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1.以人脸属性搜索相似抓拍数据，支持根据时段、监控点范围、年龄段、性别、戴眼镜、是否微笑、是否戴口罩等属性查询匹配的人脸信息；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2.支持按照人脸特征搜图，上传人脸照片作为查询条件，支持查看结果图片、目标图片相似度以及抓拍信息等。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3.支持查询结果数据导出；</w:t>
            </w:r>
          </w:p>
        </w:tc>
      </w:tr>
      <w:tr w14:paraId="0313B7A5">
        <w:tblPrEx>
          <w:tblCellMar>
            <w:top w:w="0" w:type="dxa"/>
            <w:left w:w="108" w:type="dxa"/>
            <w:bottom w:w="0" w:type="dxa"/>
            <w:right w:w="108" w:type="dxa"/>
          </w:tblCellMar>
        </w:tblPrEx>
        <w:trPr>
          <w:trHeight w:val="3358"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95D2706">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462C215">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380A36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车辆应用</w:t>
            </w:r>
          </w:p>
        </w:tc>
        <w:tc>
          <w:tcPr>
            <w:tcW w:w="389" w:type="pct"/>
            <w:tcBorders>
              <w:top w:val="nil"/>
              <w:left w:val="nil"/>
              <w:bottom w:val="single" w:color="auto" w:sz="4" w:space="0"/>
              <w:right w:val="single" w:color="auto" w:sz="4" w:space="0"/>
            </w:tcBorders>
            <w:shd w:val="clear" w:color="auto" w:fill="auto"/>
            <w:vAlign w:val="center"/>
          </w:tcPr>
          <w:p w14:paraId="36BCBC6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w:t>
            </w:r>
          </w:p>
        </w:tc>
        <w:tc>
          <w:tcPr>
            <w:tcW w:w="3449" w:type="pct"/>
            <w:tcBorders>
              <w:top w:val="nil"/>
              <w:left w:val="nil"/>
              <w:bottom w:val="single" w:color="auto" w:sz="4" w:space="0"/>
              <w:right w:val="single" w:color="auto" w:sz="4" w:space="0"/>
            </w:tcBorders>
            <w:shd w:val="clear" w:color="auto" w:fill="auto"/>
            <w:vAlign w:val="center"/>
          </w:tcPr>
          <w:p w14:paraId="35060B83">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正常过车查询支持在用户选择的时段、点位范围、方向及车道，根据车牌号码 、人脸关联、车辆颜色、车辆品牌、车辆类型、车牌类型、车牌颜色进行过车记录检索；</w:t>
            </w:r>
          </w:p>
          <w:p w14:paraId="7A73D862">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、车辆特征、前车窗特征、主副驾人员特征、是否渣土车、速度区间）车辆特征信息进行过车记录检索；</w:t>
            </w:r>
          </w:p>
          <w:p w14:paraId="71A1F56F">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查询结果支持显示车辆与人脸的关联关系，当结果图片左上角出现关联人脸标志时表示搜索结果可关联人脸；</w:t>
            </w:r>
          </w:p>
          <w:p w14:paraId="16D1051F">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支持不分组、按照车牌或卡口分组展示；</w:t>
            </w:r>
          </w:p>
          <w:p w14:paraId="2EF120BC">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07A7F79F">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2B10BF0B">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4979BB7F">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20038AF3">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支持过车详情基本信息中显示过车信息、详情图片、属性特征等；</w:t>
            </w:r>
          </w:p>
          <w:p w14:paraId="520E1332">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支持查询结果快捷操作，链接到查看详情、地图定位、视频回放、暂存架、车辆轨迹查询、同行车辆、停留点、以车搜车、车辆布控等功能；</w:t>
            </w:r>
          </w:p>
          <w:p w14:paraId="23333BEF">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61590446">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支持点击“右侧信息”开关，展示基本信息、地图位置、关联人脸、车管库，可关闭右侧详情页面；</w:t>
            </w:r>
          </w:p>
          <w:p w14:paraId="7782D747">
            <w:pPr>
              <w:pStyle w:val="4"/>
              <w:widowControl/>
              <w:numPr>
                <w:ilvl w:val="0"/>
                <w:numId w:val="1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6F4D323A">
        <w:tblPrEx>
          <w:tblCellMar>
            <w:top w:w="0" w:type="dxa"/>
            <w:left w:w="108" w:type="dxa"/>
            <w:bottom w:w="0" w:type="dxa"/>
            <w:right w:w="108" w:type="dxa"/>
          </w:tblCellMar>
        </w:tblPrEx>
        <w:trPr>
          <w:trHeight w:val="41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4253B1E">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47F73707">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AB3A4B1">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D4A3C6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w:t>
            </w:r>
          </w:p>
        </w:tc>
        <w:tc>
          <w:tcPr>
            <w:tcW w:w="3449" w:type="pct"/>
            <w:tcBorders>
              <w:top w:val="nil"/>
              <w:left w:val="nil"/>
              <w:bottom w:val="single" w:color="auto" w:sz="4" w:space="0"/>
              <w:right w:val="single" w:color="auto" w:sz="4" w:space="0"/>
            </w:tcBorders>
            <w:shd w:val="clear" w:color="auto" w:fill="auto"/>
            <w:vAlign w:val="center"/>
          </w:tcPr>
          <w:p w14:paraId="05B03B3B">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红名单过车查询支持在用户选择的时段、点位范围、方向及车道，根据车牌号码 、关联人脸、车辆颜色、车辆品牌、车辆类型、车牌类型、车牌颜色进行红名单过车记录检索；</w:t>
            </w:r>
          </w:p>
          <w:p w14:paraId="7C3CFB3E">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、车辆特征、前车窗特征、主副驾人员特征、是否渣土车、速度区间）车辆特征信息进行红名单过车记录检索；</w:t>
            </w:r>
          </w:p>
          <w:p w14:paraId="5F9D3F0C">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支持按照车牌或卡口分组展示；</w:t>
            </w:r>
          </w:p>
          <w:p w14:paraId="015ADF64">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40371251">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38D80461">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4A88F13D">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56DEC82B">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支持过车详情显示当前车辆车牌信息、抓拍卡口信息以及抓拍时间；</w:t>
            </w:r>
          </w:p>
          <w:p w14:paraId="4801A5D1">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支持查询结果快捷操作，链接到查看详情、地图定位、视频回放、车辆轨迹查询等功能；</w:t>
            </w:r>
          </w:p>
          <w:p w14:paraId="102793A6">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72304374">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支持点击“右侧信息”开关，可关闭右侧详情页面；</w:t>
            </w:r>
          </w:p>
          <w:p w14:paraId="4880EC16">
            <w:pPr>
              <w:pStyle w:val="4"/>
              <w:widowControl/>
              <w:numPr>
                <w:ilvl w:val="0"/>
                <w:numId w:val="1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77030178">
        <w:tblPrEx>
          <w:tblCellMar>
            <w:top w:w="0" w:type="dxa"/>
            <w:left w:w="108" w:type="dxa"/>
            <w:bottom w:w="0" w:type="dxa"/>
            <w:right w:w="108" w:type="dxa"/>
          </w:tblCellMar>
        </w:tblPrEx>
        <w:trPr>
          <w:trHeight w:val="15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7603F8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B41A19">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7A173E7">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4DA2BC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车辆轨迹查询</w:t>
            </w:r>
          </w:p>
        </w:tc>
        <w:tc>
          <w:tcPr>
            <w:tcW w:w="3449" w:type="pct"/>
            <w:tcBorders>
              <w:top w:val="nil"/>
              <w:left w:val="nil"/>
              <w:bottom w:val="single" w:color="auto" w:sz="4" w:space="0"/>
              <w:right w:val="single" w:color="auto" w:sz="4" w:space="0"/>
            </w:tcBorders>
            <w:shd w:val="clear" w:color="auto" w:fill="auto"/>
            <w:vAlign w:val="center"/>
          </w:tcPr>
          <w:p w14:paraId="668AFA6E">
            <w:pPr>
              <w:pStyle w:val="4"/>
              <w:widowControl/>
              <w:numPr>
                <w:ilvl w:val="0"/>
                <w:numId w:val="1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支持按照车牌号码、车牌颜色、过车时间和选择范围查询，结果在地图上展示，并可进行轨迹回放；</w:t>
            </w:r>
          </w:p>
          <w:p w14:paraId="37369809">
            <w:pPr>
              <w:pStyle w:val="4"/>
              <w:widowControl/>
              <w:numPr>
                <w:ilvl w:val="0"/>
                <w:numId w:val="1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支持对某条过车数据进行视频回放；</w:t>
            </w:r>
          </w:p>
          <w:p w14:paraId="66040AA3">
            <w:pPr>
              <w:pStyle w:val="4"/>
              <w:widowControl/>
              <w:numPr>
                <w:ilvl w:val="0"/>
                <w:numId w:val="1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支持车辆轨迹信息的顺序、倒序排列。</w:t>
            </w:r>
          </w:p>
        </w:tc>
      </w:tr>
      <w:tr w14:paraId="1CD6F4BB">
        <w:tblPrEx>
          <w:tblCellMar>
            <w:top w:w="0" w:type="dxa"/>
            <w:left w:w="108" w:type="dxa"/>
            <w:bottom w:w="0" w:type="dxa"/>
            <w:right w:w="108" w:type="dxa"/>
          </w:tblCellMar>
        </w:tblPrEx>
        <w:trPr>
          <w:trHeight w:val="19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9FCE3E7">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6A3298A">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59ED63F6">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A3C05B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车辆布控</w:t>
            </w:r>
          </w:p>
        </w:tc>
        <w:tc>
          <w:tcPr>
            <w:tcW w:w="3449" w:type="pct"/>
            <w:tcBorders>
              <w:top w:val="nil"/>
              <w:left w:val="nil"/>
              <w:bottom w:val="single" w:color="auto" w:sz="4" w:space="0"/>
              <w:right w:val="single" w:color="auto" w:sz="4" w:space="0"/>
            </w:tcBorders>
            <w:shd w:val="clear" w:color="auto" w:fill="auto"/>
            <w:vAlign w:val="center"/>
          </w:tcPr>
          <w:p w14:paraId="13BEA382">
            <w:pPr>
              <w:pStyle w:val="4"/>
              <w:numPr>
                <w:ilvl w:val="0"/>
                <w:numId w:val="16"/>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支持查看车辆布控列表、撤控列表、待审核列表；</w:t>
            </w:r>
          </w:p>
          <w:p w14:paraId="41327A19">
            <w:pPr>
              <w:pStyle w:val="4"/>
              <w:numPr>
                <w:ilvl w:val="0"/>
                <w:numId w:val="16"/>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支持车辆按照模糊车牌以及精准车牌布控；</w:t>
            </w:r>
          </w:p>
          <w:p w14:paraId="1106DDAD">
            <w:pPr>
              <w:pStyle w:val="4"/>
              <w:numPr>
                <w:ilvl w:val="0"/>
                <w:numId w:val="16"/>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支持批量撤控；</w:t>
            </w:r>
          </w:p>
          <w:p w14:paraId="1EFDCF94">
            <w:pPr>
              <w:pStyle w:val="4"/>
              <w:numPr>
                <w:ilvl w:val="0"/>
                <w:numId w:val="16"/>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支持布控列表数据全部导出和部分导出；</w:t>
            </w:r>
          </w:p>
          <w:p w14:paraId="4E1EEBB5">
            <w:pPr>
              <w:pStyle w:val="4"/>
              <w:numPr>
                <w:ilvl w:val="0"/>
                <w:numId w:val="16"/>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支持布控报警消息推送、联动</w:t>
            </w:r>
          </w:p>
        </w:tc>
      </w:tr>
      <w:tr w14:paraId="277ADC10">
        <w:tblPrEx>
          <w:tblCellMar>
            <w:top w:w="0" w:type="dxa"/>
            <w:left w:w="108" w:type="dxa"/>
            <w:bottom w:w="0" w:type="dxa"/>
            <w:right w:w="108" w:type="dxa"/>
          </w:tblCellMar>
        </w:tblPrEx>
        <w:trPr>
          <w:trHeight w:val="18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C190BBF">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B9E04C0">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32F1F6CA">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D36B6A">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车流量统计</w:t>
            </w:r>
          </w:p>
        </w:tc>
        <w:tc>
          <w:tcPr>
            <w:tcW w:w="3449" w:type="pct"/>
            <w:tcBorders>
              <w:top w:val="nil"/>
              <w:left w:val="nil"/>
              <w:bottom w:val="single" w:color="auto" w:sz="4" w:space="0"/>
              <w:right w:val="single" w:color="auto" w:sz="4" w:space="0"/>
            </w:tcBorders>
            <w:shd w:val="clear" w:color="auto" w:fill="auto"/>
            <w:vAlign w:val="center"/>
          </w:tcPr>
          <w:p w14:paraId="66851374">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1、车流量统计支持按卡口、按时间、按归属地、按车型、按品牌、按区域、按车道等多个统计维度；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2、支持以时段表、日报表、周报表、月报表、年报表的方式，统计选定时间和卡口范围内车流量信息；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3、支持以柱状图数据列表等多种图表展示；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4、支持按卡口、按区域、按车道分页查询车流量统计信息；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5、支持车流量数据导出。</w:t>
            </w:r>
          </w:p>
        </w:tc>
      </w:tr>
      <w:tr w14:paraId="7B83DF40">
        <w:tblPrEx>
          <w:tblCellMar>
            <w:top w:w="0" w:type="dxa"/>
            <w:left w:w="108" w:type="dxa"/>
            <w:bottom w:w="0" w:type="dxa"/>
            <w:right w:w="108" w:type="dxa"/>
          </w:tblCellMar>
        </w:tblPrEx>
        <w:trPr>
          <w:trHeight w:val="22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CB80AE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9446E01">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121408B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地图应用</w:t>
            </w:r>
          </w:p>
        </w:tc>
        <w:tc>
          <w:tcPr>
            <w:tcW w:w="389" w:type="pct"/>
            <w:tcBorders>
              <w:top w:val="nil"/>
              <w:left w:val="nil"/>
              <w:bottom w:val="single" w:color="auto" w:sz="4" w:space="0"/>
              <w:right w:val="single" w:color="auto" w:sz="4" w:space="0"/>
            </w:tcBorders>
            <w:shd w:val="clear" w:color="auto" w:fill="auto"/>
            <w:vAlign w:val="center"/>
          </w:tcPr>
          <w:p w14:paraId="3A6B96A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地图功能</w:t>
            </w:r>
          </w:p>
        </w:tc>
        <w:tc>
          <w:tcPr>
            <w:tcW w:w="3449" w:type="pct"/>
            <w:tcBorders>
              <w:top w:val="nil"/>
              <w:left w:val="nil"/>
              <w:bottom w:val="single" w:color="auto" w:sz="4" w:space="0"/>
              <w:right w:val="single" w:color="auto" w:sz="4" w:space="0"/>
            </w:tcBorders>
            <w:shd w:val="clear" w:color="auto" w:fill="auto"/>
            <w:vAlign w:val="center"/>
          </w:tcPr>
          <w:p w14:paraId="036FC114">
            <w:pPr>
              <w:pStyle w:val="4"/>
              <w:widowControl/>
              <w:numPr>
                <w:ilvl w:val="0"/>
                <w:numId w:val="17"/>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地图支持拖动、滚轮放大缩小、重置恢复至地图初始化时的原始中心位置和地图层级；</w:t>
            </w:r>
          </w:p>
          <w:p w14:paraId="660A5B1C">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2、提供地址反查功能，通过在地图上点击来获取地图上该点的位置信息（该功能需地理资源数据支持）；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3、支持通过绘制图形进行空间资源的查询，可在地图上绘制矩形、圆形、多边形、线状缓冲区等作为空间查询范围；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4、支持通过关键字查询和常用标签对这些资源进行查询；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5、对当前地图及其上的要素进行截图，支持保存为本地图片；</w:t>
            </w:r>
          </w:p>
        </w:tc>
      </w:tr>
      <w:tr w14:paraId="13D8F775">
        <w:tblPrEx>
          <w:tblCellMar>
            <w:top w:w="0" w:type="dxa"/>
            <w:left w:w="108" w:type="dxa"/>
            <w:bottom w:w="0" w:type="dxa"/>
            <w:right w:w="108" w:type="dxa"/>
          </w:tblCellMar>
        </w:tblPrEx>
        <w:trPr>
          <w:trHeight w:val="7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4143E5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EDCE6B2">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66616CD5">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9C791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资源查询</w:t>
            </w:r>
          </w:p>
        </w:tc>
        <w:tc>
          <w:tcPr>
            <w:tcW w:w="3449" w:type="pct"/>
            <w:tcBorders>
              <w:top w:val="nil"/>
              <w:left w:val="nil"/>
              <w:bottom w:val="single" w:color="auto" w:sz="4" w:space="0"/>
              <w:right w:val="single" w:color="auto" w:sz="4" w:space="0"/>
            </w:tcBorders>
            <w:shd w:val="clear" w:color="auto" w:fill="auto"/>
            <w:vAlign w:val="center"/>
          </w:tcPr>
          <w:p w14:paraId="59B4E555">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1、支持查看基础目录以及自定义的业务目录树下监控点、卡口、车载、单兵、无人机等类型资源；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2、支持在地图上，根据地图聚合级别以不同样式图标展示各类型资源；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3、支持资源定位至地图所在位置；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4、支持点位经纬度修改，并支持仅展示未标注经纬度的点位资源；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5、支持分资源类型进行关键字模糊匹配检索，同时支持对资源进行全局搜索；</w:t>
            </w:r>
          </w:p>
        </w:tc>
      </w:tr>
      <w:tr w14:paraId="069AE113">
        <w:tblPrEx>
          <w:tblCellMar>
            <w:top w:w="0" w:type="dxa"/>
            <w:left w:w="108" w:type="dxa"/>
            <w:bottom w:w="0" w:type="dxa"/>
            <w:right w:w="108" w:type="dxa"/>
          </w:tblCellMar>
        </w:tblPrEx>
        <w:trPr>
          <w:trHeight w:val="5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CF56EA0">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8E4F5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369513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995411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GPS轨迹</w:t>
            </w:r>
          </w:p>
        </w:tc>
        <w:tc>
          <w:tcPr>
            <w:tcW w:w="3449" w:type="pct"/>
            <w:tcBorders>
              <w:top w:val="nil"/>
              <w:left w:val="nil"/>
              <w:bottom w:val="single" w:color="auto" w:sz="4" w:space="0"/>
              <w:right w:val="single" w:color="auto" w:sz="4" w:space="0"/>
            </w:tcBorders>
            <w:shd w:val="clear" w:color="auto" w:fill="auto"/>
            <w:vAlign w:val="center"/>
          </w:tcPr>
          <w:p w14:paraId="1CB4D0D9">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1、按时间查询单兵、车载等在地图上的经过的GPS位置，列表显示目标路径记录，同时将轨迹在地图上展示。可通过播放器控制播放的速度、进度等。</w:t>
            </w:r>
          </w:p>
        </w:tc>
      </w:tr>
      <w:tr w14:paraId="7385E8FB">
        <w:tblPrEx>
          <w:tblCellMar>
            <w:top w:w="0" w:type="dxa"/>
            <w:left w:w="108" w:type="dxa"/>
            <w:bottom w:w="0" w:type="dxa"/>
            <w:right w:w="108" w:type="dxa"/>
          </w:tblCellMar>
        </w:tblPrEx>
        <w:trPr>
          <w:trHeight w:val="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7C7A39B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E53A858">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9C0FA0C">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F2E02D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449" w:type="pct"/>
            <w:tcBorders>
              <w:top w:val="nil"/>
              <w:left w:val="nil"/>
              <w:bottom w:val="single" w:color="auto" w:sz="4" w:space="0"/>
              <w:right w:val="single" w:color="auto" w:sz="4" w:space="0"/>
            </w:tcBorders>
            <w:shd w:val="clear" w:color="auto" w:fill="auto"/>
            <w:vAlign w:val="center"/>
          </w:tcPr>
          <w:p w14:paraId="0F091B9B">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1、支持视频的实时预览以及录像回放；</w:t>
            </w:r>
          </w:p>
        </w:tc>
      </w:tr>
    </w:tbl>
    <w:p w14:paraId="6F571305">
      <w:pPr>
        <w:widowControl/>
        <w:rPr>
          <w:rFonts w:ascii="宋体" w:hAnsi="宋体"/>
          <w:b/>
          <w:bCs/>
          <w:color w:val="000000"/>
          <w:kern w:val="0"/>
          <w:sz w:val="22"/>
          <w:szCs w:val="22"/>
        </w:rPr>
      </w:pPr>
    </w:p>
    <w:p w14:paraId="3A1C303C">
      <w:pPr>
        <w:widowControl/>
        <w:rPr>
          <w:rFonts w:ascii="宋体" w:hAnsi="宋体"/>
          <w:b/>
          <w:bCs/>
          <w:color w:val="000000"/>
          <w:kern w:val="0"/>
          <w:sz w:val="22"/>
          <w:szCs w:val="22"/>
        </w:rPr>
      </w:pPr>
    </w:p>
    <w:p w14:paraId="752F0649">
      <w:pPr>
        <w:widowControl/>
        <w:rPr>
          <w:rFonts w:ascii="宋体" w:hAnsi="宋体"/>
          <w:b/>
          <w:bCs/>
          <w:color w:val="000000"/>
          <w:kern w:val="0"/>
          <w:sz w:val="22"/>
          <w:szCs w:val="22"/>
        </w:rPr>
      </w:pPr>
    </w:p>
    <w:p w14:paraId="622F93E3">
      <w:pPr>
        <w:widowControl/>
        <w:rPr>
          <w:rFonts w:ascii="宋体" w:hAnsi="宋体"/>
          <w:b/>
          <w:bCs/>
          <w:color w:val="000000"/>
          <w:kern w:val="0"/>
          <w:sz w:val="22"/>
          <w:szCs w:val="22"/>
        </w:rPr>
      </w:pPr>
    </w:p>
    <w:p w14:paraId="3A72B64D">
      <w:pPr>
        <w:widowControl/>
        <w:rPr>
          <w:rFonts w:ascii="宋体" w:hAnsi="宋体"/>
          <w:b/>
          <w:bCs/>
          <w:color w:val="000000"/>
          <w:kern w:val="0"/>
          <w:sz w:val="22"/>
          <w:szCs w:val="22"/>
        </w:rPr>
      </w:pPr>
    </w:p>
    <w:p w14:paraId="4B40A813">
      <w:pPr>
        <w:widowControl/>
        <w:rPr>
          <w:rFonts w:hint="eastAsia" w:ascii="宋体" w:hAnsi="宋体"/>
          <w:b/>
          <w:bCs/>
          <w:color w:val="000000"/>
          <w:kern w:val="0"/>
          <w:sz w:val="24"/>
          <w:szCs w:val="24"/>
        </w:rPr>
      </w:pPr>
    </w:p>
    <w:p w14:paraId="4D478C84">
      <w:pPr>
        <w:widowControl/>
        <w:rPr>
          <w:rFonts w:hint="eastAsia" w:ascii="宋体" w:hAnsi="宋体"/>
          <w:b/>
          <w:bCs/>
          <w:color w:val="000000"/>
          <w:kern w:val="0"/>
          <w:sz w:val="24"/>
          <w:szCs w:val="24"/>
        </w:rPr>
      </w:pPr>
    </w:p>
    <w:p w14:paraId="4B3B85F2">
      <w:pPr>
        <w:widowControl/>
        <w:rPr>
          <w:rFonts w:ascii="宋体" w:hAnsi="宋体"/>
          <w:b/>
          <w:bCs/>
          <w:color w:val="000000"/>
          <w:kern w:val="0"/>
          <w:sz w:val="24"/>
          <w:szCs w:val="24"/>
        </w:rPr>
      </w:pPr>
      <w:r>
        <w:rPr>
          <w:rFonts w:hint="eastAsia" w:ascii="宋体" w:hAnsi="宋体"/>
          <w:b/>
          <w:bCs/>
          <w:color w:val="000000"/>
          <w:kern w:val="0"/>
          <w:sz w:val="24"/>
          <w:szCs w:val="24"/>
        </w:rPr>
        <w:t>硬件设备采购分项表</w:t>
      </w:r>
    </w:p>
    <w:p w14:paraId="09844C1B">
      <w:pPr>
        <w:widowControl/>
        <w:rPr>
          <w:rFonts w:ascii="宋体" w:hAnsi="宋体"/>
          <w:b/>
          <w:bCs/>
          <w:color w:val="000000"/>
          <w:kern w:val="0"/>
          <w:sz w:val="24"/>
          <w:szCs w:val="24"/>
        </w:rPr>
      </w:pPr>
    </w:p>
    <w:tbl>
      <w:tblPr>
        <w:tblStyle w:val="2"/>
        <w:tblW w:w="0" w:type="auto"/>
        <w:tblInd w:w="0" w:type="dxa"/>
        <w:tblLayout w:type="autofit"/>
        <w:tblCellMar>
          <w:top w:w="0" w:type="dxa"/>
          <w:left w:w="108" w:type="dxa"/>
          <w:bottom w:w="0" w:type="dxa"/>
          <w:right w:w="108" w:type="dxa"/>
        </w:tblCellMar>
      </w:tblPr>
      <w:tblGrid>
        <w:gridCol w:w="656"/>
        <w:gridCol w:w="969"/>
        <w:gridCol w:w="5429"/>
        <w:gridCol w:w="917"/>
        <w:gridCol w:w="551"/>
      </w:tblGrid>
      <w:tr w14:paraId="7E623878">
        <w:tblPrEx>
          <w:tblCellMar>
            <w:top w:w="0" w:type="dxa"/>
            <w:left w:w="108" w:type="dxa"/>
            <w:bottom w:w="0" w:type="dxa"/>
            <w:right w:w="108" w:type="dxa"/>
          </w:tblCellMar>
        </w:tblPrEx>
        <w:trPr>
          <w:trHeight w:val="4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177A2591">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序号</w:t>
            </w:r>
          </w:p>
        </w:tc>
        <w:tc>
          <w:tcPr>
            <w:tcW w:w="989" w:type="dxa"/>
            <w:tcBorders>
              <w:top w:val="single" w:color="auto" w:sz="4" w:space="0"/>
              <w:left w:val="nil"/>
              <w:bottom w:val="single" w:color="auto" w:sz="4" w:space="0"/>
              <w:right w:val="single" w:color="auto" w:sz="4" w:space="0"/>
            </w:tcBorders>
            <w:shd w:val="clear" w:color="auto" w:fill="auto"/>
            <w:vAlign w:val="center"/>
          </w:tcPr>
          <w:p w14:paraId="7B9B5B73">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设备名称</w:t>
            </w:r>
          </w:p>
        </w:tc>
        <w:tc>
          <w:tcPr>
            <w:tcW w:w="5581" w:type="dxa"/>
            <w:tcBorders>
              <w:top w:val="single" w:color="auto" w:sz="4" w:space="0"/>
              <w:left w:val="nil"/>
              <w:bottom w:val="single" w:color="auto" w:sz="4" w:space="0"/>
              <w:right w:val="single" w:color="auto" w:sz="4" w:space="0"/>
            </w:tcBorders>
            <w:shd w:val="clear" w:color="auto" w:fill="auto"/>
            <w:vAlign w:val="center"/>
          </w:tcPr>
          <w:p w14:paraId="43BAF523">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主要技术指标</w:t>
            </w:r>
          </w:p>
        </w:tc>
        <w:tc>
          <w:tcPr>
            <w:tcW w:w="926" w:type="dxa"/>
            <w:tcBorders>
              <w:top w:val="single" w:color="auto" w:sz="4" w:space="0"/>
              <w:left w:val="nil"/>
              <w:bottom w:val="single" w:color="auto" w:sz="4" w:space="0"/>
              <w:right w:val="single" w:color="auto" w:sz="4" w:space="0"/>
            </w:tcBorders>
            <w:shd w:val="clear" w:color="auto" w:fill="auto"/>
            <w:vAlign w:val="center"/>
          </w:tcPr>
          <w:p w14:paraId="7AC90C14">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数量</w:t>
            </w:r>
          </w:p>
        </w:tc>
        <w:tc>
          <w:tcPr>
            <w:tcW w:w="558" w:type="dxa"/>
            <w:tcBorders>
              <w:top w:val="single" w:color="auto" w:sz="4" w:space="0"/>
              <w:left w:val="nil"/>
              <w:bottom w:val="single" w:color="auto" w:sz="4" w:space="0"/>
              <w:right w:val="single" w:color="auto" w:sz="4" w:space="0"/>
            </w:tcBorders>
            <w:shd w:val="clear" w:color="auto" w:fill="auto"/>
            <w:vAlign w:val="center"/>
          </w:tcPr>
          <w:p w14:paraId="07CE6D57">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单位</w:t>
            </w:r>
          </w:p>
        </w:tc>
      </w:tr>
      <w:tr w14:paraId="4B420295">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346EC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989" w:type="dxa"/>
            <w:tcBorders>
              <w:top w:val="nil"/>
              <w:left w:val="nil"/>
              <w:bottom w:val="single" w:color="auto" w:sz="4" w:space="0"/>
              <w:right w:val="single" w:color="auto" w:sz="4" w:space="0"/>
            </w:tcBorders>
            <w:shd w:val="clear" w:color="auto" w:fill="auto"/>
            <w:vAlign w:val="center"/>
          </w:tcPr>
          <w:p w14:paraId="1B9A72F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出入口人脸车牌抓拍单元</w:t>
            </w:r>
          </w:p>
        </w:tc>
        <w:tc>
          <w:tcPr>
            <w:tcW w:w="5581" w:type="dxa"/>
            <w:tcBorders>
              <w:top w:val="nil"/>
              <w:left w:val="nil"/>
              <w:bottom w:val="single" w:color="auto" w:sz="4" w:space="0"/>
              <w:right w:val="single" w:color="auto" w:sz="4" w:space="0"/>
            </w:tcBorders>
            <w:shd w:val="clear" w:color="auto" w:fill="auto"/>
            <w:vAlign w:val="center"/>
          </w:tcPr>
          <w:p w14:paraId="703F1D9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详见参数1.1-1.6</w:t>
            </w:r>
          </w:p>
        </w:tc>
        <w:tc>
          <w:tcPr>
            <w:tcW w:w="926" w:type="dxa"/>
            <w:tcBorders>
              <w:top w:val="nil"/>
              <w:left w:val="nil"/>
              <w:bottom w:val="single" w:color="auto" w:sz="4" w:space="0"/>
              <w:right w:val="single" w:color="auto" w:sz="4" w:space="0"/>
            </w:tcBorders>
            <w:shd w:val="clear" w:color="auto" w:fill="auto"/>
            <w:vAlign w:val="center"/>
          </w:tcPr>
          <w:p w14:paraId="73B4D756">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558" w:type="dxa"/>
            <w:tcBorders>
              <w:top w:val="nil"/>
              <w:left w:val="nil"/>
              <w:bottom w:val="single" w:color="auto" w:sz="4" w:space="0"/>
              <w:right w:val="single" w:color="auto" w:sz="4" w:space="0"/>
            </w:tcBorders>
            <w:shd w:val="clear" w:color="auto" w:fill="auto"/>
            <w:vAlign w:val="center"/>
          </w:tcPr>
          <w:p w14:paraId="41D4B4F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6C98DD3">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62CB5E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b/>
                <w:bCs/>
                <w:kern w:val="0"/>
                <w:sz w:val="22"/>
                <w:szCs w:val="22"/>
                <w:highlight w:val="none"/>
              </w:rPr>
              <w:t>1.1</w:t>
            </w:r>
          </w:p>
        </w:tc>
        <w:tc>
          <w:tcPr>
            <w:tcW w:w="989" w:type="dxa"/>
            <w:tcBorders>
              <w:top w:val="nil"/>
              <w:left w:val="nil"/>
              <w:bottom w:val="single" w:color="auto" w:sz="4" w:space="0"/>
              <w:right w:val="single" w:color="auto" w:sz="4" w:space="0"/>
            </w:tcBorders>
            <w:shd w:val="clear" w:color="auto" w:fill="auto"/>
            <w:vAlign w:val="center"/>
          </w:tcPr>
          <w:p w14:paraId="1D02BA7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人脸车牌卡口抓拍机</w:t>
            </w:r>
          </w:p>
        </w:tc>
        <w:tc>
          <w:tcPr>
            <w:tcW w:w="5581" w:type="dxa"/>
            <w:tcBorders>
              <w:top w:val="nil"/>
              <w:left w:val="nil"/>
              <w:bottom w:val="single" w:color="auto" w:sz="4" w:space="0"/>
              <w:right w:val="single" w:color="auto" w:sz="4" w:space="0"/>
            </w:tcBorders>
            <w:shd w:val="clear" w:color="auto" w:fill="auto"/>
            <w:vAlign w:val="center"/>
          </w:tcPr>
          <w:p w14:paraId="12CC4E7B">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w:t>
            </w:r>
            <w:r>
              <w:rPr>
                <w:rFonts w:hint="eastAsia" w:asciiTheme="minorEastAsia" w:hAnsiTheme="minorEastAsia" w:eastAsiaTheme="minorEastAsia" w:cstheme="minorEastAsia"/>
                <w:color w:val="000000"/>
                <w:kern w:val="0"/>
                <w:sz w:val="22"/>
                <w:szCs w:val="22"/>
                <w:highlight w:val="none"/>
              </w:rPr>
              <w:t>内置摄像机采用2/3英寸高帧率全局曝光CMOS传感器，分辨率可达2448 × 2048，帧率高达25帧，具有清晰度高、照度低、帧率高、色彩还原度好等特点；</w:t>
            </w:r>
          </w:p>
          <w:p w14:paraId="41B02A57">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2、</w:t>
            </w:r>
            <w:r>
              <w:rPr>
                <w:rFonts w:hint="eastAsia" w:asciiTheme="minorEastAsia" w:hAnsiTheme="minorEastAsia" w:eastAsiaTheme="minorEastAsia" w:cstheme="minorEastAsia"/>
                <w:color w:val="000000"/>
                <w:kern w:val="0"/>
                <w:sz w:val="22"/>
                <w:szCs w:val="22"/>
                <w:highlight w:val="none"/>
              </w:rPr>
              <w:t>帧率不低于25 fps；</w:t>
            </w:r>
          </w:p>
          <w:p w14:paraId="5B6AB6B9">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3、</w:t>
            </w:r>
            <w:r>
              <w:rPr>
                <w:rFonts w:hint="eastAsia" w:asciiTheme="minorEastAsia" w:hAnsiTheme="minorEastAsia" w:eastAsiaTheme="minorEastAsia" w:cstheme="minorEastAsia"/>
                <w:color w:val="000000"/>
                <w:kern w:val="0"/>
                <w:sz w:val="22"/>
                <w:szCs w:val="22"/>
                <w:highlight w:val="none"/>
              </w:rPr>
              <w:t>▲支持对25×10 像素～1100×3000 像素的机动车车牌进行抓拍并识别号码； 支持抓拍并识别垂直倾斜角度≤45°、水平倾斜角度≤35°、俯仰角度≤40°的机动车车牌号码；</w:t>
            </w:r>
          </w:p>
          <w:p w14:paraId="659313FA">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4、</w:t>
            </w:r>
            <w:r>
              <w:rPr>
                <w:rFonts w:hint="eastAsia" w:asciiTheme="minorEastAsia" w:hAnsiTheme="minorEastAsia" w:eastAsiaTheme="minorEastAsia" w:cstheme="minorEastAsia"/>
                <w:color w:val="000000"/>
                <w:kern w:val="0"/>
                <w:sz w:val="22"/>
                <w:szCs w:val="22"/>
                <w:highlight w:val="none"/>
              </w:rPr>
              <w:t>车牌识别准确率不低于99%；</w:t>
            </w:r>
          </w:p>
          <w:p w14:paraId="242ACB31">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5、</w:t>
            </w:r>
            <w:r>
              <w:rPr>
                <w:rFonts w:hint="eastAsia" w:asciiTheme="minorEastAsia" w:hAnsiTheme="minorEastAsia" w:eastAsiaTheme="minorEastAsia" w:cstheme="minorEastAsia"/>
                <w:color w:val="000000"/>
                <w:kern w:val="0"/>
                <w:sz w:val="22"/>
                <w:szCs w:val="22"/>
                <w:highlight w:val="none"/>
              </w:rPr>
              <w:t>▲在满足GA/T 1202-2022一级补光标准，补光≤20lx 的前提下，抓拍图片满足 GA/T 832-2014标准中3.6.1要求。 配套符合GA/T 1202-2022标准的一级补光灯，设备抓拍车牌、车身颜色、车内前排人脸及衣着均清晰可见抓拍图片可看清司乘人员人脸，并能够用于后端人脸比对；</w:t>
            </w:r>
          </w:p>
          <w:p w14:paraId="1AE4A7E5">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6、</w:t>
            </w:r>
            <w:r>
              <w:rPr>
                <w:rFonts w:hint="eastAsia" w:asciiTheme="minorEastAsia" w:hAnsiTheme="minorEastAsia" w:eastAsiaTheme="minorEastAsia" w:cstheme="minorEastAsia"/>
                <w:color w:val="000000"/>
                <w:kern w:val="0"/>
                <w:sz w:val="22"/>
                <w:szCs w:val="22"/>
                <w:highlight w:val="none"/>
              </w:rPr>
              <w:t>▲支持检测并跟踪指定区域内不少于 245 个目标，目标包括机动车、非机动车以及行人；</w:t>
            </w:r>
          </w:p>
          <w:p w14:paraId="68E2F85C">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7、</w:t>
            </w:r>
            <w:r>
              <w:rPr>
                <w:rFonts w:hint="eastAsia" w:asciiTheme="minorEastAsia" w:hAnsiTheme="minorEastAsia" w:eastAsiaTheme="minorEastAsia" w:cstheme="minorEastAsia"/>
                <w:color w:val="000000"/>
                <w:kern w:val="0"/>
                <w:sz w:val="22"/>
                <w:szCs w:val="22"/>
                <w:highlight w:val="none"/>
              </w:rPr>
              <w:t>至少3个RS-485接口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1个RS-232接口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2个RJ45 10M/100M/1000M自适应以太网口；</w:t>
            </w:r>
          </w:p>
          <w:p w14:paraId="0B7EEF5B">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8、</w:t>
            </w:r>
            <w:r>
              <w:rPr>
                <w:rFonts w:hint="eastAsia" w:asciiTheme="minorEastAsia" w:hAnsiTheme="minorEastAsia" w:eastAsiaTheme="minorEastAsia" w:cstheme="minorEastAsia"/>
                <w:color w:val="000000"/>
                <w:kern w:val="0"/>
                <w:sz w:val="22"/>
                <w:szCs w:val="22"/>
                <w:highlight w:val="none"/>
              </w:rPr>
              <w:t>支持远程数据上传，GB/T 28181-2016视频联网标准、GA/T 1400视图库标准、FTP协议，可将抓拍的图片上传给终端服务器、FTP服务器或者后端平台；</w:t>
            </w:r>
          </w:p>
          <w:p w14:paraId="71399314">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9、</w:t>
            </w:r>
            <w:r>
              <w:rPr>
                <w:rFonts w:hint="eastAsia" w:asciiTheme="minorEastAsia" w:hAnsiTheme="minorEastAsia" w:eastAsiaTheme="minorEastAsia" w:cstheme="minorEastAsia"/>
                <w:color w:val="000000"/>
                <w:kern w:val="0"/>
                <w:sz w:val="22"/>
                <w:szCs w:val="22"/>
                <w:highlight w:val="none"/>
              </w:rPr>
              <w:t>支持TF插卡本地存储，可支持</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256G，抓拍图片可断网续传；</w:t>
            </w:r>
          </w:p>
          <w:p w14:paraId="4A674792">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10、</w:t>
            </w:r>
            <w:r>
              <w:rPr>
                <w:rFonts w:hint="eastAsia" w:asciiTheme="minorEastAsia" w:hAnsiTheme="minorEastAsia" w:eastAsiaTheme="minorEastAsia" w:cstheme="minorEastAsia"/>
                <w:color w:val="000000"/>
                <w:kern w:val="0"/>
                <w:sz w:val="22"/>
                <w:szCs w:val="22"/>
                <w:highlight w:val="none"/>
              </w:rPr>
              <w:t>▲支持车辆子品牌识别，对车头图片进行分析抓拍，可分析输出OSD叠加</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7200种车辆子品牌并显示相应的年款，对车尾图片进行分析抓拍，可分析输出 OSD 叠加</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3900 种车辆子品牌并显示相应的年款；</w:t>
            </w:r>
          </w:p>
          <w:p w14:paraId="682123E6">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11、</w:t>
            </w:r>
            <w:r>
              <w:rPr>
                <w:rFonts w:hint="eastAsia" w:asciiTheme="minorEastAsia" w:hAnsiTheme="minorEastAsia" w:eastAsiaTheme="minorEastAsia" w:cstheme="minorEastAsia"/>
                <w:color w:val="000000"/>
                <w:kern w:val="0"/>
                <w:sz w:val="22"/>
                <w:szCs w:val="22"/>
                <w:highlight w:val="none"/>
              </w:rPr>
              <w:t>▲环境温度为25°C时，在正常工作条件、异常工作条件和单一故障条件下，设备可触及的外表面和零部件的接触温度应符合GB16796-2022中表6规定</w:t>
            </w:r>
          </w:p>
          <w:p w14:paraId="5177E301">
            <w:pPr>
              <w:pStyle w:val="4"/>
              <w:widowControl/>
              <w:spacing w:line="360" w:lineRule="auto"/>
              <w:ind w:left="360" w:firstLine="0"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的要求。</w:t>
            </w:r>
          </w:p>
          <w:p w14:paraId="3DD74E6C">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12、</w:t>
            </w:r>
            <w:r>
              <w:rPr>
                <w:rFonts w:hint="eastAsia" w:asciiTheme="minorEastAsia" w:hAnsiTheme="minorEastAsia" w:eastAsiaTheme="minorEastAsia" w:cstheme="minorEastAsia"/>
                <w:color w:val="000000"/>
                <w:kern w:val="0"/>
                <w:sz w:val="22"/>
                <w:szCs w:val="22"/>
                <w:highlight w:val="none"/>
              </w:rPr>
              <w:t>▲设备在正常工作条件、异常工作条件和单一故障条件下，设备可触及部分稳态电压或稳态接触电流的限值之一应符合GB16796-2022中表1的要求。对非正弦的电压和电流应使用表1中的峰值，对正弦的电压和电流应使用表1中的有效值。工作于室外的设备，其电压限值应减半。</w:t>
            </w:r>
          </w:p>
          <w:p w14:paraId="563B7B8F">
            <w:pPr>
              <w:pStyle w:val="4"/>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13、</w:t>
            </w:r>
            <w:r>
              <w:rPr>
                <w:rFonts w:hint="eastAsia" w:asciiTheme="minorEastAsia" w:hAnsiTheme="minorEastAsia" w:eastAsiaTheme="minorEastAsia" w:cstheme="minorEastAsia"/>
                <w:color w:val="000000"/>
                <w:kern w:val="0"/>
                <w:sz w:val="22"/>
                <w:szCs w:val="22"/>
                <w:highlight w:val="none"/>
              </w:rPr>
              <w:t>▲标志不易被擦除，符合G</w:t>
            </w:r>
            <w:r>
              <w:rPr>
                <w:rFonts w:asciiTheme="minorEastAsia" w:hAnsiTheme="minorEastAsia" w:eastAsiaTheme="minorEastAsia" w:cstheme="minorEastAsia"/>
                <w:color w:val="000000"/>
                <w:kern w:val="0"/>
                <w:sz w:val="22"/>
                <w:szCs w:val="22"/>
                <w:highlight w:val="none"/>
              </w:rPr>
              <w:t>B16796-2022</w:t>
            </w:r>
            <w:r>
              <w:rPr>
                <w:rFonts w:hint="eastAsia" w:asciiTheme="minorEastAsia" w:hAnsiTheme="minorEastAsia" w:eastAsiaTheme="minorEastAsia" w:cstheme="minorEastAsia"/>
                <w:color w:val="000000"/>
                <w:kern w:val="0"/>
                <w:sz w:val="22"/>
                <w:szCs w:val="22"/>
                <w:highlight w:val="none"/>
              </w:rPr>
              <w:t>《安全防范报警设备 安全要求和实验方法》第1</w:t>
            </w:r>
            <w:r>
              <w:rPr>
                <w:rFonts w:asciiTheme="minorEastAsia" w:hAnsiTheme="minorEastAsia" w:eastAsiaTheme="minorEastAsia" w:cstheme="minorEastAsia"/>
                <w:color w:val="000000"/>
                <w:kern w:val="0"/>
                <w:sz w:val="22"/>
                <w:szCs w:val="22"/>
                <w:highlight w:val="none"/>
              </w:rPr>
              <w:t>1.1.3</w:t>
            </w:r>
            <w:r>
              <w:rPr>
                <w:rFonts w:hint="eastAsia" w:asciiTheme="minorEastAsia" w:hAnsiTheme="minorEastAsia" w:eastAsiaTheme="minorEastAsia" w:cstheme="minorEastAsia"/>
                <w:color w:val="000000"/>
                <w:kern w:val="0"/>
                <w:sz w:val="22"/>
                <w:szCs w:val="22"/>
                <w:highlight w:val="none"/>
              </w:rPr>
              <w:t>项</w:t>
            </w:r>
          </w:p>
        </w:tc>
        <w:tc>
          <w:tcPr>
            <w:tcW w:w="926" w:type="dxa"/>
            <w:tcBorders>
              <w:top w:val="nil"/>
              <w:left w:val="nil"/>
              <w:bottom w:val="single" w:color="auto" w:sz="4" w:space="0"/>
              <w:right w:val="single" w:color="auto" w:sz="4" w:space="0"/>
            </w:tcBorders>
            <w:shd w:val="clear" w:color="auto" w:fill="auto"/>
            <w:vAlign w:val="center"/>
          </w:tcPr>
          <w:p w14:paraId="2C0CC7A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3FF9CB0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2E4171F3">
        <w:tblPrEx>
          <w:tblCellMar>
            <w:top w:w="0" w:type="dxa"/>
            <w:left w:w="108" w:type="dxa"/>
            <w:bottom w:w="0" w:type="dxa"/>
            <w:right w:w="108" w:type="dxa"/>
          </w:tblCellMar>
        </w:tblPrEx>
        <w:trPr>
          <w:trHeight w:val="14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93F506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b/>
                <w:bCs/>
                <w:kern w:val="0"/>
                <w:sz w:val="22"/>
                <w:szCs w:val="22"/>
                <w:highlight w:val="none"/>
              </w:rPr>
              <w:t>1.2</w:t>
            </w:r>
          </w:p>
        </w:tc>
        <w:tc>
          <w:tcPr>
            <w:tcW w:w="989" w:type="dxa"/>
            <w:tcBorders>
              <w:top w:val="nil"/>
              <w:left w:val="nil"/>
              <w:bottom w:val="single" w:color="auto" w:sz="4" w:space="0"/>
              <w:right w:val="single" w:color="auto" w:sz="4" w:space="0"/>
            </w:tcBorders>
            <w:shd w:val="clear" w:color="auto" w:fill="auto"/>
            <w:vAlign w:val="center"/>
          </w:tcPr>
          <w:p w14:paraId="009283E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网络配电箱</w:t>
            </w:r>
          </w:p>
        </w:tc>
        <w:tc>
          <w:tcPr>
            <w:tcW w:w="5581" w:type="dxa"/>
            <w:tcBorders>
              <w:top w:val="nil"/>
              <w:left w:val="nil"/>
              <w:bottom w:val="single" w:color="auto" w:sz="4" w:space="0"/>
              <w:right w:val="single" w:color="auto" w:sz="4" w:space="0"/>
            </w:tcBorders>
            <w:shd w:val="clear" w:color="auto" w:fill="auto"/>
            <w:vAlign w:val="center"/>
          </w:tcPr>
          <w:p w14:paraId="4AF55DD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1、220V/2kW；进线：16A/2P漏电保护微断开关，防雷模块；出线：5*10A/1P微断开关，≥5口国标插排；</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2、12芯光缆终端模块（含LC尾纤）；</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3、预留网络交换机安装模块；</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4、防雷接地。</w:t>
            </w:r>
          </w:p>
        </w:tc>
        <w:tc>
          <w:tcPr>
            <w:tcW w:w="926" w:type="dxa"/>
            <w:tcBorders>
              <w:top w:val="nil"/>
              <w:left w:val="nil"/>
              <w:bottom w:val="single" w:color="auto" w:sz="4" w:space="0"/>
              <w:right w:val="single" w:color="auto" w:sz="4" w:space="0"/>
            </w:tcBorders>
            <w:shd w:val="clear" w:color="auto" w:fill="auto"/>
            <w:vAlign w:val="center"/>
          </w:tcPr>
          <w:p w14:paraId="3437ED8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0A0851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0994723">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26FAAB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1.3</w:t>
            </w:r>
          </w:p>
        </w:tc>
        <w:tc>
          <w:tcPr>
            <w:tcW w:w="989" w:type="dxa"/>
            <w:tcBorders>
              <w:top w:val="nil"/>
              <w:left w:val="nil"/>
              <w:bottom w:val="single" w:color="auto" w:sz="4" w:space="0"/>
              <w:right w:val="single" w:color="auto" w:sz="4" w:space="0"/>
            </w:tcBorders>
            <w:shd w:val="clear" w:color="auto" w:fill="auto"/>
            <w:vAlign w:val="center"/>
          </w:tcPr>
          <w:p w14:paraId="10BD7FE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杆件</w:t>
            </w:r>
          </w:p>
        </w:tc>
        <w:tc>
          <w:tcPr>
            <w:tcW w:w="5581" w:type="dxa"/>
            <w:tcBorders>
              <w:top w:val="nil"/>
              <w:left w:val="nil"/>
              <w:bottom w:val="single" w:color="auto" w:sz="4" w:space="0"/>
              <w:right w:val="single" w:color="auto" w:sz="4" w:space="0"/>
            </w:tcBorders>
            <w:shd w:val="clear" w:color="auto" w:fill="auto"/>
            <w:vAlign w:val="center"/>
          </w:tcPr>
          <w:p w14:paraId="1FC0828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6*4米，立杆150*190*6含滑槽 横臂90*120*4 底法兰450*20 热镀锌喷塑</w:t>
            </w:r>
          </w:p>
        </w:tc>
        <w:tc>
          <w:tcPr>
            <w:tcW w:w="926" w:type="dxa"/>
            <w:tcBorders>
              <w:top w:val="nil"/>
              <w:left w:val="nil"/>
              <w:bottom w:val="single" w:color="auto" w:sz="4" w:space="0"/>
              <w:right w:val="single" w:color="auto" w:sz="4" w:space="0"/>
            </w:tcBorders>
            <w:shd w:val="clear" w:color="auto" w:fill="auto"/>
            <w:vAlign w:val="center"/>
          </w:tcPr>
          <w:p w14:paraId="50C4967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7F6C70E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根</w:t>
            </w:r>
          </w:p>
        </w:tc>
      </w:tr>
      <w:tr w14:paraId="101BA88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73B5757">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1.4</w:t>
            </w:r>
          </w:p>
        </w:tc>
        <w:tc>
          <w:tcPr>
            <w:tcW w:w="989" w:type="dxa"/>
            <w:tcBorders>
              <w:top w:val="nil"/>
              <w:left w:val="nil"/>
              <w:bottom w:val="single" w:color="auto" w:sz="4" w:space="0"/>
              <w:right w:val="single" w:color="auto" w:sz="4" w:space="0"/>
            </w:tcBorders>
            <w:shd w:val="clear" w:color="auto" w:fill="auto"/>
            <w:vAlign w:val="center"/>
          </w:tcPr>
          <w:p w14:paraId="6AE9A039">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地笼</w:t>
            </w:r>
          </w:p>
        </w:tc>
        <w:tc>
          <w:tcPr>
            <w:tcW w:w="5581" w:type="dxa"/>
            <w:tcBorders>
              <w:top w:val="nil"/>
              <w:left w:val="nil"/>
              <w:bottom w:val="single" w:color="auto" w:sz="4" w:space="0"/>
              <w:right w:val="single" w:color="auto" w:sz="4" w:space="0"/>
            </w:tcBorders>
            <w:shd w:val="clear" w:color="auto" w:fill="auto"/>
            <w:vAlign w:val="center"/>
          </w:tcPr>
          <w:p w14:paraId="7766FC0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500*5，M24*1300-6</w:t>
            </w:r>
          </w:p>
        </w:tc>
        <w:tc>
          <w:tcPr>
            <w:tcW w:w="926" w:type="dxa"/>
            <w:tcBorders>
              <w:top w:val="nil"/>
              <w:left w:val="nil"/>
              <w:bottom w:val="single" w:color="auto" w:sz="4" w:space="0"/>
              <w:right w:val="single" w:color="auto" w:sz="4" w:space="0"/>
            </w:tcBorders>
            <w:shd w:val="clear" w:color="auto" w:fill="auto"/>
            <w:vAlign w:val="center"/>
          </w:tcPr>
          <w:p w14:paraId="20762DB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02EEC9F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87CAAB2">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7DC54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1.5</w:t>
            </w:r>
          </w:p>
        </w:tc>
        <w:tc>
          <w:tcPr>
            <w:tcW w:w="989" w:type="dxa"/>
            <w:tcBorders>
              <w:top w:val="nil"/>
              <w:left w:val="nil"/>
              <w:bottom w:val="single" w:color="auto" w:sz="4" w:space="0"/>
              <w:right w:val="single" w:color="auto" w:sz="4" w:space="0"/>
            </w:tcBorders>
            <w:shd w:val="clear" w:color="auto" w:fill="auto"/>
            <w:vAlign w:val="center"/>
          </w:tcPr>
          <w:p w14:paraId="6EB8156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基础开挖</w:t>
            </w:r>
          </w:p>
        </w:tc>
        <w:tc>
          <w:tcPr>
            <w:tcW w:w="5581" w:type="dxa"/>
            <w:tcBorders>
              <w:top w:val="nil"/>
              <w:left w:val="nil"/>
              <w:bottom w:val="single" w:color="auto" w:sz="4" w:space="0"/>
              <w:right w:val="single" w:color="auto" w:sz="4" w:space="0"/>
            </w:tcBorders>
            <w:shd w:val="clear" w:color="auto" w:fill="auto"/>
            <w:vAlign w:val="center"/>
          </w:tcPr>
          <w:p w14:paraId="246BDB38">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1.2*1.2*1.4m</w:t>
            </w:r>
          </w:p>
        </w:tc>
        <w:tc>
          <w:tcPr>
            <w:tcW w:w="926" w:type="dxa"/>
            <w:tcBorders>
              <w:top w:val="nil"/>
              <w:left w:val="nil"/>
              <w:bottom w:val="single" w:color="auto" w:sz="4" w:space="0"/>
              <w:right w:val="single" w:color="auto" w:sz="4" w:space="0"/>
            </w:tcBorders>
            <w:shd w:val="clear" w:color="auto" w:fill="auto"/>
            <w:vAlign w:val="center"/>
          </w:tcPr>
          <w:p w14:paraId="253AAF9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2.016</w:t>
            </w:r>
          </w:p>
        </w:tc>
        <w:tc>
          <w:tcPr>
            <w:tcW w:w="558" w:type="dxa"/>
            <w:tcBorders>
              <w:top w:val="nil"/>
              <w:left w:val="nil"/>
              <w:bottom w:val="single" w:color="auto" w:sz="4" w:space="0"/>
              <w:right w:val="single" w:color="auto" w:sz="4" w:space="0"/>
            </w:tcBorders>
            <w:shd w:val="clear" w:color="auto" w:fill="auto"/>
            <w:vAlign w:val="center"/>
          </w:tcPr>
          <w:p w14:paraId="4E88ED2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225F7627">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5B3A10">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1.6</w:t>
            </w:r>
          </w:p>
        </w:tc>
        <w:tc>
          <w:tcPr>
            <w:tcW w:w="989" w:type="dxa"/>
            <w:tcBorders>
              <w:top w:val="nil"/>
              <w:left w:val="nil"/>
              <w:bottom w:val="single" w:color="auto" w:sz="4" w:space="0"/>
              <w:right w:val="single" w:color="auto" w:sz="4" w:space="0"/>
            </w:tcBorders>
            <w:shd w:val="clear" w:color="auto" w:fill="auto"/>
            <w:vAlign w:val="center"/>
          </w:tcPr>
          <w:p w14:paraId="798A1AE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商混</w:t>
            </w:r>
          </w:p>
        </w:tc>
        <w:tc>
          <w:tcPr>
            <w:tcW w:w="5581" w:type="dxa"/>
            <w:tcBorders>
              <w:top w:val="nil"/>
              <w:left w:val="nil"/>
              <w:bottom w:val="single" w:color="auto" w:sz="4" w:space="0"/>
              <w:right w:val="single" w:color="auto" w:sz="4" w:space="0"/>
            </w:tcBorders>
            <w:shd w:val="clear" w:color="auto" w:fill="auto"/>
            <w:vAlign w:val="center"/>
          </w:tcPr>
          <w:p w14:paraId="4F80B56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商品混凝土C25</w:t>
            </w:r>
          </w:p>
        </w:tc>
        <w:tc>
          <w:tcPr>
            <w:tcW w:w="926" w:type="dxa"/>
            <w:tcBorders>
              <w:top w:val="nil"/>
              <w:left w:val="nil"/>
              <w:bottom w:val="single" w:color="auto" w:sz="4" w:space="0"/>
              <w:right w:val="single" w:color="auto" w:sz="4" w:space="0"/>
            </w:tcBorders>
            <w:shd w:val="clear" w:color="auto" w:fill="auto"/>
            <w:vAlign w:val="center"/>
          </w:tcPr>
          <w:p w14:paraId="297332E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2.016</w:t>
            </w:r>
          </w:p>
        </w:tc>
        <w:tc>
          <w:tcPr>
            <w:tcW w:w="558" w:type="dxa"/>
            <w:tcBorders>
              <w:top w:val="nil"/>
              <w:left w:val="nil"/>
              <w:bottom w:val="single" w:color="auto" w:sz="4" w:space="0"/>
              <w:right w:val="single" w:color="auto" w:sz="4" w:space="0"/>
            </w:tcBorders>
            <w:shd w:val="clear" w:color="auto" w:fill="auto"/>
            <w:vAlign w:val="center"/>
          </w:tcPr>
          <w:p w14:paraId="5B985D2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5407A317">
        <w:tblPrEx>
          <w:tblCellMar>
            <w:top w:w="0" w:type="dxa"/>
            <w:left w:w="108" w:type="dxa"/>
            <w:bottom w:w="0" w:type="dxa"/>
            <w:right w:w="108" w:type="dxa"/>
          </w:tblCellMar>
        </w:tblPrEx>
        <w:trPr>
          <w:trHeight w:val="177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E76B94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w:t>
            </w:r>
          </w:p>
        </w:tc>
        <w:tc>
          <w:tcPr>
            <w:tcW w:w="989" w:type="dxa"/>
            <w:tcBorders>
              <w:top w:val="nil"/>
              <w:left w:val="nil"/>
              <w:bottom w:val="single" w:color="auto" w:sz="4" w:space="0"/>
              <w:right w:val="single" w:color="auto" w:sz="4" w:space="0"/>
            </w:tcBorders>
            <w:shd w:val="clear" w:color="auto" w:fill="auto"/>
            <w:vAlign w:val="center"/>
          </w:tcPr>
          <w:p w14:paraId="1B2FDA42">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多合一补光灯</w:t>
            </w:r>
          </w:p>
        </w:tc>
        <w:tc>
          <w:tcPr>
            <w:tcW w:w="5581" w:type="dxa"/>
            <w:tcBorders>
              <w:top w:val="nil"/>
              <w:left w:val="nil"/>
              <w:bottom w:val="single" w:color="auto" w:sz="4" w:space="0"/>
              <w:right w:val="single" w:color="auto" w:sz="4" w:space="0"/>
            </w:tcBorders>
            <w:shd w:val="clear" w:color="auto" w:fill="auto"/>
            <w:vAlign w:val="center"/>
          </w:tcPr>
          <w:p w14:paraId="40D73C5A">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1、小功率气体补光灯，用于牌识系统及出入口系统中，白天可看清前排司乘人员面部特征；</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2、回电时间＜400ms，兼容开关量及低电平触发；</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3、有效补光距离4m～10m；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4、工作环境-25～+60℃；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5、闪光次数≥2000万次；</w:t>
            </w:r>
          </w:p>
        </w:tc>
        <w:tc>
          <w:tcPr>
            <w:tcW w:w="926" w:type="dxa"/>
            <w:tcBorders>
              <w:top w:val="nil"/>
              <w:left w:val="nil"/>
              <w:bottom w:val="single" w:color="auto" w:sz="4" w:space="0"/>
              <w:right w:val="single" w:color="auto" w:sz="4" w:space="0"/>
            </w:tcBorders>
            <w:shd w:val="clear" w:color="auto" w:fill="auto"/>
            <w:vAlign w:val="center"/>
          </w:tcPr>
          <w:p w14:paraId="2330DA0A">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558" w:type="dxa"/>
            <w:tcBorders>
              <w:top w:val="nil"/>
              <w:left w:val="nil"/>
              <w:bottom w:val="single" w:color="auto" w:sz="4" w:space="0"/>
              <w:right w:val="single" w:color="auto" w:sz="4" w:space="0"/>
            </w:tcBorders>
            <w:shd w:val="clear" w:color="auto" w:fill="auto"/>
            <w:vAlign w:val="center"/>
          </w:tcPr>
          <w:p w14:paraId="13823C7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4B8D6147">
        <w:tblPrEx>
          <w:tblCellMar>
            <w:top w:w="0" w:type="dxa"/>
            <w:left w:w="108" w:type="dxa"/>
            <w:bottom w:w="0" w:type="dxa"/>
            <w:right w:w="108" w:type="dxa"/>
          </w:tblCellMar>
        </w:tblPrEx>
        <w:trPr>
          <w:trHeight w:val="4682"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6E77A2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w:t>
            </w:r>
          </w:p>
        </w:tc>
        <w:tc>
          <w:tcPr>
            <w:tcW w:w="989" w:type="dxa"/>
            <w:tcBorders>
              <w:top w:val="nil"/>
              <w:left w:val="nil"/>
              <w:bottom w:val="single" w:color="auto" w:sz="4" w:space="0"/>
              <w:right w:val="single" w:color="auto" w:sz="4" w:space="0"/>
            </w:tcBorders>
            <w:shd w:val="clear" w:color="auto" w:fill="auto"/>
            <w:vAlign w:val="center"/>
          </w:tcPr>
          <w:p w14:paraId="1447A18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智能分析服务器终端</w:t>
            </w:r>
          </w:p>
        </w:tc>
        <w:tc>
          <w:tcPr>
            <w:tcW w:w="5581" w:type="dxa"/>
            <w:tcBorders>
              <w:top w:val="nil"/>
              <w:left w:val="nil"/>
              <w:bottom w:val="single" w:color="auto" w:sz="4" w:space="0"/>
              <w:right w:val="single" w:color="auto" w:sz="4" w:space="0"/>
            </w:tcBorders>
            <w:shd w:val="clear" w:color="auto" w:fill="auto"/>
            <w:vAlign w:val="center"/>
          </w:tcPr>
          <w:p w14:paraId="7A3C21F4">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1、支持对接入的视频进行车辆捕获、车牌识别、车辆特征识别、人体捕获、目标抓拍和人体属性识别。</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2、支持≥4路</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1080P网络相机视频接入分析。</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3、支持RTSP、ONVIF和GB28181方式接入相机或者NVR视频资源。</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4、支持GB1400、FTP上传图片数据。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5、支持RTSP、ONVIF、GB28181上传视频数据。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6、支持抓拍图片独立配置字符叠加功能。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7、支持GB35114协议。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8、支持车牌黑白名单比对功能，最大支持不小于10万条记录。</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9、内置不小于32G存储卡，支持图片录像本地存储与查询。</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10、至少3个RJ45 百兆千兆自适应以太网口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1个RS232接口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1个485接口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 xml:space="preserve">1个USB </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3.0</w:t>
            </w:r>
            <w:r>
              <w:rPr>
                <w:rFonts w:hint="eastAsia" w:asciiTheme="minorEastAsia" w:hAnsiTheme="minorEastAsia" w:eastAsiaTheme="minorEastAsia" w:cstheme="minorEastAsia"/>
                <w:color w:val="000000"/>
                <w:kern w:val="0"/>
                <w:sz w:val="22"/>
                <w:szCs w:val="22"/>
                <w:highlight w:val="none"/>
                <w:lang w:val="en-US" w:eastAsia="zh-CN"/>
              </w:rPr>
              <w:t>及以上</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接口</w:t>
            </w:r>
          </w:p>
        </w:tc>
        <w:tc>
          <w:tcPr>
            <w:tcW w:w="926" w:type="dxa"/>
            <w:tcBorders>
              <w:top w:val="nil"/>
              <w:left w:val="nil"/>
              <w:bottom w:val="single" w:color="auto" w:sz="4" w:space="0"/>
              <w:right w:val="single" w:color="auto" w:sz="4" w:space="0"/>
            </w:tcBorders>
            <w:shd w:val="clear" w:color="auto" w:fill="auto"/>
            <w:vAlign w:val="center"/>
          </w:tcPr>
          <w:p w14:paraId="38B75A25">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32</w:t>
            </w:r>
          </w:p>
        </w:tc>
        <w:tc>
          <w:tcPr>
            <w:tcW w:w="558" w:type="dxa"/>
            <w:tcBorders>
              <w:top w:val="nil"/>
              <w:left w:val="nil"/>
              <w:bottom w:val="single" w:color="auto" w:sz="4" w:space="0"/>
              <w:right w:val="single" w:color="auto" w:sz="4" w:space="0"/>
            </w:tcBorders>
            <w:shd w:val="clear" w:color="auto" w:fill="auto"/>
            <w:vAlign w:val="center"/>
          </w:tcPr>
          <w:p w14:paraId="56B6E97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1027F926">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7450EAA">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w:t>
            </w:r>
          </w:p>
        </w:tc>
        <w:tc>
          <w:tcPr>
            <w:tcW w:w="989" w:type="dxa"/>
            <w:tcBorders>
              <w:top w:val="nil"/>
              <w:left w:val="nil"/>
              <w:bottom w:val="single" w:color="auto" w:sz="4" w:space="0"/>
              <w:right w:val="single" w:color="auto" w:sz="4" w:space="0"/>
            </w:tcBorders>
            <w:shd w:val="clear" w:color="auto" w:fill="auto"/>
            <w:vAlign w:val="center"/>
          </w:tcPr>
          <w:p w14:paraId="11D9588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接入交换机</w:t>
            </w:r>
          </w:p>
        </w:tc>
        <w:tc>
          <w:tcPr>
            <w:tcW w:w="5581" w:type="dxa"/>
            <w:tcBorders>
              <w:top w:val="nil"/>
              <w:left w:val="nil"/>
              <w:bottom w:val="single" w:color="auto" w:sz="4" w:space="0"/>
              <w:right w:val="single" w:color="auto" w:sz="4" w:space="0"/>
            </w:tcBorders>
            <w:shd w:val="clear" w:color="auto" w:fill="auto"/>
            <w:vAlign w:val="center"/>
          </w:tcPr>
          <w:p w14:paraId="59194B3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1、接口不少于8口千兆交换机；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2、交换容量不低于1.6Gbps；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3、包转发率不小于1.2Mpps；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4、坚固式高强度金属外壳。</w:t>
            </w:r>
          </w:p>
        </w:tc>
        <w:tc>
          <w:tcPr>
            <w:tcW w:w="926" w:type="dxa"/>
            <w:tcBorders>
              <w:top w:val="nil"/>
              <w:left w:val="nil"/>
              <w:bottom w:val="single" w:color="auto" w:sz="4" w:space="0"/>
              <w:right w:val="single" w:color="auto" w:sz="4" w:space="0"/>
            </w:tcBorders>
            <w:shd w:val="clear" w:color="auto" w:fill="auto"/>
            <w:vAlign w:val="center"/>
          </w:tcPr>
          <w:p w14:paraId="55D9A15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70</w:t>
            </w:r>
          </w:p>
        </w:tc>
        <w:tc>
          <w:tcPr>
            <w:tcW w:w="558" w:type="dxa"/>
            <w:tcBorders>
              <w:top w:val="nil"/>
              <w:left w:val="nil"/>
              <w:bottom w:val="single" w:color="auto" w:sz="4" w:space="0"/>
              <w:right w:val="single" w:color="auto" w:sz="4" w:space="0"/>
            </w:tcBorders>
            <w:shd w:val="clear" w:color="auto" w:fill="auto"/>
            <w:vAlign w:val="center"/>
          </w:tcPr>
          <w:p w14:paraId="3CE7BCE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263C1AF">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2B95E2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w:t>
            </w:r>
          </w:p>
        </w:tc>
        <w:tc>
          <w:tcPr>
            <w:tcW w:w="989" w:type="dxa"/>
            <w:tcBorders>
              <w:top w:val="nil"/>
              <w:left w:val="nil"/>
              <w:bottom w:val="single" w:color="auto" w:sz="4" w:space="0"/>
              <w:right w:val="single" w:color="auto" w:sz="4" w:space="0"/>
            </w:tcBorders>
            <w:shd w:val="clear" w:color="auto" w:fill="auto"/>
            <w:vAlign w:val="center"/>
          </w:tcPr>
          <w:p w14:paraId="365DDC32">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全点阵屏</w:t>
            </w:r>
          </w:p>
        </w:tc>
        <w:tc>
          <w:tcPr>
            <w:tcW w:w="5581" w:type="dxa"/>
            <w:tcBorders>
              <w:top w:val="nil"/>
              <w:left w:val="nil"/>
              <w:bottom w:val="single" w:color="auto" w:sz="4" w:space="0"/>
              <w:right w:val="single" w:color="auto" w:sz="4" w:space="0"/>
            </w:tcBorders>
            <w:shd w:val="clear" w:color="auto" w:fill="auto"/>
            <w:vAlign w:val="center"/>
          </w:tcPr>
          <w:p w14:paraId="201C38A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P10全彩交通诱导屏（2.88*2.72m），详见参数5.1-5.7</w:t>
            </w:r>
          </w:p>
        </w:tc>
        <w:tc>
          <w:tcPr>
            <w:tcW w:w="926" w:type="dxa"/>
            <w:tcBorders>
              <w:top w:val="nil"/>
              <w:left w:val="nil"/>
              <w:bottom w:val="single" w:color="auto" w:sz="4" w:space="0"/>
              <w:right w:val="single" w:color="auto" w:sz="4" w:space="0"/>
            </w:tcBorders>
            <w:shd w:val="clear" w:color="auto" w:fill="auto"/>
            <w:vAlign w:val="center"/>
          </w:tcPr>
          <w:p w14:paraId="37B1922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3A3FB60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B4B1735">
        <w:tblPrEx>
          <w:tblCellMar>
            <w:top w:w="0" w:type="dxa"/>
            <w:left w:w="108" w:type="dxa"/>
            <w:bottom w:w="0" w:type="dxa"/>
            <w:right w:w="108" w:type="dxa"/>
          </w:tblCellMar>
        </w:tblPrEx>
        <w:trPr>
          <w:trHeight w:val="908"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EF649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5.1</w:t>
            </w:r>
          </w:p>
        </w:tc>
        <w:tc>
          <w:tcPr>
            <w:tcW w:w="989" w:type="dxa"/>
            <w:tcBorders>
              <w:top w:val="nil"/>
              <w:left w:val="nil"/>
              <w:bottom w:val="single" w:color="auto" w:sz="4" w:space="0"/>
              <w:right w:val="single" w:color="auto" w:sz="4" w:space="0"/>
            </w:tcBorders>
            <w:shd w:val="clear" w:color="auto" w:fill="auto"/>
            <w:vAlign w:val="center"/>
          </w:tcPr>
          <w:p w14:paraId="299BF5C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LED显示屏</w:t>
            </w:r>
          </w:p>
        </w:tc>
        <w:tc>
          <w:tcPr>
            <w:tcW w:w="5581" w:type="dxa"/>
            <w:tcBorders>
              <w:top w:val="nil"/>
              <w:left w:val="nil"/>
              <w:bottom w:val="single" w:color="auto" w:sz="4" w:space="0"/>
              <w:right w:val="single" w:color="auto" w:sz="4" w:space="0"/>
            </w:tcBorders>
            <w:shd w:val="clear" w:color="auto" w:fill="auto"/>
            <w:vAlign w:val="center"/>
          </w:tcPr>
          <w:p w14:paraId="12E762D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 xml:space="preserve">全点阵屏 </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P10全彩诱导屏（2.88*2.72m）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 像素间距 10mm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 像素组成 1R1G1B 全彩</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 像素密度 10000 点 /㎡</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 模组尺寸 320mm × 160mm（标准模组）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 白平衡亮度 ≥8000 cd/㎡（交通级高亮）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 亮度调节范围 50–8000 cd/㎡，支持自动 / 手动调节</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 对比度 ≥1000:1</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 水平视角 ≥100°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 垂直视角 ≥50°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 刷新率 ≥1920Hz（防监控摄像头水波纹）</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11 灰度等级≥16bit，支持≥65536 级灰度</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12 色温 3000–9500K 可调</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13 显示颜色 ≥1677 万色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14 工作环境温度 -30℃ ~ +60℃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15 相对湿度 10% ~ 95% RH（无凝露）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16 供电方式 AC220V ±15%，50Hz</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17 平均无故障时间 ≥100000 小时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18 使用寿命 ≥100000 小时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19 系统控制方式 同步 / 异步双控，支持远程在线控制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20 通讯方式 支持光纤 / 以太网 / 4G/5G 可选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 显示内容 支持文字、图片、动画、视频、交通标志等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22 防雷等级 电源及信号端口均满足二级防雷标准</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23 接地电阻 ≤4Ω</w:t>
            </w:r>
          </w:p>
        </w:tc>
        <w:tc>
          <w:tcPr>
            <w:tcW w:w="926" w:type="dxa"/>
            <w:tcBorders>
              <w:top w:val="nil"/>
              <w:left w:val="nil"/>
              <w:bottom w:val="single" w:color="auto" w:sz="4" w:space="0"/>
              <w:right w:val="single" w:color="auto" w:sz="4" w:space="0"/>
            </w:tcBorders>
            <w:shd w:val="clear" w:color="auto" w:fill="auto"/>
            <w:vAlign w:val="center"/>
          </w:tcPr>
          <w:p w14:paraId="3909708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1A29028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1872482D">
        <w:tblPrEx>
          <w:tblCellMar>
            <w:top w:w="0" w:type="dxa"/>
            <w:left w:w="108" w:type="dxa"/>
            <w:bottom w:w="0" w:type="dxa"/>
            <w:right w:w="108" w:type="dxa"/>
          </w:tblCellMar>
        </w:tblPrEx>
        <w:trPr>
          <w:trHeight w:val="672"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82F629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5.2</w:t>
            </w:r>
          </w:p>
        </w:tc>
        <w:tc>
          <w:tcPr>
            <w:tcW w:w="989" w:type="dxa"/>
            <w:tcBorders>
              <w:top w:val="nil"/>
              <w:left w:val="nil"/>
              <w:bottom w:val="single" w:color="auto" w:sz="4" w:space="0"/>
              <w:right w:val="single" w:color="auto" w:sz="4" w:space="0"/>
            </w:tcBorders>
            <w:shd w:val="clear" w:color="auto" w:fill="auto"/>
            <w:vAlign w:val="center"/>
          </w:tcPr>
          <w:p w14:paraId="5F01D66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控制器</w:t>
            </w:r>
          </w:p>
        </w:tc>
        <w:tc>
          <w:tcPr>
            <w:tcW w:w="5581" w:type="dxa"/>
            <w:tcBorders>
              <w:top w:val="nil"/>
              <w:left w:val="nil"/>
              <w:bottom w:val="single" w:color="auto" w:sz="4" w:space="0"/>
              <w:right w:val="single" w:color="auto" w:sz="4" w:space="0"/>
            </w:tcBorders>
            <w:shd w:val="clear" w:color="auto" w:fill="auto"/>
            <w:vAlign w:val="center"/>
          </w:tcPr>
          <w:p w14:paraId="5AC83E4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1、适用于中小型全彩屏。最大带载</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65万点，最高</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2048点，不折行超长带载7968点；≥1个千兆网口输出；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2、硬件配置：≥1.2GHz双核处理器，≥4GByte存储容量，支持USB扩展至</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256GB。支持</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1080P高清硬解码播放，支持H.265超强视频解码；≥1路AUDIO音频输出；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3、支持各种LED驱动芯片和译码芯片，支持静态至1/128扫描之间的任意扫描类型。支持SM16188B模组；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4、板载通讯接口：</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100M</w:t>
            </w:r>
            <w:r>
              <w:rPr>
                <w:rFonts w:hint="eastAsia" w:asciiTheme="minorEastAsia" w:hAnsiTheme="minorEastAsia" w:eastAsiaTheme="minorEastAsia" w:cstheme="minorEastAsia"/>
                <w:color w:val="000000"/>
                <w:kern w:val="0"/>
                <w:sz w:val="22"/>
                <w:szCs w:val="22"/>
                <w:highlight w:val="none"/>
                <w:lang w:val="en-US" w:eastAsia="zh-CN"/>
              </w:rPr>
              <w:t>的</w:t>
            </w:r>
            <w:r>
              <w:rPr>
                <w:rFonts w:hint="eastAsia" w:asciiTheme="minorEastAsia" w:hAnsiTheme="minorEastAsia" w:eastAsiaTheme="minorEastAsia" w:cstheme="minorEastAsia"/>
                <w:color w:val="000000"/>
                <w:kern w:val="0"/>
                <w:sz w:val="22"/>
                <w:szCs w:val="22"/>
                <w:highlight w:val="none"/>
              </w:rPr>
              <w:t>网口+USB接口+WiFi接口+4G接口+GPS接口</w:t>
            </w:r>
            <w:r>
              <w:rPr>
                <w:rFonts w:hint="eastAsia" w:asciiTheme="minorEastAsia" w:hAnsiTheme="minorEastAsia" w:eastAsiaTheme="minorEastAsia" w:cstheme="minorEastAsia"/>
                <w:color w:val="000000"/>
                <w:kern w:val="0"/>
                <w:sz w:val="22"/>
                <w:szCs w:val="22"/>
                <w:highlight w:val="none"/>
                <w:lang w:val="en-US" w:eastAsia="zh-CN"/>
              </w:rPr>
              <w:t>等</w:t>
            </w:r>
            <w:r>
              <w:rPr>
                <w:rFonts w:hint="eastAsia" w:asciiTheme="minorEastAsia" w:hAnsiTheme="minorEastAsia" w:eastAsiaTheme="minorEastAsia" w:cstheme="minorEastAsia"/>
                <w:color w:val="000000"/>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5、标配亮度、温度、温湿度传感器接口；独立GPS接口，支持校时、定位和测速；</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16级亮度调整，支持三种亮度调整模式：手动调亮、分时段自动调亮和环境自适应调亮；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7、支持网口单机直连、局域网和互联网通讯。标配无线wifi，支持手机APP，满足无线局域网应用；选配4G，选配GPS；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8、支持网络自检功能。支持IP在线配置和群组设置，MAC冲突和IP冲突自动检测；</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9、支持MQTT协议，无缝链接物联网平台；</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10、内置LINUX系统。更稳定，更安全；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11、适配国产操作系统，支持TiDB国产数据库；</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12、节目数量不限。支持节目任意位置开窗分区，支持32个区域，特殊需求可定制扩展。支持天气区、图文区、字幕区、视频区、农历区、时间区、模拟表盘、正负计时、传感器区、动态区、网络数据分区等；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13、支持区域炫彩边框、炫彩字幕和炫动背景；移动速度任意调节。画面移动平滑流畅，左移速度可达≥600点/秒；支持≥32bit真彩OSD，实现视频区和图文区叠加播放，≥256级透明显示；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14、支持节目顺序播放、节目定时播放；支持紧急通知；支持≥32个动态区域，支持信息实时刷新； 支持NTP校时功能，精准同步时间；</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15、支持国内国外天气预报自动更新。国外超过21000个城市，国内支持到所有县区；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16、支持多屏同步、背景音乐、日志记录、截屏监视等功能；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17、支持网络数据分区功能，通过服务器端URL并指定字段，动态获取JSON文件数据和JSON字段值；</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18、支持对播放器设置通讯密码； 支持SSL/TLS加密协议，保障通讯信息安全。支持数字签名认证技术，保障素材传输正确和安全；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19、支持配置参数回读、工厂复位、固件升级功能，支持远程维护LED显示屏；极大方便系统维护和功能升级，为客户有效节约成本，降低项目风险；</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20、强大的二次开发配套能力。提供支持WINDOWS/LINUX/ANDROID/iOS 等主要操作系统的二次开发包，包括各种动态库、通讯协议、测试例程等 支持JAVA/C/C++/C#/Delphi等主流编程语言，支持用户在各种平台进行二次开发，最大程度满足用户的个性化定制。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专业级的云应用和信息安全管控。提供配套的专业级云平台发布软件和手机App，通过国家信息安全等级保护三级认证；具备用户实名认证、多级角色权限管理、节目编辑/审核/发布、显示屏自适应节目发布等功能；具备远程LED显示屏管理功能、显示屏状态监测功能；具备节目发布报表生成、屏幕信息在线监控、应急多级审核机制的信息安全保障功能。</w:t>
            </w:r>
          </w:p>
        </w:tc>
        <w:tc>
          <w:tcPr>
            <w:tcW w:w="926" w:type="dxa"/>
            <w:tcBorders>
              <w:top w:val="nil"/>
              <w:left w:val="nil"/>
              <w:bottom w:val="single" w:color="auto" w:sz="4" w:space="0"/>
              <w:right w:val="single" w:color="auto" w:sz="4" w:space="0"/>
            </w:tcBorders>
            <w:shd w:val="clear" w:color="auto" w:fill="auto"/>
            <w:vAlign w:val="center"/>
          </w:tcPr>
          <w:p w14:paraId="52F8DDD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513A83F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F1585C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06C47B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5.3</w:t>
            </w:r>
          </w:p>
        </w:tc>
        <w:tc>
          <w:tcPr>
            <w:tcW w:w="989" w:type="dxa"/>
            <w:tcBorders>
              <w:top w:val="nil"/>
              <w:left w:val="nil"/>
              <w:bottom w:val="single" w:color="auto" w:sz="4" w:space="0"/>
              <w:right w:val="single" w:color="auto" w:sz="4" w:space="0"/>
            </w:tcBorders>
            <w:shd w:val="clear" w:color="auto" w:fill="auto"/>
            <w:vAlign w:val="center"/>
          </w:tcPr>
          <w:p w14:paraId="7BF50A1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接收卡</w:t>
            </w:r>
          </w:p>
        </w:tc>
        <w:tc>
          <w:tcPr>
            <w:tcW w:w="5581" w:type="dxa"/>
            <w:tcBorders>
              <w:top w:val="nil"/>
              <w:left w:val="nil"/>
              <w:bottom w:val="single" w:color="auto" w:sz="4" w:space="0"/>
              <w:right w:val="single" w:color="auto" w:sz="4" w:space="0"/>
            </w:tcBorders>
            <w:shd w:val="clear" w:color="auto" w:fill="auto"/>
            <w:vAlign w:val="center"/>
          </w:tcPr>
          <w:p w14:paraId="448F6E5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1、集成</w:t>
            </w:r>
            <w:r>
              <w:rPr>
                <w:rFonts w:hint="eastAsia" w:asciiTheme="minorEastAsia" w:hAnsiTheme="minorEastAsia" w:eastAsiaTheme="minorEastAsia" w:cstheme="minorEastAsia"/>
                <w:color w:val="000000"/>
                <w:kern w:val="0"/>
                <w:sz w:val="22"/>
                <w:szCs w:val="22"/>
                <w:highlight w:val="none"/>
                <w:lang w:val="en-US" w:eastAsia="zh-CN"/>
              </w:rPr>
              <w:t>不少于</w:t>
            </w:r>
            <w:r>
              <w:rPr>
                <w:rFonts w:hint="eastAsia" w:asciiTheme="minorEastAsia" w:hAnsiTheme="minorEastAsia" w:eastAsiaTheme="minorEastAsia" w:cstheme="minorEastAsia"/>
                <w:color w:val="000000"/>
                <w:kern w:val="0"/>
                <w:sz w:val="22"/>
                <w:szCs w:val="22"/>
                <w:highlight w:val="none"/>
              </w:rPr>
              <w:t>12组75接口，24组RGB信号输出，无需转接板；</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2、支持静态至1/128扫描之间的任意扫描类型，支持各种LED驱动芯片和译码芯片，支持各种LED显示模组，支持SM16188B特殊模组；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3、支持低亮高灰、低灰补偿、色彩还原、逐点校正、快速修缝、RGB独立Gamma调节技术，大幅提升显示屏的画质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4、支持数据对开，有助于显著提升刷新率，；支持数据组任意交换，有助于合理布局接收卡，提升显示屏质量；</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5、支持数据偏移，支持从左到右、从右到左、从上到下、从下到上任意数据走线，支持异形箱体功能、复杂调屏功能，灵活实现各种不规则异形屏幕构造和创意显示控制；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6、支持画面旋转功能和3D显示功能，满足特殊显示需求；</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7、支持快捷模组配置、智能扫描、智能向导设置、Mapping功能、接收卡定位、内置画布调试等功能模块，调试软件集成各品牌厂家模组配置文件，云端备份，极大方便显示屏快捷安装调试，保障显示屏后期维护；</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8、支持配置参数备份、环路备份功能、自动断电功能，最大程度地保障系统的稳定运行，保障显示屏安全；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9、支持误码率检测、指示灯状态监控、电源监测、盐雾监测、温湿度监测，提供完备的显示屏运行状态监控功能；</w:t>
            </w:r>
          </w:p>
        </w:tc>
        <w:tc>
          <w:tcPr>
            <w:tcW w:w="926" w:type="dxa"/>
            <w:tcBorders>
              <w:top w:val="nil"/>
              <w:left w:val="nil"/>
              <w:bottom w:val="single" w:color="auto" w:sz="4" w:space="0"/>
              <w:right w:val="single" w:color="auto" w:sz="4" w:space="0"/>
            </w:tcBorders>
            <w:shd w:val="clear" w:color="auto" w:fill="auto"/>
            <w:vAlign w:val="center"/>
          </w:tcPr>
          <w:p w14:paraId="41F82AA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w:t>
            </w:r>
          </w:p>
        </w:tc>
        <w:tc>
          <w:tcPr>
            <w:tcW w:w="558" w:type="dxa"/>
            <w:tcBorders>
              <w:top w:val="nil"/>
              <w:left w:val="nil"/>
              <w:bottom w:val="single" w:color="auto" w:sz="4" w:space="0"/>
              <w:right w:val="single" w:color="auto" w:sz="4" w:space="0"/>
            </w:tcBorders>
            <w:shd w:val="clear" w:color="auto" w:fill="auto"/>
            <w:vAlign w:val="center"/>
          </w:tcPr>
          <w:p w14:paraId="1BFCBF6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块</w:t>
            </w:r>
          </w:p>
        </w:tc>
      </w:tr>
      <w:tr w14:paraId="0610B55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C147BD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5.4</w:t>
            </w:r>
          </w:p>
        </w:tc>
        <w:tc>
          <w:tcPr>
            <w:tcW w:w="989" w:type="dxa"/>
            <w:tcBorders>
              <w:top w:val="nil"/>
              <w:left w:val="nil"/>
              <w:bottom w:val="single" w:color="auto" w:sz="4" w:space="0"/>
              <w:right w:val="single" w:color="auto" w:sz="4" w:space="0"/>
            </w:tcBorders>
            <w:shd w:val="clear" w:color="auto" w:fill="auto"/>
            <w:vAlign w:val="center"/>
          </w:tcPr>
          <w:p w14:paraId="6AE4A13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电源</w:t>
            </w:r>
          </w:p>
        </w:tc>
        <w:tc>
          <w:tcPr>
            <w:tcW w:w="5581" w:type="dxa"/>
            <w:tcBorders>
              <w:top w:val="nil"/>
              <w:left w:val="nil"/>
              <w:bottom w:val="single" w:color="auto" w:sz="4" w:space="0"/>
              <w:right w:val="single" w:color="auto" w:sz="4" w:space="0"/>
            </w:tcBorders>
            <w:shd w:val="clear" w:color="auto" w:fill="auto"/>
            <w:vAlign w:val="center"/>
          </w:tcPr>
          <w:p w14:paraId="7BA32D0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5V40A200W  输入电压范围：176-264VAC</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输入频率范围：47-63HZ</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额定输入(Vac):200V-240V</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负载调整率：±2%</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稳压精度：±3%</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工作温度：-40℃-70℃</w:t>
            </w:r>
          </w:p>
        </w:tc>
        <w:tc>
          <w:tcPr>
            <w:tcW w:w="926" w:type="dxa"/>
            <w:tcBorders>
              <w:top w:val="nil"/>
              <w:left w:val="nil"/>
              <w:bottom w:val="single" w:color="auto" w:sz="4" w:space="0"/>
              <w:right w:val="single" w:color="auto" w:sz="4" w:space="0"/>
            </w:tcBorders>
            <w:shd w:val="clear" w:color="auto" w:fill="auto"/>
            <w:vAlign w:val="center"/>
          </w:tcPr>
          <w:p w14:paraId="564C7BD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45</w:t>
            </w:r>
          </w:p>
        </w:tc>
        <w:tc>
          <w:tcPr>
            <w:tcW w:w="558" w:type="dxa"/>
            <w:tcBorders>
              <w:top w:val="nil"/>
              <w:left w:val="nil"/>
              <w:bottom w:val="single" w:color="auto" w:sz="4" w:space="0"/>
              <w:right w:val="single" w:color="auto" w:sz="4" w:space="0"/>
            </w:tcBorders>
            <w:shd w:val="clear" w:color="auto" w:fill="auto"/>
            <w:vAlign w:val="center"/>
          </w:tcPr>
          <w:p w14:paraId="68A7A72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个</w:t>
            </w:r>
          </w:p>
        </w:tc>
      </w:tr>
      <w:tr w14:paraId="1C0DF42D">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159D789">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5.5</w:t>
            </w:r>
          </w:p>
        </w:tc>
        <w:tc>
          <w:tcPr>
            <w:tcW w:w="989" w:type="dxa"/>
            <w:tcBorders>
              <w:top w:val="nil"/>
              <w:left w:val="nil"/>
              <w:bottom w:val="single" w:color="auto" w:sz="4" w:space="0"/>
              <w:right w:val="single" w:color="auto" w:sz="4" w:space="0"/>
            </w:tcBorders>
            <w:shd w:val="clear" w:color="auto" w:fill="auto"/>
            <w:vAlign w:val="center"/>
          </w:tcPr>
          <w:p w14:paraId="3310BF3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防水箱体</w:t>
            </w:r>
          </w:p>
        </w:tc>
        <w:tc>
          <w:tcPr>
            <w:tcW w:w="5581" w:type="dxa"/>
            <w:tcBorders>
              <w:top w:val="nil"/>
              <w:left w:val="nil"/>
              <w:bottom w:val="single" w:color="auto" w:sz="4" w:space="0"/>
              <w:right w:val="single" w:color="auto" w:sz="4" w:space="0"/>
            </w:tcBorders>
            <w:shd w:val="clear" w:color="auto" w:fill="auto"/>
            <w:vAlign w:val="center"/>
          </w:tcPr>
          <w:p w14:paraId="20B2C41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材质spcc镀锌钢板，材料厚度≥1.2mm，双层机箱，内置风扇，防风防水，表面静电喷塑，防水≥ip65</w:t>
            </w:r>
          </w:p>
        </w:tc>
        <w:tc>
          <w:tcPr>
            <w:tcW w:w="926" w:type="dxa"/>
            <w:tcBorders>
              <w:top w:val="nil"/>
              <w:left w:val="nil"/>
              <w:bottom w:val="single" w:color="auto" w:sz="4" w:space="0"/>
              <w:right w:val="single" w:color="auto" w:sz="4" w:space="0"/>
            </w:tcBorders>
            <w:shd w:val="clear" w:color="auto" w:fill="auto"/>
            <w:vAlign w:val="center"/>
          </w:tcPr>
          <w:p w14:paraId="297B22D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0B28B419">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0210B36B">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77F45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5.6</w:t>
            </w:r>
          </w:p>
        </w:tc>
        <w:tc>
          <w:tcPr>
            <w:tcW w:w="989" w:type="dxa"/>
            <w:tcBorders>
              <w:top w:val="nil"/>
              <w:left w:val="nil"/>
              <w:bottom w:val="single" w:color="auto" w:sz="4" w:space="0"/>
              <w:right w:val="single" w:color="auto" w:sz="4" w:space="0"/>
            </w:tcBorders>
            <w:shd w:val="clear" w:color="auto" w:fill="auto"/>
            <w:vAlign w:val="center"/>
          </w:tcPr>
          <w:p w14:paraId="4D7743B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5581" w:type="dxa"/>
            <w:tcBorders>
              <w:top w:val="nil"/>
              <w:left w:val="nil"/>
              <w:bottom w:val="single" w:color="auto" w:sz="4" w:space="0"/>
              <w:right w:val="single" w:color="auto" w:sz="4" w:space="0"/>
            </w:tcBorders>
            <w:shd w:val="clear" w:color="auto" w:fill="auto"/>
            <w:vAlign w:val="center"/>
          </w:tcPr>
          <w:p w14:paraId="2F19B0A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926" w:type="dxa"/>
            <w:tcBorders>
              <w:top w:val="nil"/>
              <w:left w:val="nil"/>
              <w:bottom w:val="single" w:color="auto" w:sz="4" w:space="0"/>
              <w:right w:val="single" w:color="auto" w:sz="4" w:space="0"/>
            </w:tcBorders>
            <w:shd w:val="clear" w:color="auto" w:fill="auto"/>
            <w:vAlign w:val="center"/>
          </w:tcPr>
          <w:p w14:paraId="3ECD87C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0F879D6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418DDF4E">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E901D9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989" w:type="dxa"/>
            <w:tcBorders>
              <w:top w:val="nil"/>
              <w:left w:val="nil"/>
              <w:bottom w:val="single" w:color="auto" w:sz="4" w:space="0"/>
              <w:right w:val="single" w:color="auto" w:sz="4" w:space="0"/>
            </w:tcBorders>
            <w:shd w:val="clear" w:color="auto" w:fill="auto"/>
            <w:vAlign w:val="center"/>
          </w:tcPr>
          <w:p w14:paraId="434EE93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检修平台</w:t>
            </w:r>
          </w:p>
        </w:tc>
        <w:tc>
          <w:tcPr>
            <w:tcW w:w="5581" w:type="dxa"/>
            <w:tcBorders>
              <w:top w:val="nil"/>
              <w:left w:val="nil"/>
              <w:bottom w:val="single" w:color="auto" w:sz="4" w:space="0"/>
              <w:right w:val="single" w:color="auto" w:sz="4" w:space="0"/>
            </w:tcBorders>
            <w:shd w:val="clear" w:color="auto" w:fill="auto"/>
            <w:vAlign w:val="center"/>
          </w:tcPr>
          <w:p w14:paraId="5155436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检修平台材料:40*40-3.0，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平台尺寸:长宽2980mm*600mm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平台宽度：≥600mm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平台长度：≥屏宽 + 两侧各 300mm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平台离地：一般 6–8m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踏板：花纹钢板 / 格栅板，厚度≥4mm，防滑、排水</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踏步间距：300mm ±20mm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踏步：防滑花纹板 / 圆钢，厚度≥2.0mm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护笼：≥2m 以上必须护笼，笼直径 650–800mm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材质：Q235B，热镀锌</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平台宽：400mm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护栏高：1100mm（上中下三道横杆）</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直梯：400mm 宽，300mm 步距，带护笼</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整体：热镀锌 + 喷塑，黄色警示条</w:t>
            </w:r>
          </w:p>
        </w:tc>
        <w:tc>
          <w:tcPr>
            <w:tcW w:w="926" w:type="dxa"/>
            <w:tcBorders>
              <w:top w:val="nil"/>
              <w:left w:val="nil"/>
              <w:bottom w:val="single" w:color="auto" w:sz="4" w:space="0"/>
              <w:right w:val="single" w:color="auto" w:sz="4" w:space="0"/>
            </w:tcBorders>
            <w:shd w:val="clear" w:color="auto" w:fill="auto"/>
            <w:vAlign w:val="center"/>
          </w:tcPr>
          <w:p w14:paraId="6EF82BB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7D450C9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C486685">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C6C62C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5.8</w:t>
            </w:r>
          </w:p>
        </w:tc>
        <w:tc>
          <w:tcPr>
            <w:tcW w:w="989" w:type="dxa"/>
            <w:tcBorders>
              <w:top w:val="nil"/>
              <w:left w:val="nil"/>
              <w:bottom w:val="single" w:color="auto" w:sz="4" w:space="0"/>
              <w:right w:val="single" w:color="auto" w:sz="4" w:space="0"/>
            </w:tcBorders>
            <w:shd w:val="clear" w:color="auto" w:fill="auto"/>
            <w:vAlign w:val="center"/>
          </w:tcPr>
          <w:p w14:paraId="29195E8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辅材</w:t>
            </w:r>
          </w:p>
        </w:tc>
        <w:tc>
          <w:tcPr>
            <w:tcW w:w="5581" w:type="dxa"/>
            <w:tcBorders>
              <w:top w:val="nil"/>
              <w:left w:val="nil"/>
              <w:bottom w:val="single" w:color="auto" w:sz="4" w:space="0"/>
              <w:right w:val="single" w:color="auto" w:sz="4" w:space="0"/>
            </w:tcBorders>
            <w:shd w:val="clear" w:color="auto" w:fill="auto"/>
            <w:vAlign w:val="center"/>
          </w:tcPr>
          <w:p w14:paraId="77A7061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3E941D5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7FEDF64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2B277A09">
        <w:tblPrEx>
          <w:tblCellMar>
            <w:top w:w="0" w:type="dxa"/>
            <w:left w:w="108" w:type="dxa"/>
            <w:bottom w:w="0" w:type="dxa"/>
            <w:right w:w="108" w:type="dxa"/>
          </w:tblCellMar>
        </w:tblPrEx>
        <w:trPr>
          <w:trHeight w:val="11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9CC3C7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989" w:type="dxa"/>
            <w:tcBorders>
              <w:top w:val="nil"/>
              <w:left w:val="nil"/>
              <w:bottom w:val="single" w:color="auto" w:sz="4" w:space="0"/>
              <w:right w:val="single" w:color="auto" w:sz="4" w:space="0"/>
            </w:tcBorders>
            <w:shd w:val="clear" w:color="auto" w:fill="auto"/>
            <w:vAlign w:val="center"/>
          </w:tcPr>
          <w:p w14:paraId="14826416">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大屏监看相机</w:t>
            </w:r>
          </w:p>
        </w:tc>
        <w:tc>
          <w:tcPr>
            <w:tcW w:w="5581" w:type="dxa"/>
            <w:tcBorders>
              <w:top w:val="nil"/>
              <w:left w:val="nil"/>
              <w:bottom w:val="single" w:color="auto" w:sz="4" w:space="0"/>
              <w:right w:val="single" w:color="auto" w:sz="4" w:space="0"/>
            </w:tcBorders>
            <w:shd w:val="clear" w:color="auto" w:fill="auto"/>
            <w:vAlign w:val="center"/>
          </w:tcPr>
          <w:p w14:paraId="0BAE88F5">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1、支持输出图像分辨率不低于3840*2160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2、具有不小于1/1.8"靶面尺寸。</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3、最低照度彩色：0.006 lx，最大亮度鉴别等级不小于11级。</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4、支持H.264、H.265视频编码格式，且具有High Profile编码能力。</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5、同一静止场景相同图像质量下，设备在H.264或H.265编码方式时，开启智能编码功能和不开启智能编码相比，码率节约50%。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6</w:t>
            </w:r>
            <w:r>
              <w:rPr>
                <w:rFonts w:hint="eastAsia" w:asciiTheme="minorEastAsia" w:hAnsiTheme="minorEastAsia" w:eastAsiaTheme="minorEastAsia" w:cstheme="minorEastAsia"/>
                <w:color w:val="000000"/>
                <w:kern w:val="0"/>
                <w:sz w:val="22"/>
                <w:szCs w:val="22"/>
                <w:highlight w:val="none"/>
              </w:rPr>
              <w:t>、具有RTSP和WEB认证模式，具有RTSP认证、WEB认证摘要信息加密设置，加密算法可设置为MD5、SHA256及MD5/SHA256。</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7</w:t>
            </w:r>
            <w:r>
              <w:rPr>
                <w:rFonts w:hint="eastAsia" w:asciiTheme="minorEastAsia" w:hAnsiTheme="minorEastAsia" w:eastAsiaTheme="minorEastAsia" w:cstheme="minorEastAsia"/>
                <w:color w:val="000000"/>
                <w:kern w:val="0"/>
                <w:sz w:val="22"/>
                <w:szCs w:val="22"/>
                <w:highlight w:val="none"/>
              </w:rPr>
              <w:t>、▲镜头前盖采用增强透光玻璃，透过率不小于97%。</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8</w:t>
            </w:r>
            <w:r>
              <w:rPr>
                <w:rFonts w:hint="eastAsia" w:asciiTheme="minorEastAsia" w:hAnsiTheme="minorEastAsia" w:eastAsiaTheme="minorEastAsia" w:cstheme="minorEastAsia"/>
                <w:color w:val="000000"/>
                <w:kern w:val="0"/>
                <w:sz w:val="22"/>
                <w:szCs w:val="22"/>
                <w:highlight w:val="none"/>
              </w:rPr>
              <w:t>、▲镜头前盖玻璃有利于玻璃表面的小水珠自动聚集并易于滑落。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9</w:t>
            </w:r>
            <w:r>
              <w:rPr>
                <w:rFonts w:hint="eastAsia" w:asciiTheme="minorEastAsia" w:hAnsiTheme="minorEastAsia" w:eastAsiaTheme="minorEastAsia" w:cstheme="minorEastAsia"/>
                <w:color w:val="000000"/>
                <w:kern w:val="0"/>
                <w:sz w:val="22"/>
                <w:szCs w:val="22"/>
                <w:highlight w:val="none"/>
              </w:rPr>
              <w:t>、防护等级不小于IP67。</w:t>
            </w:r>
          </w:p>
        </w:tc>
        <w:tc>
          <w:tcPr>
            <w:tcW w:w="926" w:type="dxa"/>
            <w:tcBorders>
              <w:top w:val="nil"/>
              <w:left w:val="nil"/>
              <w:bottom w:val="single" w:color="auto" w:sz="4" w:space="0"/>
              <w:right w:val="single" w:color="auto" w:sz="4" w:space="0"/>
            </w:tcBorders>
            <w:shd w:val="clear" w:color="auto" w:fill="auto"/>
            <w:vAlign w:val="center"/>
          </w:tcPr>
          <w:p w14:paraId="2447B49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42A4A72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86B20F1">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94F195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w:t>
            </w:r>
          </w:p>
        </w:tc>
        <w:tc>
          <w:tcPr>
            <w:tcW w:w="989" w:type="dxa"/>
            <w:tcBorders>
              <w:top w:val="nil"/>
              <w:left w:val="nil"/>
              <w:bottom w:val="single" w:color="auto" w:sz="4" w:space="0"/>
              <w:right w:val="single" w:color="auto" w:sz="4" w:space="0"/>
            </w:tcBorders>
            <w:shd w:val="clear" w:color="auto" w:fill="auto"/>
            <w:vAlign w:val="center"/>
          </w:tcPr>
          <w:p w14:paraId="1A9772F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内容管控</w:t>
            </w:r>
          </w:p>
        </w:tc>
        <w:tc>
          <w:tcPr>
            <w:tcW w:w="5581" w:type="dxa"/>
            <w:tcBorders>
              <w:top w:val="nil"/>
              <w:left w:val="nil"/>
              <w:bottom w:val="single" w:color="auto" w:sz="4" w:space="0"/>
              <w:right w:val="single" w:color="auto" w:sz="4" w:space="0"/>
            </w:tcBorders>
            <w:shd w:val="clear" w:color="auto" w:fill="auto"/>
            <w:vAlign w:val="center"/>
          </w:tcPr>
          <w:p w14:paraId="3C44A59C">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1、1U机箱；硬盘容量≥512G，内存≥32G，千兆电口≥2个，USB接口≥4个，扩展槽≥1个，</w:t>
            </w:r>
            <w:r>
              <w:rPr>
                <w:rFonts w:hint="eastAsia" w:asciiTheme="minorEastAsia" w:hAnsiTheme="minorEastAsia" w:eastAsiaTheme="minorEastAsia" w:cstheme="minorEastAsia"/>
                <w:b/>
                <w:bCs/>
                <w:color w:val="000000"/>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1个HDMI接口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1个DP接口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1个MIC接口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 L-OUT接口。</w:t>
            </w:r>
          </w:p>
          <w:p w14:paraId="140B4E15">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检测涉黄视频或图片10万次，识别准确率不低于99.9%；检测暴恐视频或图片10万次，识别准确率不低于99.9%；检测涉政视频或图片10万次，识别准确率不低于99.9%；检测涉赌视频或图片10万次，识别准确率不低于99.9%；检测涉毒视频或图片10万次，识别准确率不低于99.9%；检测正常视频或图片100万次，误识率不高于1%。</w:t>
            </w:r>
          </w:p>
          <w:p w14:paraId="175E9ED8">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3、检测到违规内容时执行底图遮盖阻断反应的时间≤0.5s；检测到违规内容时执行关机阻断反应的时间≤0.5s。</w:t>
            </w:r>
          </w:p>
          <w:p w14:paraId="39D21A01">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4、支持对所管控的电子屏、网关等资产状态进行展示；支持筛选遮盖、正常、息屏状态的资产；支持人工手动将被遮盖的资产恢复至正常状态；可显示资产在/离线状态，支持远程一键关机功能。</w:t>
            </w:r>
          </w:p>
          <w:p w14:paraId="4E4B5CA9">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5、支持本地上传素材进行检测，检测类型包括压缩包、视频、图片、文本等类型，检测格式包括zip、tar、7z、mp4、mov、m4a、3gp、avi、flv、mpg、asf、jpg、png、pdf、txt等格式。</w:t>
            </w:r>
          </w:p>
          <w:p w14:paraId="51B8CE5A">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支持对素材进行敏感内容与敏感词检测，并对敏感内容与敏感词进行告警，告警内容包括文件名称、敏感类型、敏感词、敏感词类型、任务状态、素材来源、启动时间、告警场景、关键信息、异常统计、更新时间、白名单状态；支持用户输入密码查看与下载敏感素材；支持导出素材检测报告。</w:t>
            </w:r>
          </w:p>
          <w:p w14:paraId="60A4E72C">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7、支持通过本地挂载、远程挂载的方式上传素材进行检测。支持FTP文件扫描，支持定时扫描和周期扫描</w:t>
            </w:r>
          </w:p>
          <w:p w14:paraId="0485CC07">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8、可输入自定义敏感词，输入字符需大于等于2个字符；默认开启底线敏感词模式，自定义的敏感词不允许再添加进敏感词白名单中。</w:t>
            </w:r>
          </w:p>
          <w:p w14:paraId="754AAD90">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支持对终端屏幕播放的敏感内容与敏感词进行告警，敏感内容告警包括告警时间、资产IP、敏感类型、告警场景、拦截策略、白名单状态；敏感词告警包括告警时间、资产IP、敏感词、敏感词类型、告警场景、拦截策略、白名单状态；用户可通过输入密码查看敏感内容与敏感词详情。</w:t>
            </w:r>
          </w:p>
          <w:p w14:paraId="75C4F4FF">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10支持对终端屏幕设置内容检测开关、敏感词检测开关，并支持配置相似度阈值，当检测画面与敏感模型检测相似度高于阈值时可触发告警。</w:t>
            </w:r>
          </w:p>
          <w:p w14:paraId="3B8DD02E">
            <w:pPr>
              <w:pStyle w:val="5"/>
              <w:numPr>
                <w:ilvl w:val="0"/>
                <w:numId w:val="7"/>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支持配置告警时间间隔与拦截策略，拦截策略包含忽略、屏幕遮盖、关机，当检测到屏上内容出现敏感内容或敏感词时，屏幕可播放预置图片或者关机进行处理；预置图片可由用户上传，支持横屏与竖屏展示预览效果。</w:t>
            </w:r>
          </w:p>
          <w:p w14:paraId="5A9455ED">
            <w:pPr>
              <w:pStyle w:val="5"/>
              <w:numPr>
                <w:ilvl w:val="0"/>
                <w:numId w:val="7"/>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▲出场需要做漏洞覆盖测试，</w:t>
            </w:r>
            <w:bookmarkStart w:id="1" w:name="_GoBack"/>
            <w:bookmarkEnd w:id="1"/>
            <w:r>
              <w:rPr>
                <w:rFonts w:hint="eastAsia" w:asciiTheme="minorEastAsia" w:hAnsiTheme="minorEastAsia" w:eastAsiaTheme="minorEastAsia" w:cstheme="minorEastAsia"/>
                <w:color w:val="000000"/>
                <w:kern w:val="0"/>
                <w:sz w:val="22"/>
                <w:szCs w:val="22"/>
                <w:highlight w:val="none"/>
              </w:rPr>
              <w:t>不能存在已知中、高风险漏洞</w:t>
            </w:r>
          </w:p>
        </w:tc>
        <w:tc>
          <w:tcPr>
            <w:tcW w:w="926" w:type="dxa"/>
            <w:tcBorders>
              <w:top w:val="nil"/>
              <w:left w:val="nil"/>
              <w:bottom w:val="single" w:color="auto" w:sz="4" w:space="0"/>
              <w:right w:val="single" w:color="auto" w:sz="4" w:space="0"/>
            </w:tcBorders>
            <w:shd w:val="clear" w:color="auto" w:fill="auto"/>
            <w:vAlign w:val="center"/>
          </w:tcPr>
          <w:p w14:paraId="01490B6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63B933A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218CBAC0">
        <w:tblPrEx>
          <w:tblCellMar>
            <w:top w:w="0" w:type="dxa"/>
            <w:left w:w="108" w:type="dxa"/>
            <w:bottom w:w="0" w:type="dxa"/>
            <w:right w:w="108" w:type="dxa"/>
          </w:tblCellMar>
        </w:tblPrEx>
        <w:trPr>
          <w:trHeight w:val="11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5428FEB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14:paraId="41593C2A">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框架-交通诱导屏F型（定制）</w:t>
            </w:r>
          </w:p>
        </w:tc>
        <w:tc>
          <w:tcPr>
            <w:tcW w:w="5581" w:type="dxa"/>
            <w:tcBorders>
              <w:top w:val="single" w:color="auto" w:sz="4" w:space="0"/>
              <w:left w:val="single" w:color="auto" w:sz="4" w:space="0"/>
              <w:bottom w:val="single" w:color="auto" w:sz="4" w:space="0"/>
              <w:right w:val="single" w:color="auto" w:sz="4" w:space="0"/>
            </w:tcBorders>
            <w:shd w:val="clear" w:color="auto" w:fill="auto"/>
            <w:vAlign w:val="center"/>
          </w:tcPr>
          <w:p w14:paraId="2A1D9C9E">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交通诱导屏F型用框架，整体热浸锌，具备优秀的耐腐蚀性，结构稳定，牢固可靠；支持定制颜色，默认颜色银白色；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国标Q235B，材料厚度T3.0-T10不等</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3459EF6">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single" w:color="auto" w:sz="4" w:space="0"/>
              <w:left w:val="single" w:color="auto" w:sz="4" w:space="0"/>
              <w:bottom w:val="single" w:color="auto" w:sz="4" w:space="0"/>
              <w:right w:val="single" w:color="auto" w:sz="4" w:space="0"/>
            </w:tcBorders>
            <w:shd w:val="clear" w:color="auto" w:fill="auto"/>
            <w:vAlign w:val="center"/>
          </w:tcPr>
          <w:p w14:paraId="2BC9687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6B6A7C0A">
        <w:tblPrEx>
          <w:tblCellMar>
            <w:top w:w="0" w:type="dxa"/>
            <w:left w:w="108" w:type="dxa"/>
            <w:bottom w:w="0" w:type="dxa"/>
            <w:right w:w="108" w:type="dxa"/>
          </w:tblCellMar>
        </w:tblPrEx>
        <w:trPr>
          <w:trHeight w:val="144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3674151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w:t>
            </w:r>
          </w:p>
        </w:tc>
        <w:tc>
          <w:tcPr>
            <w:tcW w:w="989" w:type="dxa"/>
            <w:tcBorders>
              <w:top w:val="single" w:color="auto" w:sz="4" w:space="0"/>
              <w:left w:val="nil"/>
              <w:bottom w:val="single" w:color="auto" w:sz="4" w:space="0"/>
              <w:right w:val="single" w:color="auto" w:sz="4" w:space="0"/>
            </w:tcBorders>
            <w:shd w:val="clear" w:color="auto" w:fill="auto"/>
            <w:vAlign w:val="center"/>
          </w:tcPr>
          <w:p w14:paraId="3E625A2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F杆件</w:t>
            </w:r>
          </w:p>
        </w:tc>
        <w:tc>
          <w:tcPr>
            <w:tcW w:w="5581" w:type="dxa"/>
            <w:tcBorders>
              <w:top w:val="single" w:color="auto" w:sz="4" w:space="0"/>
              <w:left w:val="nil"/>
              <w:bottom w:val="single" w:color="auto" w:sz="4" w:space="0"/>
              <w:right w:val="single" w:color="auto" w:sz="4" w:space="0"/>
            </w:tcBorders>
            <w:shd w:val="clear" w:color="auto" w:fill="auto"/>
            <w:vAlign w:val="center"/>
          </w:tcPr>
          <w:p w14:paraId="566FAC08">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立柱DN425*12</w:t>
            </w:r>
          </w:p>
          <w:p w14:paraId="64285002">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对接钢板20mm</w:t>
            </w:r>
          </w:p>
          <w:p w14:paraId="55B24A0C">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导视屏框架材质200*100*8.0</w:t>
            </w:r>
          </w:p>
          <w:p w14:paraId="6E543832">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立柱高度8米</w:t>
            </w:r>
          </w:p>
          <w:p w14:paraId="6F6588E7">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杆体形式 单悬臂式（F 型），锥形 / 等径杆.适配 P10 诱导屏</w:t>
            </w:r>
          </w:p>
          <w:p w14:paraId="5CB962DB">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立柱规格: 主杆底部 Φ273~Φ325mm，壁厚≥8mm；顶部 Φ165~Φ219mm 材质 Q345B 低合金钢，抗弯强度更高</w:t>
            </w:r>
          </w:p>
          <w:p w14:paraId="77A89B1F">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悬臂规格 悬臂 Φ165~Φ219mm，壁厚≥6mm；长度 3~8m</w:t>
            </w:r>
          </w:p>
          <w:p w14:paraId="58DFA3B1">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超出最外侧车道≥1.5m，满足视距要求</w:t>
            </w:r>
          </w:p>
          <w:p w14:paraId="43CAB27A">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总高度 地面至悬臂最低点≥5.5m（高速）/≥5.0m（城市道路）;</w:t>
            </w:r>
          </w:p>
          <w:p w14:paraId="3B9FD36D">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满足车辆净空要求，无刮擦风险</w:t>
            </w:r>
          </w:p>
          <w:p w14:paraId="454D72CC">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安装方式;</w:t>
            </w:r>
          </w:p>
          <w:p w14:paraId="278FE3F9">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法兰盘连接 + 混凝土基础 法兰盘规格≥Φ450mm，螺栓采用</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 xml:space="preserve"> 8.8 级高强螺栓</w:t>
            </w:r>
          </w:p>
          <w:p w14:paraId="3BF5A679">
            <w:pPr>
              <w:pStyle w:val="4"/>
              <w:widowControl/>
              <w:numPr>
                <w:ilvl w:val="0"/>
                <w:numId w:val="18"/>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本项目 F 杆采用 Q345B 低合金高强度钢制造，采用热浸镀锌 + 静电喷塑双重防腐工艺，按</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 xml:space="preserve"> 50 年一遇基本风压设计，抗风等级≥12 级，悬臂端部挠度≤悬臂长度的 1/150，防腐年限≥15 年，满足 GB/T 23827-2021、JTG D81-2017 等国家及行业标准，可稳定适配 P10 高亮交通诱导屏的户外安装需求。</w:t>
            </w:r>
          </w:p>
        </w:tc>
        <w:tc>
          <w:tcPr>
            <w:tcW w:w="926" w:type="dxa"/>
            <w:tcBorders>
              <w:top w:val="single" w:color="auto" w:sz="4" w:space="0"/>
              <w:left w:val="nil"/>
              <w:bottom w:val="single" w:color="auto" w:sz="4" w:space="0"/>
              <w:right w:val="single" w:color="auto" w:sz="4" w:space="0"/>
            </w:tcBorders>
            <w:shd w:val="clear" w:color="auto" w:fill="auto"/>
            <w:vAlign w:val="center"/>
          </w:tcPr>
          <w:p w14:paraId="563E9A3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558" w:type="dxa"/>
            <w:tcBorders>
              <w:top w:val="single" w:color="auto" w:sz="4" w:space="0"/>
              <w:left w:val="nil"/>
              <w:bottom w:val="single" w:color="auto" w:sz="4" w:space="0"/>
              <w:right w:val="single" w:color="auto" w:sz="4" w:space="0"/>
            </w:tcBorders>
            <w:shd w:val="clear" w:color="auto" w:fill="auto"/>
            <w:vAlign w:val="center"/>
          </w:tcPr>
          <w:p w14:paraId="34FFB2F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534999C4">
        <w:tblPrEx>
          <w:tblCellMar>
            <w:top w:w="0" w:type="dxa"/>
            <w:left w:w="108" w:type="dxa"/>
            <w:bottom w:w="0" w:type="dxa"/>
            <w:right w:w="108" w:type="dxa"/>
          </w:tblCellMar>
        </w:tblPrEx>
        <w:trPr>
          <w:trHeight w:val="10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4C4B3E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w:t>
            </w:r>
          </w:p>
        </w:tc>
        <w:tc>
          <w:tcPr>
            <w:tcW w:w="989" w:type="dxa"/>
            <w:tcBorders>
              <w:top w:val="nil"/>
              <w:left w:val="nil"/>
              <w:bottom w:val="single" w:color="auto" w:sz="4" w:space="0"/>
              <w:right w:val="single" w:color="auto" w:sz="4" w:space="0"/>
            </w:tcBorders>
            <w:shd w:val="clear" w:color="auto" w:fill="auto"/>
            <w:vAlign w:val="center"/>
          </w:tcPr>
          <w:p w14:paraId="5ED70CEE">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地笼</w:t>
            </w:r>
          </w:p>
        </w:tc>
        <w:tc>
          <w:tcPr>
            <w:tcW w:w="5581" w:type="dxa"/>
            <w:tcBorders>
              <w:top w:val="nil"/>
              <w:left w:val="nil"/>
              <w:bottom w:val="single" w:color="auto" w:sz="4" w:space="0"/>
              <w:right w:val="single" w:color="auto" w:sz="4" w:space="0"/>
            </w:tcBorders>
            <w:shd w:val="clear" w:color="auto" w:fill="auto"/>
            <w:vAlign w:val="center"/>
          </w:tcPr>
          <w:p w14:paraId="0DC69D12">
            <w:pPr>
              <w:pStyle w:val="4"/>
              <w:widowControl/>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基础规格 混凝土基础尺寸≥2m×2m×2m（根据杆体重量调整） 采用 C30 混凝土，含预埋螺栓笼</w:t>
            </w:r>
          </w:p>
          <w:p w14:paraId="2BED1FD5">
            <w:pPr>
              <w:pStyle w:val="4"/>
              <w:widowControl/>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安装误差 杆体倾斜度≤1°，悬臂水平偏差≤2° 保证屏体视角与车道夹角≤15°，不反光、不刺眼</w:t>
            </w:r>
          </w:p>
          <w:p w14:paraId="1AD304E6">
            <w:pPr>
              <w:pStyle w:val="4"/>
              <w:widowControl/>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配件材质 螺栓、螺母、垫片均采用不锈钢 / 镀锌高强件 防松动、防腐蚀，适配户外环境</w:t>
            </w:r>
          </w:p>
          <w:p w14:paraId="3C600214">
            <w:pPr>
              <w:pStyle w:val="4"/>
              <w:widowControl/>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屏体安装 预留屏体安装法兰，四周预留≥20mm 安装缝隙 便于后期维护，防止热胀冷缩变形地笼 钢筋</w:t>
            </w:r>
          </w:p>
        </w:tc>
        <w:tc>
          <w:tcPr>
            <w:tcW w:w="926" w:type="dxa"/>
            <w:tcBorders>
              <w:top w:val="nil"/>
              <w:left w:val="nil"/>
              <w:bottom w:val="single" w:color="auto" w:sz="4" w:space="0"/>
              <w:right w:val="single" w:color="auto" w:sz="4" w:space="0"/>
            </w:tcBorders>
            <w:shd w:val="clear" w:color="auto" w:fill="auto"/>
            <w:vAlign w:val="center"/>
          </w:tcPr>
          <w:p w14:paraId="09697457">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558" w:type="dxa"/>
            <w:tcBorders>
              <w:top w:val="nil"/>
              <w:left w:val="nil"/>
              <w:bottom w:val="single" w:color="auto" w:sz="4" w:space="0"/>
              <w:right w:val="single" w:color="auto" w:sz="4" w:space="0"/>
            </w:tcBorders>
            <w:shd w:val="clear" w:color="auto" w:fill="auto"/>
            <w:vAlign w:val="center"/>
          </w:tcPr>
          <w:p w14:paraId="2A60FDE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73F6C01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5F2FF2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w:t>
            </w:r>
          </w:p>
        </w:tc>
        <w:tc>
          <w:tcPr>
            <w:tcW w:w="989" w:type="dxa"/>
            <w:tcBorders>
              <w:top w:val="nil"/>
              <w:left w:val="nil"/>
              <w:bottom w:val="single" w:color="auto" w:sz="4" w:space="0"/>
              <w:right w:val="single" w:color="auto" w:sz="4" w:space="0"/>
            </w:tcBorders>
            <w:shd w:val="clear" w:color="auto" w:fill="auto"/>
            <w:vAlign w:val="center"/>
          </w:tcPr>
          <w:p w14:paraId="12FB5FCC">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商混</w:t>
            </w:r>
          </w:p>
        </w:tc>
        <w:tc>
          <w:tcPr>
            <w:tcW w:w="5581" w:type="dxa"/>
            <w:tcBorders>
              <w:top w:val="nil"/>
              <w:left w:val="nil"/>
              <w:bottom w:val="single" w:color="auto" w:sz="4" w:space="0"/>
              <w:right w:val="single" w:color="auto" w:sz="4" w:space="0"/>
            </w:tcBorders>
            <w:shd w:val="clear" w:color="auto" w:fill="auto"/>
            <w:vAlign w:val="center"/>
          </w:tcPr>
          <w:p w14:paraId="2B4E77B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商品混凝土C25</w:t>
            </w:r>
          </w:p>
        </w:tc>
        <w:tc>
          <w:tcPr>
            <w:tcW w:w="926" w:type="dxa"/>
            <w:tcBorders>
              <w:top w:val="nil"/>
              <w:left w:val="nil"/>
              <w:bottom w:val="single" w:color="auto" w:sz="4" w:space="0"/>
              <w:right w:val="single" w:color="auto" w:sz="4" w:space="0"/>
            </w:tcBorders>
            <w:shd w:val="clear" w:color="auto" w:fill="auto"/>
            <w:vAlign w:val="center"/>
          </w:tcPr>
          <w:p w14:paraId="45A442E4">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55</w:t>
            </w:r>
          </w:p>
        </w:tc>
        <w:tc>
          <w:tcPr>
            <w:tcW w:w="558" w:type="dxa"/>
            <w:tcBorders>
              <w:top w:val="nil"/>
              <w:left w:val="nil"/>
              <w:bottom w:val="single" w:color="auto" w:sz="4" w:space="0"/>
              <w:right w:val="single" w:color="auto" w:sz="4" w:space="0"/>
            </w:tcBorders>
            <w:shd w:val="clear" w:color="auto" w:fill="auto"/>
            <w:vAlign w:val="center"/>
          </w:tcPr>
          <w:p w14:paraId="4A4511E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02C184FF">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8F6AE1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w:t>
            </w:r>
          </w:p>
        </w:tc>
        <w:tc>
          <w:tcPr>
            <w:tcW w:w="989" w:type="dxa"/>
            <w:tcBorders>
              <w:top w:val="nil"/>
              <w:left w:val="nil"/>
              <w:bottom w:val="single" w:color="auto" w:sz="4" w:space="0"/>
              <w:right w:val="single" w:color="auto" w:sz="4" w:space="0"/>
            </w:tcBorders>
            <w:shd w:val="clear" w:color="auto" w:fill="auto"/>
            <w:vAlign w:val="center"/>
          </w:tcPr>
          <w:p w14:paraId="016C31CC">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诱导屏配电柜</w:t>
            </w:r>
          </w:p>
        </w:tc>
        <w:tc>
          <w:tcPr>
            <w:tcW w:w="5581" w:type="dxa"/>
            <w:tcBorders>
              <w:top w:val="nil"/>
              <w:left w:val="nil"/>
              <w:bottom w:val="single" w:color="auto" w:sz="4" w:space="0"/>
              <w:right w:val="single" w:color="auto" w:sz="4" w:space="0"/>
            </w:tcBorders>
            <w:shd w:val="clear" w:color="auto" w:fill="auto"/>
            <w:vAlign w:val="center"/>
          </w:tcPr>
          <w:p w14:paraId="1AE6EF40">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挂杆式，镀锌钢板，含空开，模数化插座，接线端子等配件。</w:t>
            </w:r>
          </w:p>
        </w:tc>
        <w:tc>
          <w:tcPr>
            <w:tcW w:w="926" w:type="dxa"/>
            <w:tcBorders>
              <w:top w:val="nil"/>
              <w:left w:val="nil"/>
              <w:bottom w:val="single" w:color="auto" w:sz="4" w:space="0"/>
              <w:right w:val="single" w:color="auto" w:sz="4" w:space="0"/>
            </w:tcBorders>
            <w:shd w:val="clear" w:color="auto" w:fill="auto"/>
            <w:vAlign w:val="center"/>
          </w:tcPr>
          <w:p w14:paraId="27CC574C">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7B0B96D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0D7CD86">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0F8424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989" w:type="dxa"/>
            <w:tcBorders>
              <w:top w:val="nil"/>
              <w:left w:val="nil"/>
              <w:bottom w:val="single" w:color="auto" w:sz="4" w:space="0"/>
              <w:right w:val="single" w:color="auto" w:sz="4" w:space="0"/>
            </w:tcBorders>
            <w:shd w:val="clear" w:color="auto" w:fill="auto"/>
            <w:vAlign w:val="center"/>
          </w:tcPr>
          <w:p w14:paraId="038195C4">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3A4970B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详见参数13.1-13.8</w:t>
            </w:r>
          </w:p>
        </w:tc>
        <w:tc>
          <w:tcPr>
            <w:tcW w:w="926" w:type="dxa"/>
            <w:tcBorders>
              <w:top w:val="nil"/>
              <w:left w:val="nil"/>
              <w:bottom w:val="single" w:color="auto" w:sz="4" w:space="0"/>
              <w:right w:val="single" w:color="auto" w:sz="4" w:space="0"/>
            </w:tcBorders>
            <w:shd w:val="clear" w:color="auto" w:fill="auto"/>
            <w:vAlign w:val="center"/>
          </w:tcPr>
          <w:p w14:paraId="6F237EE1">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23</w:t>
            </w:r>
          </w:p>
        </w:tc>
        <w:tc>
          <w:tcPr>
            <w:tcW w:w="558" w:type="dxa"/>
            <w:tcBorders>
              <w:top w:val="nil"/>
              <w:left w:val="nil"/>
              <w:bottom w:val="single" w:color="auto" w:sz="4" w:space="0"/>
              <w:right w:val="single" w:color="auto" w:sz="4" w:space="0"/>
            </w:tcBorders>
            <w:shd w:val="clear" w:color="auto" w:fill="auto"/>
            <w:vAlign w:val="center"/>
          </w:tcPr>
          <w:p w14:paraId="65705CC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DC6F3D6">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A0B356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13.1</w:t>
            </w:r>
          </w:p>
        </w:tc>
        <w:tc>
          <w:tcPr>
            <w:tcW w:w="989" w:type="dxa"/>
            <w:tcBorders>
              <w:top w:val="nil"/>
              <w:left w:val="nil"/>
              <w:bottom w:val="single" w:color="auto" w:sz="4" w:space="0"/>
              <w:right w:val="single" w:color="auto" w:sz="4" w:space="0"/>
            </w:tcBorders>
            <w:shd w:val="clear" w:color="auto" w:fill="auto"/>
            <w:vAlign w:val="center"/>
          </w:tcPr>
          <w:p w14:paraId="671F7AB6">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34B6D262">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像素间距 常规采用 P10 点间距；</w:t>
            </w:r>
          </w:p>
          <w:p w14:paraId="369B6206">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像素密度 P10：10000 点 /㎡；</w:t>
            </w:r>
          </w:p>
          <w:p w14:paraId="314C9D78">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显示内容剩余车位数；</w:t>
            </w:r>
          </w:p>
          <w:p w14:paraId="1CD6BC03">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显示位数 总车位数：4 位 / 5 位数字；剩余车位数：4 位数字；</w:t>
            </w:r>
          </w:p>
          <w:p w14:paraId="4B956E89">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数字字高 ≥160mm（确保 100 米外清晰可见）；</w:t>
            </w:r>
          </w:p>
          <w:p w14:paraId="305AFB58">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箱体尺寸 高度 1800~2200mm，宽度 600~800mm，厚度 100~150mm（可定制）；</w:t>
            </w:r>
          </w:p>
          <w:p w14:paraId="0734CDFF">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标准的通讯方式为RJ45，可单独或联网使用。显示内容可以是整个车库的空余车位余数，也可以是各区的空车位余数。通过管理系统获知空车位的占用情况，并反映在入口信息引导屏上。驾车者根据入口信息引导屏可以知道空余车位的数量以及前往具有空车位停车区的行进方向；</w:t>
            </w:r>
          </w:p>
          <w:p w14:paraId="7E549883">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箱体材质 镀锌钢板 / 铝合金型材，喷塑防腐处理；</w:t>
            </w:r>
          </w:p>
          <w:p w14:paraId="3C85B170">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防护等级≥IP65（正面）/≥IP54（背面），户外防水防尘；</w:t>
            </w:r>
          </w:p>
          <w:p w14:paraId="2F8622BD">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红色≥3000cd/㎡，绿色≥4000cd/㎡，支持自动亮度调节；</w:t>
            </w:r>
          </w:p>
          <w:p w14:paraId="510D628A">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工作环境 -20℃ ~ +60℃，湿度 10%~95% RH（无凝露）；</w:t>
            </w:r>
          </w:p>
          <w:p w14:paraId="05CA2757">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供电方式 AC220V±15%，50Hz，单台功率≤150W；</w:t>
            </w:r>
          </w:p>
          <w:p w14:paraId="6BC31139">
            <w:pPr>
              <w:pStyle w:val="4"/>
              <w:widowControl/>
              <w:numPr>
                <w:ilvl w:val="0"/>
                <w:numId w:val="20"/>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通讯协议支持与主流停车场管理系统对接（如韦根、RS485 协议）。</w:t>
            </w:r>
          </w:p>
        </w:tc>
        <w:tc>
          <w:tcPr>
            <w:tcW w:w="926" w:type="dxa"/>
            <w:tcBorders>
              <w:top w:val="nil"/>
              <w:left w:val="nil"/>
              <w:bottom w:val="single" w:color="auto" w:sz="4" w:space="0"/>
              <w:right w:val="single" w:color="auto" w:sz="4" w:space="0"/>
            </w:tcBorders>
            <w:shd w:val="clear" w:color="auto" w:fill="auto"/>
            <w:vAlign w:val="center"/>
          </w:tcPr>
          <w:p w14:paraId="010A56F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0FAE5FB5">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0F421255">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C199B8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13.2</w:t>
            </w:r>
          </w:p>
        </w:tc>
        <w:tc>
          <w:tcPr>
            <w:tcW w:w="989" w:type="dxa"/>
            <w:tcBorders>
              <w:top w:val="nil"/>
              <w:left w:val="nil"/>
              <w:bottom w:val="single" w:color="auto" w:sz="4" w:space="0"/>
              <w:right w:val="single" w:color="auto" w:sz="4" w:space="0"/>
            </w:tcBorders>
            <w:shd w:val="clear" w:color="auto" w:fill="auto"/>
            <w:vAlign w:val="center"/>
          </w:tcPr>
          <w:p w14:paraId="2F13AF7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控制器</w:t>
            </w:r>
          </w:p>
        </w:tc>
        <w:tc>
          <w:tcPr>
            <w:tcW w:w="5581" w:type="dxa"/>
            <w:tcBorders>
              <w:top w:val="nil"/>
              <w:left w:val="nil"/>
              <w:bottom w:val="single" w:color="auto" w:sz="4" w:space="0"/>
              <w:right w:val="single" w:color="auto" w:sz="4" w:space="0"/>
            </w:tcBorders>
            <w:shd w:val="clear" w:color="auto" w:fill="auto"/>
            <w:vAlign w:val="center"/>
          </w:tcPr>
          <w:p w14:paraId="79456B5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1.亮度控制：1-100可调（逐级白平衡）；</w:t>
            </w:r>
          </w:p>
          <w:p w14:paraId="66668EC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2.输入帧率：25Hz-60Hz；</w:t>
            </w:r>
          </w:p>
          <w:p w14:paraId="54183BF6">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3.显示颜色不低于1600w；</w:t>
            </w:r>
          </w:p>
          <w:p w14:paraId="2146B68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4.处理深度不低于8bit；</w:t>
            </w:r>
          </w:p>
          <w:p w14:paraId="4CF0FDE8">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5.支持图像缩放；</w:t>
            </w:r>
          </w:p>
          <w:p w14:paraId="09E34E6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6.平均功耗≤11W；</w:t>
            </w:r>
          </w:p>
          <w:p w14:paraId="77F3DD5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7.至少一个电源接口；</w:t>
            </w:r>
          </w:p>
          <w:p w14:paraId="16DC4BE9">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8.电源接口规格：12V，Φ2.1；</w:t>
            </w:r>
          </w:p>
          <w:p w14:paraId="3EF7718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9.工作湿度：10% ～ 90%，无冷凝；</w:t>
            </w:r>
          </w:p>
          <w:p w14:paraId="4E938FC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10.至少1路HDMI音频内嵌输入接口；</w:t>
            </w:r>
          </w:p>
          <w:p w14:paraId="1E903E0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 至少1路HDMI1.3或1路Android内置视频输入接口；</w:t>
            </w:r>
          </w:p>
          <w:p w14:paraId="1F77CB9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12.最大支持分辨率：1920*1080@60Hz；</w:t>
            </w:r>
          </w:p>
          <w:p w14:paraId="63AD04E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13.最小支持分辨率：320*180@60Hz；</w:t>
            </w:r>
          </w:p>
          <w:p w14:paraId="413EC40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14.可自定义分辨率，总分辨率不超过 207W@60；</w:t>
            </w:r>
          </w:p>
          <w:p w14:paraId="3D4831D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15.极限宽度：320~2048 对齐方式：4对齐；</w:t>
            </w:r>
          </w:p>
          <w:p w14:paraId="1A23D17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16.极限高度：180~2048 对齐方式：2对齐；</w:t>
            </w:r>
          </w:p>
          <w:p w14:paraId="7D1799C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17.视频输出LED带载能力：单网口带载65W；</w:t>
            </w:r>
          </w:p>
          <w:p w14:paraId="28E358D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18.宽度32~2048;对齐方式：2对齐；</w:t>
            </w:r>
          </w:p>
          <w:p w14:paraId="63D65B5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19.高度16~2048;对齐方式：1对齐；</w:t>
            </w:r>
          </w:p>
          <w:p w14:paraId="688A086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20.最大带载不超过65W；</w:t>
            </w:r>
          </w:p>
          <w:p w14:paraId="6228EB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21.LED带载接口数不少于1；</w:t>
            </w:r>
          </w:p>
          <w:p w14:paraId="4391677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22.LED带载接口类型：RJ45；</w:t>
            </w:r>
          </w:p>
          <w:p w14:paraId="671FA1F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23.音频输出接口类型：3.5mm 音频输出；</w:t>
            </w:r>
          </w:p>
          <w:p w14:paraId="1E1855A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24.内存容量≥2GB；</w:t>
            </w:r>
          </w:p>
          <w:p w14:paraId="32DD63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25.存储容量≥64GB；</w:t>
            </w:r>
          </w:p>
          <w:p w14:paraId="45B82116">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26.CPU：≥4核64位ARM cortex-A53 2.0GHz；</w:t>
            </w:r>
          </w:p>
          <w:p w14:paraId="6C6FB76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27.支持HDMI和Android源切换；</w:t>
            </w:r>
          </w:p>
          <w:p w14:paraId="12B1544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28.USB口：1路USB</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2.0</w:t>
            </w:r>
            <w:r>
              <w:rPr>
                <w:rFonts w:hint="eastAsia" w:asciiTheme="minorEastAsia" w:hAnsiTheme="minorEastAsia" w:eastAsiaTheme="minorEastAsia" w:cstheme="minorEastAsia"/>
                <w:color w:val="000000"/>
                <w:kern w:val="0"/>
                <w:sz w:val="22"/>
                <w:szCs w:val="22"/>
                <w:highlight w:val="none"/>
                <w:lang w:val="en-US" w:eastAsia="zh-CN"/>
              </w:rPr>
              <w:t>及以上</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w:t>
            </w:r>
          </w:p>
          <w:p w14:paraId="7E23FF4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29.控制网口：≥1个RJ45，10M/100M/1000M自适应以太网口</w:t>
            </w:r>
          </w:p>
        </w:tc>
        <w:tc>
          <w:tcPr>
            <w:tcW w:w="926" w:type="dxa"/>
            <w:tcBorders>
              <w:top w:val="nil"/>
              <w:left w:val="nil"/>
              <w:bottom w:val="single" w:color="auto" w:sz="4" w:space="0"/>
              <w:right w:val="single" w:color="auto" w:sz="4" w:space="0"/>
            </w:tcBorders>
            <w:shd w:val="clear" w:color="auto" w:fill="auto"/>
            <w:vAlign w:val="center"/>
          </w:tcPr>
          <w:p w14:paraId="03FA07D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295188F8">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1F07407C">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3C7173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13.3</w:t>
            </w:r>
          </w:p>
        </w:tc>
        <w:tc>
          <w:tcPr>
            <w:tcW w:w="989" w:type="dxa"/>
            <w:tcBorders>
              <w:top w:val="nil"/>
              <w:left w:val="nil"/>
              <w:bottom w:val="single" w:color="auto" w:sz="4" w:space="0"/>
              <w:right w:val="single" w:color="auto" w:sz="4" w:space="0"/>
            </w:tcBorders>
            <w:shd w:val="clear" w:color="auto" w:fill="auto"/>
            <w:vAlign w:val="center"/>
          </w:tcPr>
          <w:p w14:paraId="10A3963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接收卡</w:t>
            </w:r>
          </w:p>
        </w:tc>
        <w:tc>
          <w:tcPr>
            <w:tcW w:w="5581" w:type="dxa"/>
            <w:tcBorders>
              <w:top w:val="nil"/>
              <w:left w:val="nil"/>
              <w:bottom w:val="single" w:color="auto" w:sz="4" w:space="0"/>
              <w:right w:val="single" w:color="auto" w:sz="4" w:space="0"/>
            </w:tcBorders>
            <w:shd w:val="clear" w:color="auto" w:fill="auto"/>
            <w:vAlign w:val="center"/>
          </w:tcPr>
          <w:p w14:paraId="226D80F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1、单卡最大带载</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512*512@60HZ；</w:t>
            </w:r>
          </w:p>
          <w:p w14:paraId="096C7DA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2、支持配合3D功能控制器，输出3D画面实现主动式3D效果；</w:t>
            </w:r>
          </w:p>
          <w:p w14:paraId="6B89DC4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3、支持调价图像Gamma参数，有效控制显示屏低灰不均匀等问题，使画面更加真实；</w:t>
            </w:r>
          </w:p>
          <w:p w14:paraId="40E79E3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4、支持控制画面以90度的倍数旋转显示；</w:t>
            </w:r>
          </w:p>
          <w:p w14:paraId="347E730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5、支持在现实屏上标识颜色和编号，使用户清晰获取接收卡位置和走线方式，快速完成配屏操作；</w:t>
            </w:r>
          </w:p>
          <w:p w14:paraId="7D8C1F0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6、支持接收卡程序和配置一键复制到其他接收卡，快速完成配置；</w:t>
            </w:r>
          </w:p>
          <w:p w14:paraId="04D7D5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7、支持系统环路备份链接，链路节点异常时自动切换数据方向，维持屏幕正常显示；</w:t>
            </w:r>
          </w:p>
          <w:p w14:paraId="02FA088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8、支持程序双备份，防止程序更新过程异常导致接收卡死锁问题；</w:t>
            </w:r>
          </w:p>
          <w:p w14:paraId="633EA2E5">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9、HUB接口：不少于12路HUB75E；</w:t>
            </w:r>
          </w:p>
          <w:p w14:paraId="7FD5BB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10、支持千兆网直连功能，可在PC端客户端进行调试和显示。</w:t>
            </w:r>
          </w:p>
        </w:tc>
        <w:tc>
          <w:tcPr>
            <w:tcW w:w="926" w:type="dxa"/>
            <w:tcBorders>
              <w:top w:val="nil"/>
              <w:left w:val="nil"/>
              <w:bottom w:val="single" w:color="auto" w:sz="4" w:space="0"/>
              <w:right w:val="single" w:color="auto" w:sz="4" w:space="0"/>
            </w:tcBorders>
            <w:shd w:val="clear" w:color="auto" w:fill="auto"/>
            <w:vAlign w:val="center"/>
          </w:tcPr>
          <w:p w14:paraId="0CCECE2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8AE97B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块</w:t>
            </w:r>
          </w:p>
        </w:tc>
      </w:tr>
      <w:tr w14:paraId="6F61649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15A931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13.4</w:t>
            </w:r>
          </w:p>
        </w:tc>
        <w:tc>
          <w:tcPr>
            <w:tcW w:w="989" w:type="dxa"/>
            <w:tcBorders>
              <w:top w:val="nil"/>
              <w:left w:val="nil"/>
              <w:bottom w:val="single" w:color="auto" w:sz="4" w:space="0"/>
              <w:right w:val="single" w:color="auto" w:sz="4" w:space="0"/>
            </w:tcBorders>
            <w:shd w:val="clear" w:color="auto" w:fill="auto"/>
            <w:vAlign w:val="center"/>
          </w:tcPr>
          <w:p w14:paraId="6595F49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电源</w:t>
            </w:r>
          </w:p>
        </w:tc>
        <w:tc>
          <w:tcPr>
            <w:tcW w:w="5581" w:type="dxa"/>
            <w:tcBorders>
              <w:top w:val="nil"/>
              <w:left w:val="nil"/>
              <w:bottom w:val="single" w:color="auto" w:sz="4" w:space="0"/>
              <w:right w:val="single" w:color="auto" w:sz="4" w:space="0"/>
            </w:tcBorders>
            <w:shd w:val="clear" w:color="auto" w:fill="auto"/>
            <w:vAlign w:val="center"/>
          </w:tcPr>
          <w:p w14:paraId="4AF6003E">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5V40A200W  输入电压范围：176-264VAC；</w:t>
            </w:r>
          </w:p>
          <w:p w14:paraId="4188AC33">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输入频率范围：47-63HZ；</w:t>
            </w:r>
          </w:p>
          <w:p w14:paraId="23C3C1AB">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额定输入(Vac):200V-240V；</w:t>
            </w:r>
          </w:p>
          <w:p w14:paraId="0F5F8361">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输出(vdc):5V/60A；</w:t>
            </w:r>
          </w:p>
          <w:p w14:paraId="4241BD65">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输出电压范围：4.85V-5.15V；</w:t>
            </w:r>
          </w:p>
          <w:p w14:paraId="20CCB01F">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负载调整率：±2%；</w:t>
            </w:r>
          </w:p>
          <w:p w14:paraId="7BCA746B">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稳压精度：±3%；</w:t>
            </w:r>
          </w:p>
          <w:p w14:paraId="373FCA1E">
            <w:pPr>
              <w:pStyle w:val="4"/>
              <w:widowControl/>
              <w:numPr>
                <w:ilvl w:val="0"/>
                <w:numId w:val="21"/>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工作温度：-40℃-70℃；</w:t>
            </w:r>
          </w:p>
        </w:tc>
        <w:tc>
          <w:tcPr>
            <w:tcW w:w="926" w:type="dxa"/>
            <w:tcBorders>
              <w:top w:val="nil"/>
              <w:left w:val="nil"/>
              <w:bottom w:val="single" w:color="auto" w:sz="4" w:space="0"/>
              <w:right w:val="single" w:color="auto" w:sz="4" w:space="0"/>
            </w:tcBorders>
            <w:shd w:val="clear" w:color="auto" w:fill="auto"/>
            <w:vAlign w:val="center"/>
          </w:tcPr>
          <w:p w14:paraId="4DE62EB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w:t>
            </w:r>
          </w:p>
        </w:tc>
        <w:tc>
          <w:tcPr>
            <w:tcW w:w="558" w:type="dxa"/>
            <w:tcBorders>
              <w:top w:val="nil"/>
              <w:left w:val="nil"/>
              <w:bottom w:val="single" w:color="auto" w:sz="4" w:space="0"/>
              <w:right w:val="single" w:color="auto" w:sz="4" w:space="0"/>
            </w:tcBorders>
            <w:shd w:val="clear" w:color="auto" w:fill="auto"/>
            <w:vAlign w:val="center"/>
          </w:tcPr>
          <w:p w14:paraId="63342B5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个</w:t>
            </w:r>
          </w:p>
        </w:tc>
      </w:tr>
      <w:tr w14:paraId="392A7009">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252E1E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13.5</w:t>
            </w:r>
          </w:p>
        </w:tc>
        <w:tc>
          <w:tcPr>
            <w:tcW w:w="989" w:type="dxa"/>
            <w:tcBorders>
              <w:top w:val="nil"/>
              <w:left w:val="nil"/>
              <w:bottom w:val="single" w:color="auto" w:sz="4" w:space="0"/>
              <w:right w:val="single" w:color="auto" w:sz="4" w:space="0"/>
            </w:tcBorders>
            <w:shd w:val="clear" w:color="auto" w:fill="auto"/>
            <w:vAlign w:val="center"/>
          </w:tcPr>
          <w:p w14:paraId="7AD885B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防水箱体（定制）</w:t>
            </w:r>
          </w:p>
        </w:tc>
        <w:tc>
          <w:tcPr>
            <w:tcW w:w="5581" w:type="dxa"/>
            <w:tcBorders>
              <w:top w:val="nil"/>
              <w:left w:val="nil"/>
              <w:bottom w:val="single" w:color="auto" w:sz="4" w:space="0"/>
              <w:right w:val="single" w:color="auto" w:sz="4" w:space="0"/>
            </w:tcBorders>
            <w:shd w:val="clear" w:color="auto" w:fill="auto"/>
            <w:vAlign w:val="center"/>
          </w:tcPr>
          <w:p w14:paraId="3127B54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材质spcc镀锌钢板，材料厚度1.2mm，双色，内置灯带，表面静电喷塑，防水≥ip65，地面配≥8mm固定钢板</w:t>
            </w:r>
          </w:p>
        </w:tc>
        <w:tc>
          <w:tcPr>
            <w:tcW w:w="926" w:type="dxa"/>
            <w:tcBorders>
              <w:top w:val="nil"/>
              <w:left w:val="nil"/>
              <w:bottom w:val="single" w:color="auto" w:sz="4" w:space="0"/>
              <w:right w:val="single" w:color="auto" w:sz="4" w:space="0"/>
            </w:tcBorders>
            <w:shd w:val="clear" w:color="auto" w:fill="auto"/>
            <w:vAlign w:val="center"/>
          </w:tcPr>
          <w:p w14:paraId="787C5F7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169FF4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608821E1">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B2376B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13.6</w:t>
            </w:r>
          </w:p>
        </w:tc>
        <w:tc>
          <w:tcPr>
            <w:tcW w:w="989" w:type="dxa"/>
            <w:tcBorders>
              <w:top w:val="nil"/>
              <w:left w:val="nil"/>
              <w:bottom w:val="single" w:color="auto" w:sz="4" w:space="0"/>
              <w:right w:val="single" w:color="auto" w:sz="4" w:space="0"/>
            </w:tcBorders>
            <w:shd w:val="clear" w:color="auto" w:fill="auto"/>
            <w:vAlign w:val="center"/>
          </w:tcPr>
          <w:p w14:paraId="154E344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5581" w:type="dxa"/>
            <w:tcBorders>
              <w:top w:val="nil"/>
              <w:left w:val="nil"/>
              <w:bottom w:val="single" w:color="auto" w:sz="4" w:space="0"/>
              <w:right w:val="single" w:color="auto" w:sz="4" w:space="0"/>
            </w:tcBorders>
            <w:shd w:val="clear" w:color="auto" w:fill="auto"/>
            <w:vAlign w:val="center"/>
          </w:tcPr>
          <w:p w14:paraId="7331BE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926" w:type="dxa"/>
            <w:tcBorders>
              <w:top w:val="nil"/>
              <w:left w:val="nil"/>
              <w:bottom w:val="single" w:color="auto" w:sz="4" w:space="0"/>
              <w:right w:val="single" w:color="auto" w:sz="4" w:space="0"/>
            </w:tcBorders>
            <w:shd w:val="clear" w:color="auto" w:fill="auto"/>
            <w:vAlign w:val="center"/>
          </w:tcPr>
          <w:p w14:paraId="69FDE92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55D7228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8777323">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DD6273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13.7</w:t>
            </w:r>
          </w:p>
        </w:tc>
        <w:tc>
          <w:tcPr>
            <w:tcW w:w="989" w:type="dxa"/>
            <w:tcBorders>
              <w:top w:val="nil"/>
              <w:left w:val="nil"/>
              <w:bottom w:val="single" w:color="auto" w:sz="4" w:space="0"/>
              <w:right w:val="single" w:color="auto" w:sz="4" w:space="0"/>
            </w:tcBorders>
            <w:shd w:val="clear" w:color="auto" w:fill="auto"/>
            <w:vAlign w:val="center"/>
          </w:tcPr>
          <w:p w14:paraId="64F6C5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混凝土基础</w:t>
            </w:r>
          </w:p>
        </w:tc>
        <w:tc>
          <w:tcPr>
            <w:tcW w:w="5581" w:type="dxa"/>
            <w:tcBorders>
              <w:top w:val="nil"/>
              <w:left w:val="nil"/>
              <w:bottom w:val="single" w:color="auto" w:sz="4" w:space="0"/>
              <w:right w:val="single" w:color="auto" w:sz="4" w:space="0"/>
            </w:tcBorders>
            <w:shd w:val="clear" w:color="auto" w:fill="auto"/>
            <w:vAlign w:val="center"/>
          </w:tcPr>
          <w:p w14:paraId="37F4E60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基础尺寸：1.0*0.8*0.8</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基础材质：C25混凝土</w:t>
            </w:r>
          </w:p>
        </w:tc>
        <w:tc>
          <w:tcPr>
            <w:tcW w:w="926" w:type="dxa"/>
            <w:tcBorders>
              <w:top w:val="nil"/>
              <w:left w:val="nil"/>
              <w:bottom w:val="single" w:color="auto" w:sz="4" w:space="0"/>
              <w:right w:val="single" w:color="auto" w:sz="4" w:space="0"/>
            </w:tcBorders>
            <w:shd w:val="clear" w:color="auto" w:fill="auto"/>
            <w:vAlign w:val="center"/>
          </w:tcPr>
          <w:p w14:paraId="3A7F05A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4DA382E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4B6ED18">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CCD0B3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13.8</w:t>
            </w:r>
          </w:p>
        </w:tc>
        <w:tc>
          <w:tcPr>
            <w:tcW w:w="989" w:type="dxa"/>
            <w:tcBorders>
              <w:top w:val="nil"/>
              <w:left w:val="nil"/>
              <w:bottom w:val="single" w:color="auto" w:sz="4" w:space="0"/>
              <w:right w:val="single" w:color="auto" w:sz="4" w:space="0"/>
            </w:tcBorders>
            <w:shd w:val="clear" w:color="auto" w:fill="auto"/>
            <w:vAlign w:val="center"/>
          </w:tcPr>
          <w:p w14:paraId="7C767B2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辅材</w:t>
            </w:r>
          </w:p>
        </w:tc>
        <w:tc>
          <w:tcPr>
            <w:tcW w:w="5581" w:type="dxa"/>
            <w:tcBorders>
              <w:top w:val="nil"/>
              <w:left w:val="nil"/>
              <w:bottom w:val="single" w:color="auto" w:sz="4" w:space="0"/>
              <w:right w:val="single" w:color="auto" w:sz="4" w:space="0"/>
            </w:tcBorders>
            <w:shd w:val="clear" w:color="auto" w:fill="auto"/>
            <w:vAlign w:val="center"/>
          </w:tcPr>
          <w:p w14:paraId="5621157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34D145D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6DB57BE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A00DB69">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7DD36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w:t>
            </w:r>
          </w:p>
        </w:tc>
        <w:tc>
          <w:tcPr>
            <w:tcW w:w="989" w:type="dxa"/>
            <w:tcBorders>
              <w:top w:val="nil"/>
              <w:left w:val="nil"/>
              <w:bottom w:val="single" w:color="auto" w:sz="4" w:space="0"/>
              <w:right w:val="single" w:color="auto" w:sz="4" w:space="0"/>
            </w:tcBorders>
            <w:shd w:val="clear" w:color="auto" w:fill="auto"/>
            <w:vAlign w:val="center"/>
          </w:tcPr>
          <w:p w14:paraId="22BB7380">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配套线缆</w:t>
            </w:r>
          </w:p>
        </w:tc>
        <w:tc>
          <w:tcPr>
            <w:tcW w:w="5581" w:type="dxa"/>
            <w:tcBorders>
              <w:top w:val="nil"/>
              <w:left w:val="nil"/>
              <w:bottom w:val="single" w:color="auto" w:sz="4" w:space="0"/>
              <w:right w:val="single" w:color="auto" w:sz="4" w:space="0"/>
            </w:tcBorders>
            <w:shd w:val="clear" w:color="auto" w:fill="auto"/>
            <w:vAlign w:val="center"/>
          </w:tcPr>
          <w:p w14:paraId="21EFAFC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详见参数14.1-14.4</w:t>
            </w:r>
          </w:p>
        </w:tc>
        <w:tc>
          <w:tcPr>
            <w:tcW w:w="926" w:type="dxa"/>
            <w:tcBorders>
              <w:top w:val="nil"/>
              <w:left w:val="nil"/>
              <w:bottom w:val="single" w:color="auto" w:sz="4" w:space="0"/>
              <w:right w:val="single" w:color="auto" w:sz="4" w:space="0"/>
            </w:tcBorders>
            <w:shd w:val="clear" w:color="auto" w:fill="auto"/>
            <w:vAlign w:val="center"/>
          </w:tcPr>
          <w:p w14:paraId="2DA3453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189E55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点位</w:t>
            </w:r>
          </w:p>
        </w:tc>
      </w:tr>
      <w:tr w14:paraId="7F2A21F8">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C9DC952">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14.1</w:t>
            </w:r>
          </w:p>
        </w:tc>
        <w:tc>
          <w:tcPr>
            <w:tcW w:w="989" w:type="dxa"/>
            <w:tcBorders>
              <w:top w:val="nil"/>
              <w:left w:val="nil"/>
              <w:bottom w:val="single" w:color="auto" w:sz="4" w:space="0"/>
              <w:right w:val="single" w:color="auto" w:sz="4" w:space="0"/>
            </w:tcBorders>
            <w:shd w:val="clear" w:color="auto" w:fill="auto"/>
            <w:vAlign w:val="center"/>
          </w:tcPr>
          <w:p w14:paraId="7B1FCAF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2CD4C93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ZR-YJV5*10mm</w:t>
            </w:r>
            <w:r>
              <w:rPr>
                <w:rFonts w:hint="eastAsia" w:asciiTheme="minorEastAsia" w:hAnsiTheme="minorEastAsia" w:eastAsiaTheme="minorEastAsia" w:cstheme="minorEastAsia"/>
                <w:color w:val="000000"/>
                <w:kern w:val="0"/>
                <w:sz w:val="22"/>
                <w:szCs w:val="22"/>
                <w:highlight w:val="none"/>
                <w:vertAlign w:val="superscript"/>
              </w:rPr>
              <w:t>2</w:t>
            </w:r>
          </w:p>
        </w:tc>
        <w:tc>
          <w:tcPr>
            <w:tcW w:w="926" w:type="dxa"/>
            <w:tcBorders>
              <w:top w:val="nil"/>
              <w:left w:val="nil"/>
              <w:bottom w:val="single" w:color="auto" w:sz="4" w:space="0"/>
              <w:right w:val="single" w:color="auto" w:sz="4" w:space="0"/>
            </w:tcBorders>
            <w:shd w:val="clear" w:color="auto" w:fill="auto"/>
            <w:vAlign w:val="center"/>
          </w:tcPr>
          <w:p w14:paraId="46C094D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2600</w:t>
            </w:r>
          </w:p>
        </w:tc>
        <w:tc>
          <w:tcPr>
            <w:tcW w:w="558" w:type="dxa"/>
            <w:tcBorders>
              <w:top w:val="nil"/>
              <w:left w:val="nil"/>
              <w:bottom w:val="single" w:color="auto" w:sz="4" w:space="0"/>
              <w:right w:val="single" w:color="auto" w:sz="4" w:space="0"/>
            </w:tcBorders>
            <w:shd w:val="clear" w:color="auto" w:fill="auto"/>
            <w:vAlign w:val="center"/>
          </w:tcPr>
          <w:p w14:paraId="5EF6B9B8">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2CFDF8DA">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3A83A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14.2</w:t>
            </w:r>
          </w:p>
        </w:tc>
        <w:tc>
          <w:tcPr>
            <w:tcW w:w="989" w:type="dxa"/>
            <w:tcBorders>
              <w:top w:val="nil"/>
              <w:left w:val="nil"/>
              <w:bottom w:val="single" w:color="auto" w:sz="4" w:space="0"/>
              <w:right w:val="single" w:color="auto" w:sz="4" w:space="0"/>
            </w:tcBorders>
            <w:shd w:val="clear" w:color="auto" w:fill="auto"/>
            <w:vAlign w:val="center"/>
          </w:tcPr>
          <w:p w14:paraId="5430EB3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35CC6FA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ZR-YJ5*6mm</w:t>
            </w:r>
            <w:r>
              <w:rPr>
                <w:rFonts w:hint="eastAsia" w:asciiTheme="minorEastAsia" w:hAnsiTheme="minorEastAsia" w:eastAsiaTheme="minorEastAsia" w:cstheme="minorEastAsia"/>
                <w:color w:val="000000"/>
                <w:kern w:val="0"/>
                <w:sz w:val="22"/>
                <w:szCs w:val="22"/>
                <w:highlight w:val="none"/>
                <w:vertAlign w:val="superscript"/>
              </w:rPr>
              <w:t>2</w:t>
            </w:r>
            <w:r>
              <w:rPr>
                <w:rFonts w:hint="eastAsia" w:asciiTheme="minorEastAsia" w:hAnsiTheme="minorEastAsia" w:eastAsiaTheme="minorEastAsia" w:cstheme="minorEastAsia"/>
                <w:color w:val="000000"/>
                <w:kern w:val="0"/>
                <w:sz w:val="22"/>
                <w:szCs w:val="22"/>
                <w:highlight w:val="none"/>
              </w:rPr>
              <w:t xml:space="preserve"> </w:t>
            </w:r>
          </w:p>
        </w:tc>
        <w:tc>
          <w:tcPr>
            <w:tcW w:w="926" w:type="dxa"/>
            <w:tcBorders>
              <w:top w:val="nil"/>
              <w:left w:val="nil"/>
              <w:bottom w:val="single" w:color="auto" w:sz="4" w:space="0"/>
              <w:right w:val="single" w:color="auto" w:sz="4" w:space="0"/>
            </w:tcBorders>
            <w:shd w:val="clear" w:color="auto" w:fill="auto"/>
            <w:vAlign w:val="center"/>
          </w:tcPr>
          <w:p w14:paraId="10D3500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5440</w:t>
            </w:r>
          </w:p>
        </w:tc>
        <w:tc>
          <w:tcPr>
            <w:tcW w:w="558" w:type="dxa"/>
            <w:tcBorders>
              <w:top w:val="nil"/>
              <w:left w:val="nil"/>
              <w:bottom w:val="single" w:color="auto" w:sz="4" w:space="0"/>
              <w:right w:val="single" w:color="auto" w:sz="4" w:space="0"/>
            </w:tcBorders>
            <w:shd w:val="clear" w:color="auto" w:fill="auto"/>
            <w:vAlign w:val="center"/>
          </w:tcPr>
          <w:p w14:paraId="25A1603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69E72659">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B999B2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14.3</w:t>
            </w:r>
          </w:p>
        </w:tc>
        <w:tc>
          <w:tcPr>
            <w:tcW w:w="989" w:type="dxa"/>
            <w:tcBorders>
              <w:top w:val="nil"/>
              <w:left w:val="nil"/>
              <w:bottom w:val="single" w:color="auto" w:sz="4" w:space="0"/>
              <w:right w:val="single" w:color="auto" w:sz="4" w:space="0"/>
            </w:tcBorders>
            <w:shd w:val="clear" w:color="auto" w:fill="auto"/>
            <w:vAlign w:val="center"/>
          </w:tcPr>
          <w:p w14:paraId="69EE047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1F43EA6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ZR-YJV3*2.5mm</w:t>
            </w:r>
            <w:r>
              <w:rPr>
                <w:rFonts w:hint="eastAsia" w:asciiTheme="minorEastAsia" w:hAnsiTheme="minorEastAsia" w:eastAsiaTheme="minorEastAsia" w:cstheme="minorEastAsia"/>
                <w:color w:val="000000"/>
                <w:kern w:val="0"/>
                <w:sz w:val="22"/>
                <w:szCs w:val="22"/>
                <w:highlight w:val="none"/>
                <w:vertAlign w:val="superscript"/>
              </w:rPr>
              <w:t>2</w:t>
            </w:r>
          </w:p>
        </w:tc>
        <w:tc>
          <w:tcPr>
            <w:tcW w:w="926" w:type="dxa"/>
            <w:tcBorders>
              <w:top w:val="nil"/>
              <w:left w:val="nil"/>
              <w:bottom w:val="single" w:color="auto" w:sz="4" w:space="0"/>
              <w:right w:val="single" w:color="auto" w:sz="4" w:space="0"/>
            </w:tcBorders>
            <w:shd w:val="clear" w:color="auto" w:fill="auto"/>
            <w:vAlign w:val="center"/>
          </w:tcPr>
          <w:p w14:paraId="75E3363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6400</w:t>
            </w:r>
          </w:p>
        </w:tc>
        <w:tc>
          <w:tcPr>
            <w:tcW w:w="558" w:type="dxa"/>
            <w:tcBorders>
              <w:top w:val="nil"/>
              <w:left w:val="nil"/>
              <w:bottom w:val="single" w:color="auto" w:sz="4" w:space="0"/>
              <w:right w:val="single" w:color="auto" w:sz="4" w:space="0"/>
            </w:tcBorders>
            <w:shd w:val="clear" w:color="auto" w:fill="auto"/>
            <w:vAlign w:val="center"/>
          </w:tcPr>
          <w:p w14:paraId="1C926C9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735BEEF1">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1252BC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14.4</w:t>
            </w:r>
          </w:p>
        </w:tc>
        <w:tc>
          <w:tcPr>
            <w:tcW w:w="989" w:type="dxa"/>
            <w:tcBorders>
              <w:top w:val="nil"/>
              <w:left w:val="nil"/>
              <w:bottom w:val="single" w:color="auto" w:sz="4" w:space="0"/>
              <w:right w:val="single" w:color="auto" w:sz="4" w:space="0"/>
            </w:tcBorders>
            <w:shd w:val="clear" w:color="auto" w:fill="auto"/>
            <w:vAlign w:val="center"/>
          </w:tcPr>
          <w:p w14:paraId="49B3735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室外六类线</w:t>
            </w:r>
          </w:p>
        </w:tc>
        <w:tc>
          <w:tcPr>
            <w:tcW w:w="5581" w:type="dxa"/>
            <w:tcBorders>
              <w:top w:val="nil"/>
              <w:left w:val="nil"/>
              <w:bottom w:val="single" w:color="auto" w:sz="4" w:space="0"/>
              <w:right w:val="single" w:color="auto" w:sz="4" w:space="0"/>
            </w:tcBorders>
            <w:shd w:val="clear" w:color="auto" w:fill="auto"/>
            <w:vAlign w:val="center"/>
          </w:tcPr>
          <w:p w14:paraId="3383FBA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STP.6 室外型,≥305m/箱</w:t>
            </w:r>
          </w:p>
        </w:tc>
        <w:tc>
          <w:tcPr>
            <w:tcW w:w="926" w:type="dxa"/>
            <w:tcBorders>
              <w:top w:val="nil"/>
              <w:left w:val="nil"/>
              <w:bottom w:val="single" w:color="auto" w:sz="4" w:space="0"/>
              <w:right w:val="single" w:color="auto" w:sz="4" w:space="0"/>
            </w:tcBorders>
            <w:shd w:val="clear" w:color="auto" w:fill="auto"/>
            <w:vAlign w:val="center"/>
          </w:tcPr>
          <w:p w14:paraId="4FA3FF9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4C20A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w:t>
            </w:r>
          </w:p>
        </w:tc>
      </w:tr>
      <w:tr w14:paraId="7024653D">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302A21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15</w:t>
            </w:r>
          </w:p>
        </w:tc>
        <w:tc>
          <w:tcPr>
            <w:tcW w:w="989" w:type="dxa"/>
            <w:tcBorders>
              <w:top w:val="nil"/>
              <w:left w:val="nil"/>
              <w:bottom w:val="single" w:color="auto" w:sz="4" w:space="0"/>
              <w:right w:val="single" w:color="auto" w:sz="4" w:space="0"/>
            </w:tcBorders>
            <w:shd w:val="clear" w:color="auto" w:fill="auto"/>
            <w:vAlign w:val="center"/>
          </w:tcPr>
          <w:p w14:paraId="25CD9708">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配套管材</w:t>
            </w:r>
          </w:p>
        </w:tc>
        <w:tc>
          <w:tcPr>
            <w:tcW w:w="5581" w:type="dxa"/>
            <w:tcBorders>
              <w:top w:val="nil"/>
              <w:left w:val="nil"/>
              <w:bottom w:val="single" w:color="auto" w:sz="4" w:space="0"/>
              <w:right w:val="single" w:color="auto" w:sz="4" w:space="0"/>
            </w:tcBorders>
            <w:shd w:val="clear" w:color="auto" w:fill="auto"/>
            <w:vAlign w:val="center"/>
          </w:tcPr>
          <w:p w14:paraId="6FA4C4D9">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直埋PE管、引上钢管、JDG电线管</w:t>
            </w:r>
          </w:p>
        </w:tc>
        <w:tc>
          <w:tcPr>
            <w:tcW w:w="926" w:type="dxa"/>
            <w:tcBorders>
              <w:top w:val="nil"/>
              <w:left w:val="nil"/>
              <w:bottom w:val="single" w:color="auto" w:sz="4" w:space="0"/>
              <w:right w:val="single" w:color="auto" w:sz="4" w:space="0"/>
            </w:tcBorders>
            <w:shd w:val="clear" w:color="auto" w:fill="auto"/>
            <w:vAlign w:val="center"/>
          </w:tcPr>
          <w:p w14:paraId="571EF4B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4D377EC">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点位</w:t>
            </w:r>
          </w:p>
        </w:tc>
      </w:tr>
    </w:tbl>
    <w:p w14:paraId="05D7FA1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B2B44"/>
    <w:multiLevelType w:val="multilevel"/>
    <w:tmpl w:val="001B2B4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9A197D"/>
    <w:multiLevelType w:val="multilevel"/>
    <w:tmpl w:val="0C9A197D"/>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9254CF2"/>
    <w:multiLevelType w:val="multilevel"/>
    <w:tmpl w:val="19254CF2"/>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12966E7"/>
    <w:multiLevelType w:val="multilevel"/>
    <w:tmpl w:val="212966E7"/>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29448DB"/>
    <w:multiLevelType w:val="multilevel"/>
    <w:tmpl w:val="229448DB"/>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2A13891"/>
    <w:multiLevelType w:val="multilevel"/>
    <w:tmpl w:val="22A13891"/>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3C9165F"/>
    <w:multiLevelType w:val="multilevel"/>
    <w:tmpl w:val="23C9165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B4E1746"/>
    <w:multiLevelType w:val="multilevel"/>
    <w:tmpl w:val="2B4E1746"/>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C5A2F90"/>
    <w:multiLevelType w:val="multilevel"/>
    <w:tmpl w:val="2C5A2F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5535CB0"/>
    <w:multiLevelType w:val="multilevel"/>
    <w:tmpl w:val="35535CB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6A22877"/>
    <w:multiLevelType w:val="multilevel"/>
    <w:tmpl w:val="36A22877"/>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CCC21A9"/>
    <w:multiLevelType w:val="multilevel"/>
    <w:tmpl w:val="3CCC21A9"/>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24520E4"/>
    <w:multiLevelType w:val="multilevel"/>
    <w:tmpl w:val="424520E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5145C80"/>
    <w:multiLevelType w:val="multilevel"/>
    <w:tmpl w:val="45145C8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5922F88"/>
    <w:multiLevelType w:val="multilevel"/>
    <w:tmpl w:val="45922F8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E5F3A28"/>
    <w:multiLevelType w:val="multilevel"/>
    <w:tmpl w:val="5E5F3A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90C50DA"/>
    <w:multiLevelType w:val="multilevel"/>
    <w:tmpl w:val="690C50DA"/>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2C24153"/>
    <w:multiLevelType w:val="multilevel"/>
    <w:tmpl w:val="72C2415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C56453D"/>
    <w:multiLevelType w:val="multilevel"/>
    <w:tmpl w:val="7C56453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EBA087F"/>
    <w:multiLevelType w:val="multilevel"/>
    <w:tmpl w:val="7EBA08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F1B0BA9"/>
    <w:multiLevelType w:val="multilevel"/>
    <w:tmpl w:val="7F1B0BA9"/>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9"/>
  </w:num>
  <w:num w:numId="2">
    <w:abstractNumId w:val="14"/>
  </w:num>
  <w:num w:numId="3">
    <w:abstractNumId w:val="15"/>
  </w:num>
  <w:num w:numId="4">
    <w:abstractNumId w:val="6"/>
  </w:num>
  <w:num w:numId="5">
    <w:abstractNumId w:val="17"/>
  </w:num>
  <w:num w:numId="6">
    <w:abstractNumId w:val="9"/>
  </w:num>
  <w:num w:numId="7">
    <w:abstractNumId w:val="16"/>
  </w:num>
  <w:num w:numId="8">
    <w:abstractNumId w:val="4"/>
  </w:num>
  <w:num w:numId="9">
    <w:abstractNumId w:val="7"/>
  </w:num>
  <w:num w:numId="10">
    <w:abstractNumId w:val="5"/>
  </w:num>
  <w:num w:numId="11">
    <w:abstractNumId w:val="10"/>
  </w:num>
  <w:num w:numId="12">
    <w:abstractNumId w:val="1"/>
  </w:num>
  <w:num w:numId="13">
    <w:abstractNumId w:val="2"/>
  </w:num>
  <w:num w:numId="14">
    <w:abstractNumId w:val="11"/>
  </w:num>
  <w:num w:numId="15">
    <w:abstractNumId w:val="13"/>
  </w:num>
  <w:num w:numId="16">
    <w:abstractNumId w:val="20"/>
  </w:num>
  <w:num w:numId="17">
    <w:abstractNumId w:val="0"/>
  </w:num>
  <w:num w:numId="18">
    <w:abstractNumId w:val="8"/>
  </w:num>
  <w:num w:numId="19">
    <w:abstractNumId w:val="12"/>
  </w:num>
  <w:num w:numId="20">
    <w:abstractNumId w:val="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67C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11"/>
    <w:basedOn w:val="1"/>
    <w:qFormat/>
    <w:uiPriority w:val="34"/>
    <w:pPr>
      <w:ind w:firstLine="420" w:firstLineChars="200"/>
    </w:pPr>
  </w:style>
  <w:style w:type="paragraph" w:customStyle="1" w:styleId="5">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2026-08-05T09:23:59Z</dcterms:created>
  <dc:creator>admin</dc:creator>
  <cp:lastModifiedBy>admin</cp:lastModifiedBy>
  <dcterms:modified xsi:type="dcterms:W3CDTF">2026-08-05T09:28:42Z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A853FE7EED214058BEDB093BA724F057_12</vt:lpwstr>
  </property>
</Properties>
</file>