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1D8F7B">
      <w:pPr>
        <w:pStyle w:val="11"/>
        <w:jc w:val="center"/>
        <w:rPr>
          <w:rFonts w:hint="eastAsia" w:ascii="仿宋" w:hAnsi="仿宋" w:eastAsia="仿宋" w:cs="仿宋"/>
          <w:b/>
          <w:bCs/>
          <w:lang w:eastAsia="zh-CN"/>
        </w:rPr>
      </w:pPr>
      <w:bookmarkStart w:id="0" w:name="_Toc5647"/>
      <w:bookmarkStart w:id="1" w:name="_Toc25994"/>
      <w:r>
        <w:rPr>
          <w:rFonts w:hint="eastAsia" w:ascii="仿宋" w:hAnsi="仿宋" w:eastAsia="仿宋" w:cs="仿宋"/>
          <w:b/>
          <w:bCs/>
          <w:lang w:val="en-US" w:eastAsia="zh-CN"/>
        </w:rPr>
        <w:t xml:space="preserve"> </w:t>
      </w:r>
      <w:bookmarkStart w:id="2" w:name="_Toc4223"/>
      <w:r>
        <w:rPr>
          <w:rFonts w:hint="eastAsia" w:ascii="仿宋" w:hAnsi="仿宋" w:eastAsia="仿宋" w:cs="仿宋"/>
          <w:b/>
          <w:bCs/>
        </w:rPr>
        <w:t>合同文本</w:t>
      </w:r>
      <w:bookmarkEnd w:id="0"/>
      <w:bookmarkEnd w:id="1"/>
      <w:r>
        <w:rPr>
          <w:rFonts w:hint="eastAsia" w:ascii="仿宋" w:hAnsi="仿宋" w:eastAsia="仿宋" w:cs="仿宋"/>
          <w:b/>
          <w:bCs/>
          <w:lang w:eastAsia="zh-CN"/>
        </w:rPr>
        <w:t>（</w:t>
      </w:r>
      <w:r>
        <w:rPr>
          <w:rFonts w:hint="eastAsia" w:ascii="仿宋" w:hAnsi="仿宋" w:eastAsia="仿宋" w:cs="仿宋"/>
          <w:b/>
          <w:bCs/>
          <w:lang w:val="en-US" w:eastAsia="zh-CN"/>
        </w:rPr>
        <w:t>参考</w:t>
      </w:r>
      <w:r>
        <w:rPr>
          <w:rFonts w:hint="eastAsia" w:ascii="仿宋" w:hAnsi="仿宋" w:eastAsia="仿宋" w:cs="仿宋"/>
          <w:b/>
          <w:bCs/>
          <w:lang w:eastAsia="zh-CN"/>
        </w:rPr>
        <w:t>）</w:t>
      </w:r>
      <w:bookmarkEnd w:id="2"/>
    </w:p>
    <w:p w14:paraId="101AC52E">
      <w:pPr>
        <w:spacing w:line="360" w:lineRule="auto"/>
        <w:ind w:firstLine="420" w:firstLineChars="200"/>
        <w:rPr>
          <w:rFonts w:hint="eastAsia" w:ascii="仿宋" w:hAnsi="仿宋" w:eastAsia="仿宋" w:cs="仿宋"/>
        </w:rPr>
      </w:pPr>
    </w:p>
    <w:p w14:paraId="4591BE05">
      <w:pPr>
        <w:outlineLvl w:val="9"/>
        <w:rPr>
          <w:rFonts w:hint="eastAsia" w:ascii="仿宋" w:hAnsi="仿宋" w:eastAsia="仿宋" w:cs="仿宋"/>
          <w:b/>
          <w:sz w:val="28"/>
          <w:szCs w:val="28"/>
        </w:rPr>
      </w:pPr>
      <w:r>
        <w:rPr>
          <w:rFonts w:hint="eastAsia" w:ascii="仿宋" w:hAnsi="仿宋" w:eastAsia="仿宋" w:cs="仿宋"/>
          <w:b/>
          <w:sz w:val="28"/>
          <w:szCs w:val="28"/>
        </w:rPr>
        <w:t>合同编号：</w:t>
      </w:r>
    </w:p>
    <w:p w14:paraId="0D80A3E7">
      <w:pPr>
        <w:spacing w:line="360" w:lineRule="auto"/>
        <w:jc w:val="both"/>
        <w:outlineLvl w:val="9"/>
        <w:rPr>
          <w:rFonts w:hint="eastAsia" w:ascii="仿宋" w:hAnsi="仿宋" w:eastAsia="仿宋" w:cs="仿宋"/>
          <w:sz w:val="72"/>
          <w:szCs w:val="72"/>
        </w:rPr>
      </w:pPr>
    </w:p>
    <w:p w14:paraId="5A708FA1">
      <w:pPr>
        <w:pStyle w:val="8"/>
        <w:spacing w:before="395" w:beforeLines="100"/>
        <w:ind w:firstLine="420"/>
        <w:jc w:val="center"/>
        <w:rPr>
          <w:rFonts w:hint="eastAsia" w:eastAsia="宋体"/>
          <w:b/>
          <w:bCs/>
          <w:color w:val="auto"/>
          <w:sz w:val="48"/>
          <w:szCs w:val="48"/>
          <w:highlight w:val="none"/>
        </w:rPr>
      </w:pPr>
      <w:r>
        <w:rPr>
          <w:rFonts w:hint="eastAsia" w:eastAsia="宋体"/>
          <w:b/>
          <w:bCs/>
          <w:color w:val="auto"/>
          <w:sz w:val="48"/>
          <w:szCs w:val="48"/>
          <w:highlight w:val="none"/>
        </w:rPr>
        <w:t>西安市市场监督管理局</w:t>
      </w:r>
    </w:p>
    <w:p w14:paraId="1516693C">
      <w:pPr>
        <w:pStyle w:val="8"/>
        <w:spacing w:before="395" w:beforeLines="100"/>
        <w:ind w:firstLine="420"/>
        <w:jc w:val="center"/>
        <w:rPr>
          <w:rFonts w:hint="eastAsia" w:eastAsia="宋体"/>
          <w:b/>
          <w:bCs/>
          <w:color w:val="auto"/>
          <w:sz w:val="48"/>
          <w:szCs w:val="48"/>
          <w:highlight w:val="none"/>
          <w:lang w:eastAsia="zh-CN"/>
        </w:rPr>
      </w:pPr>
      <w:r>
        <w:rPr>
          <w:rFonts w:hint="eastAsia" w:eastAsia="宋体"/>
          <w:b/>
          <w:bCs/>
          <w:color w:val="auto"/>
          <w:sz w:val="48"/>
          <w:szCs w:val="48"/>
          <w:highlight w:val="none"/>
          <w:lang w:eastAsia="zh-CN"/>
        </w:rPr>
        <w:t>2026年机电类特种设备安全质量监督抽查项目</w:t>
      </w:r>
    </w:p>
    <w:p w14:paraId="17CFDAB2">
      <w:pPr>
        <w:jc w:val="center"/>
        <w:rPr>
          <w:rFonts w:hint="eastAsia" w:ascii="宋体" w:hAnsi="宋体" w:eastAsia="宋体" w:cs="宋体"/>
          <w:b/>
          <w:bCs/>
          <w:color w:val="auto"/>
          <w:sz w:val="72"/>
          <w:szCs w:val="72"/>
          <w:highlight w:val="none"/>
        </w:rPr>
      </w:pPr>
    </w:p>
    <w:p w14:paraId="1C05A579">
      <w:pPr>
        <w:jc w:val="center"/>
        <w:rPr>
          <w:rFonts w:hint="eastAsia" w:ascii="宋体" w:hAnsi="宋体" w:eastAsia="宋体" w:cs="宋体"/>
          <w:b/>
          <w:bCs/>
          <w:color w:val="auto"/>
          <w:spacing w:val="68"/>
          <w:sz w:val="28"/>
          <w:szCs w:val="28"/>
          <w:highlight w:val="none"/>
        </w:rPr>
      </w:pPr>
      <w:r>
        <w:rPr>
          <w:rFonts w:hint="eastAsia" w:ascii="宋体" w:hAnsi="宋体" w:eastAsia="宋体" w:cs="宋体"/>
          <w:b/>
          <w:bCs/>
          <w:color w:val="auto"/>
          <w:sz w:val="72"/>
          <w:szCs w:val="72"/>
          <w:highlight w:val="none"/>
        </w:rPr>
        <w:t>服务合同</w:t>
      </w:r>
    </w:p>
    <w:p w14:paraId="1FA9DF63">
      <w:pPr>
        <w:rPr>
          <w:rFonts w:hint="eastAsia" w:ascii="宋体" w:hAnsi="宋体" w:eastAsia="宋体" w:cs="宋体"/>
          <w:color w:val="auto"/>
          <w:spacing w:val="68"/>
          <w:sz w:val="28"/>
          <w:szCs w:val="28"/>
          <w:highlight w:val="none"/>
        </w:rPr>
      </w:pPr>
    </w:p>
    <w:p w14:paraId="52EB96EE">
      <w:pPr>
        <w:rPr>
          <w:rFonts w:hint="eastAsia" w:ascii="宋体" w:hAnsi="宋体" w:eastAsia="宋体" w:cs="宋体"/>
          <w:color w:val="auto"/>
          <w:spacing w:val="68"/>
          <w:sz w:val="28"/>
          <w:szCs w:val="28"/>
          <w:highlight w:val="none"/>
        </w:rPr>
      </w:pPr>
    </w:p>
    <w:p w14:paraId="330A0A9E">
      <w:pPr>
        <w:rPr>
          <w:rFonts w:hint="eastAsia" w:ascii="宋体" w:hAnsi="宋体" w:eastAsia="宋体" w:cs="宋体"/>
          <w:color w:val="auto"/>
          <w:spacing w:val="68"/>
          <w:sz w:val="28"/>
          <w:szCs w:val="28"/>
          <w:highlight w:val="none"/>
        </w:rPr>
      </w:pPr>
    </w:p>
    <w:p w14:paraId="5A2B2C0F">
      <w:pPr>
        <w:spacing w:line="360" w:lineRule="auto"/>
        <w:rPr>
          <w:rFonts w:hint="eastAsia" w:ascii="宋体" w:hAnsi="宋体" w:eastAsia="宋体" w:cs="宋体"/>
          <w:b/>
          <w:color w:val="auto"/>
          <w:sz w:val="28"/>
          <w:szCs w:val="28"/>
          <w:highlight w:val="none"/>
        </w:rPr>
      </w:pPr>
    </w:p>
    <w:p w14:paraId="5A4A8C85">
      <w:pPr>
        <w:spacing w:line="360" w:lineRule="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编    号：政采-西安市-202</w:t>
      </w:r>
      <w:r>
        <w:rPr>
          <w:rFonts w:hint="eastAsia" w:ascii="宋体" w:hAnsi="宋体" w:eastAsia="宋体" w:cs="宋体"/>
          <w:b/>
          <w:color w:val="auto"/>
          <w:sz w:val="28"/>
          <w:szCs w:val="28"/>
          <w:highlight w:val="none"/>
          <w:lang w:val="en-US" w:eastAsia="zh-CN"/>
        </w:rPr>
        <w:t>6</w:t>
      </w:r>
      <w:r>
        <w:rPr>
          <w:rFonts w:hint="eastAsia" w:ascii="宋体" w:hAnsi="宋体" w:eastAsia="宋体" w:cs="宋体"/>
          <w:b/>
          <w:color w:val="auto"/>
          <w:sz w:val="28"/>
          <w:szCs w:val="28"/>
          <w:highlight w:val="none"/>
        </w:rPr>
        <w:t>-</w:t>
      </w:r>
    </w:p>
    <w:p w14:paraId="78FDA4E7">
      <w:pPr>
        <w:spacing w:line="360" w:lineRule="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合同编号：</w:t>
      </w:r>
    </w:p>
    <w:p w14:paraId="30464441">
      <w:pPr>
        <w:spacing w:line="360" w:lineRule="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服务内容：</w:t>
      </w:r>
    </w:p>
    <w:p w14:paraId="2953D269">
      <w:pPr>
        <w:spacing w:line="360" w:lineRule="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需    方：西安市市场监督管理局</w:t>
      </w:r>
    </w:p>
    <w:p w14:paraId="0FBBD50C">
      <w:pPr>
        <w:spacing w:line="360" w:lineRule="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供    方：</w:t>
      </w:r>
    </w:p>
    <w:p w14:paraId="33E8EB1A">
      <w:pPr>
        <w:rPr>
          <w:rFonts w:hint="eastAsia" w:ascii="宋体" w:hAnsi="宋体" w:eastAsia="宋体" w:cs="宋体"/>
          <w:color w:val="auto"/>
          <w:spacing w:val="68"/>
          <w:sz w:val="28"/>
          <w:szCs w:val="28"/>
          <w:highlight w:val="none"/>
        </w:rPr>
      </w:pPr>
      <w:r>
        <w:rPr>
          <w:rFonts w:hint="eastAsia" w:ascii="宋体" w:hAnsi="宋体" w:eastAsia="宋体" w:cs="宋体"/>
          <w:b/>
          <w:color w:val="auto"/>
          <w:sz w:val="28"/>
          <w:szCs w:val="28"/>
          <w:highlight w:val="none"/>
        </w:rPr>
        <w:t>鉴 证 方：陕西万泽招标有限公司</w:t>
      </w:r>
    </w:p>
    <w:p w14:paraId="099011B3">
      <w:pPr>
        <w:jc w:val="center"/>
        <w:rPr>
          <w:rFonts w:hint="eastAsia" w:ascii="宋体" w:hAnsi="宋体" w:eastAsia="宋体" w:cs="宋体"/>
          <w:color w:val="auto"/>
          <w:highlight w:val="none"/>
        </w:rPr>
      </w:pPr>
    </w:p>
    <w:p w14:paraId="7703BDEA">
      <w:pPr>
        <w:rPr>
          <w:rFonts w:hint="eastAsia" w:ascii="宋体" w:hAnsi="宋体" w:eastAsia="宋体" w:cs="宋体"/>
          <w:color w:val="auto"/>
          <w:highlight w:val="none"/>
          <w:u w:val="single"/>
        </w:rPr>
      </w:pPr>
      <w:r>
        <w:rPr>
          <w:rFonts w:hint="eastAsia" w:ascii="宋体" w:hAnsi="宋体" w:eastAsia="宋体" w:cs="宋体"/>
          <w:color w:val="auto"/>
          <w:highlight w:val="none"/>
          <w:u w:val="single"/>
        </w:rPr>
        <w:br w:type="page"/>
      </w:r>
    </w:p>
    <w:p w14:paraId="6599BB8F">
      <w:pPr>
        <w:adjustRightInd w:val="0"/>
        <w:snapToGrid w:val="0"/>
        <w:spacing w:line="360" w:lineRule="auto"/>
        <w:ind w:firstLine="640"/>
        <w:rPr>
          <w:rFonts w:hint="eastAsia" w:ascii="宋体" w:hAnsi="宋体" w:eastAsia="宋体" w:cs="宋体"/>
          <w:color w:val="auto"/>
          <w:highlight w:val="none"/>
        </w:rPr>
      </w:pPr>
      <w:r>
        <w:rPr>
          <w:rFonts w:hint="eastAsia" w:ascii="宋体" w:hAnsi="宋体" w:eastAsia="宋体" w:cs="宋体"/>
          <w:color w:val="auto"/>
          <w:highlight w:val="none"/>
          <w:u w:val="single"/>
        </w:rPr>
        <w:t>西安市市场监督管理局</w:t>
      </w:r>
      <w:r>
        <w:rPr>
          <w:rFonts w:hint="eastAsia" w:ascii="宋体" w:hAnsi="宋体" w:eastAsia="宋体" w:cs="宋体"/>
          <w:color w:val="auto"/>
          <w:highlight w:val="none"/>
        </w:rPr>
        <w:t xml:space="preserve"> （以下简称需方）和（以下简称供方）根据《中华人民共和国民法典》和有关法律法规，遵循平等、自愿、公平和诚实信用原则，同意按照下面的条款和条件订立本政府采购合同，共同信守。</w:t>
      </w:r>
    </w:p>
    <w:p w14:paraId="55BD3909">
      <w:pPr>
        <w:adjustRightInd w:val="0"/>
        <w:snapToGrid w:val="0"/>
        <w:spacing w:line="360" w:lineRule="auto"/>
        <w:ind w:firstLine="422" w:firstLineChars="200"/>
        <w:rPr>
          <w:rFonts w:hint="eastAsia" w:ascii="宋体" w:hAnsi="宋体" w:eastAsia="宋体" w:cs="宋体"/>
          <w:b/>
          <w:bCs/>
          <w:color w:val="auto"/>
          <w:highlight w:val="none"/>
        </w:rPr>
      </w:pPr>
      <w:r>
        <w:rPr>
          <w:rFonts w:hint="eastAsia" w:ascii="宋体" w:hAnsi="宋体" w:eastAsia="宋体" w:cs="宋体"/>
          <w:b/>
          <w:bCs/>
          <w:color w:val="auto"/>
          <w:kern w:val="2"/>
          <w:highlight w:val="none"/>
        </w:rPr>
        <w:t xml:space="preserve">一、项目概况 </w:t>
      </w:r>
    </w:p>
    <w:p w14:paraId="5741F12C">
      <w:pPr>
        <w:adjustRightInd w:val="0"/>
        <w:snapToGrid w:val="0"/>
        <w:spacing w:line="360" w:lineRule="auto"/>
        <w:ind w:firstLine="640"/>
        <w:rPr>
          <w:rFonts w:hint="eastAsia" w:ascii="宋体" w:hAnsi="宋体" w:eastAsia="宋体" w:cs="宋体"/>
          <w:color w:val="auto"/>
          <w:highlight w:val="none"/>
          <w:lang w:eastAsia="zh-CN"/>
        </w:rPr>
      </w:pPr>
      <w:r>
        <w:rPr>
          <w:rFonts w:hint="eastAsia" w:ascii="宋体" w:hAnsi="宋体" w:eastAsia="宋体" w:cs="宋体"/>
          <w:color w:val="auto"/>
          <w:kern w:val="2"/>
          <w:highlight w:val="none"/>
        </w:rPr>
        <w:t>（一）项目名称：2026年机电类特种设备安全质量监督抽查项目</w:t>
      </w:r>
    </w:p>
    <w:p w14:paraId="17CE1C33">
      <w:pPr>
        <w:adjustRightInd w:val="0"/>
        <w:snapToGrid w:val="0"/>
        <w:spacing w:line="360" w:lineRule="auto"/>
        <w:ind w:firstLine="640"/>
        <w:rPr>
          <w:rFonts w:hint="eastAsia" w:ascii="宋体" w:hAnsi="宋体" w:eastAsia="宋体" w:cs="宋体"/>
          <w:color w:val="auto"/>
          <w:highlight w:val="none"/>
        </w:rPr>
      </w:pPr>
      <w:r>
        <w:rPr>
          <w:rFonts w:hint="eastAsia" w:ascii="宋体" w:hAnsi="宋体" w:eastAsia="宋体" w:cs="宋体"/>
          <w:color w:val="auto"/>
          <w:kern w:val="2"/>
          <w:highlight w:val="none"/>
        </w:rPr>
        <w:t>（二）项目地点：西安市</w:t>
      </w:r>
      <w:r>
        <w:rPr>
          <w:rFonts w:hint="eastAsia" w:ascii="宋体" w:hAnsi="宋体" w:eastAsia="宋体" w:cs="宋体"/>
          <w:color w:val="auto"/>
          <w:highlight w:val="none"/>
        </w:rPr>
        <w:t>辖区范围内</w:t>
      </w:r>
    </w:p>
    <w:p w14:paraId="591C83A1">
      <w:pPr>
        <w:adjustRightInd w:val="0"/>
        <w:snapToGrid w:val="0"/>
        <w:spacing w:line="360" w:lineRule="auto"/>
        <w:ind w:firstLine="640"/>
        <w:rPr>
          <w:rFonts w:hint="eastAsia" w:ascii="宋体" w:hAnsi="宋体" w:eastAsia="宋体" w:cs="宋体"/>
          <w:color w:val="auto"/>
          <w:highlight w:val="none"/>
        </w:rPr>
      </w:pPr>
      <w:r>
        <w:rPr>
          <w:rFonts w:hint="eastAsia" w:ascii="宋体" w:hAnsi="宋体" w:eastAsia="宋体" w:cs="宋体"/>
          <w:color w:val="auto"/>
          <w:kern w:val="2"/>
          <w:highlight w:val="none"/>
        </w:rPr>
        <w:t>（三）项目概况：为全面排查整治电梯安全隐患，预防电梯安全事故发生，保障全市电梯安全稳定运行。根据《中华人民共和国特种设备安全法》等法律法规规章和安全技术规范，结合实际，通过公开招标，委托第三方专业机构对全市电梯维护保养、检验、检测质量进行监督抽查，按照随机抽查、突出重点的原则，查找和解决电梯维护保养、检验、检测等环节中存在的问题和风险，整治安全隐患，查处违法行为，夯实安全责任，持续提升电梯安全质量水平，促进全市电梯安全形势平稳向好发展。。</w:t>
      </w:r>
    </w:p>
    <w:p w14:paraId="35F28CAF">
      <w:pPr>
        <w:adjustRightInd w:val="0"/>
        <w:snapToGrid w:val="0"/>
        <w:spacing w:line="360" w:lineRule="auto"/>
        <w:ind w:firstLine="422" w:firstLineChars="200"/>
        <w:rPr>
          <w:rFonts w:hint="eastAsia" w:ascii="宋体" w:hAnsi="宋体" w:eastAsia="宋体" w:cs="宋体"/>
          <w:color w:val="auto"/>
          <w:kern w:val="2"/>
          <w:highlight w:val="none"/>
        </w:rPr>
      </w:pPr>
      <w:r>
        <w:rPr>
          <w:rFonts w:hint="eastAsia" w:ascii="宋体" w:hAnsi="宋体" w:eastAsia="宋体" w:cs="宋体"/>
          <w:b/>
          <w:bCs/>
          <w:color w:val="auto"/>
          <w:kern w:val="2"/>
          <w:highlight w:val="none"/>
        </w:rPr>
        <w:t>二、合同标的物内容及数量</w:t>
      </w:r>
      <w:r>
        <w:rPr>
          <w:rFonts w:hint="eastAsia" w:ascii="宋体" w:hAnsi="宋体" w:eastAsia="宋体" w:cs="宋体"/>
          <w:color w:val="auto"/>
          <w:kern w:val="2"/>
          <w:highlight w:val="none"/>
        </w:rPr>
        <w:t>：</w:t>
      </w:r>
    </w:p>
    <w:p w14:paraId="6CE84C9F">
      <w:pPr>
        <w:spacing w:line="360" w:lineRule="auto"/>
        <w:ind w:firstLine="422" w:firstLineChars="200"/>
        <w:rPr>
          <w:rFonts w:hint="eastAsia" w:ascii="宋体" w:hAnsi="宋体" w:eastAsia="宋体" w:cs="宋体"/>
          <w:b/>
          <w:color w:val="auto"/>
          <w:highlight w:val="none"/>
          <w:lang w:val="en-US" w:eastAsia="zh-CN"/>
        </w:rPr>
      </w:pPr>
      <w:r>
        <w:rPr>
          <w:rFonts w:hint="eastAsia" w:ascii="宋体" w:hAnsi="宋体" w:eastAsia="宋体" w:cs="宋体"/>
          <w:b/>
          <w:color w:val="auto"/>
          <w:highlight w:val="none"/>
          <w:lang w:val="en-US" w:eastAsia="zh-CN"/>
        </w:rPr>
        <w:t>采购包1：</w:t>
      </w:r>
    </w:p>
    <w:p w14:paraId="30B39F5E">
      <w:pPr>
        <w:pStyle w:val="2"/>
        <w:keepNext/>
        <w:keepLines/>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color w:val="auto"/>
          <w:kern w:val="2"/>
          <w:sz w:val="21"/>
          <w:szCs w:val="24"/>
          <w:highlight w:val="none"/>
          <w:lang w:val="en-US" w:eastAsia="zh-CN" w:bidi="ar-SA"/>
        </w:rPr>
      </w:pPr>
      <w:r>
        <w:rPr>
          <w:rFonts w:hint="default" w:ascii="宋体" w:hAnsi="宋体" w:eastAsia="宋体" w:cs="宋体"/>
          <w:b w:val="0"/>
          <w:color w:val="auto"/>
          <w:kern w:val="2"/>
          <w:sz w:val="21"/>
          <w:szCs w:val="24"/>
          <w:highlight w:val="none"/>
          <w:lang w:val="en-US" w:eastAsia="zh-CN" w:bidi="ar-SA"/>
        </w:rPr>
        <w:t>2026年电梯维护保养、检验、检测质量监督抽查计划抽查在用电梯不少于5400，其中，电梯维护保养质量抽查不少于4550台，电梯检验、检测质量抽查不少于850台。</w:t>
      </w:r>
    </w:p>
    <w:p w14:paraId="592165A7">
      <w:pPr>
        <w:pStyle w:val="2"/>
        <w:keepNext/>
        <w:keepLines/>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color w:val="auto"/>
          <w:kern w:val="2"/>
          <w:sz w:val="21"/>
          <w:szCs w:val="24"/>
          <w:highlight w:val="none"/>
          <w:lang w:val="en-US" w:eastAsia="zh-CN" w:bidi="ar-SA"/>
        </w:rPr>
      </w:pPr>
      <w:r>
        <w:rPr>
          <w:rFonts w:hint="default" w:ascii="宋体" w:hAnsi="宋体" w:eastAsia="宋体" w:cs="宋体"/>
          <w:b w:val="0"/>
          <w:color w:val="auto"/>
          <w:kern w:val="2"/>
          <w:sz w:val="21"/>
          <w:szCs w:val="24"/>
          <w:highlight w:val="none"/>
          <w:lang w:val="en-US" w:eastAsia="zh-CN" w:bidi="ar-SA"/>
        </w:rPr>
        <w:t xml:space="preserve">（一）电梯维护保养质量监督抽查。抽取在用电梯不少于4550台，依据相关法律法规规章和安全技术规范，检查电梯关键部位、主要部件、安全保护装置等电梯安全性能指标，核查确认电梯安全状况，监督验证电梯维护保养项目落实情况和电梯维护保养质量。 </w:t>
      </w:r>
    </w:p>
    <w:p w14:paraId="2E123719">
      <w:pPr>
        <w:pStyle w:val="2"/>
        <w:keepNext/>
        <w:keepLines/>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ascii="宋体" w:hAnsi="宋体" w:eastAsia="宋体" w:cs="宋体"/>
          <w:b w:val="0"/>
          <w:color w:val="auto"/>
          <w:kern w:val="2"/>
          <w:sz w:val="21"/>
          <w:szCs w:val="24"/>
          <w:highlight w:val="none"/>
          <w:lang w:val="en-US" w:eastAsia="zh-CN" w:bidi="ar-SA"/>
        </w:rPr>
        <w:t>（二）电梯检验、检测质量监督抽查。抽取电梯检验检测机构检验、检测完成的电梯不少于850台，依据相关法律法规规章和安全技术规范，核查确认电梯检验、检测项目落实情况，监督验证电梯检验、检测质量。</w:t>
      </w:r>
    </w:p>
    <w:p w14:paraId="5D619766">
      <w:pPr>
        <w:spacing w:line="360" w:lineRule="auto"/>
        <w:ind w:firstLine="422" w:firstLineChars="200"/>
        <w:rPr>
          <w:rFonts w:hint="eastAsia" w:ascii="宋体" w:hAnsi="宋体" w:eastAsia="宋体" w:cs="宋体"/>
          <w:color w:val="auto"/>
          <w:highlight w:val="none"/>
        </w:rPr>
      </w:pPr>
      <w:r>
        <w:rPr>
          <w:rFonts w:hint="eastAsia" w:ascii="宋体" w:hAnsi="宋体" w:eastAsia="宋体" w:cs="宋体"/>
          <w:b/>
          <w:color w:val="auto"/>
          <w:highlight w:val="none"/>
        </w:rPr>
        <w:t xml:space="preserve">三、合同价款 </w:t>
      </w:r>
    </w:p>
    <w:p w14:paraId="03F9FB93">
      <w:pPr>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（一）合同总价款：元整（￥元）含税。</w:t>
      </w:r>
    </w:p>
    <w:p w14:paraId="2834EFE0">
      <w:pPr>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（二）合同总价即中标价，包含但不限于检测费、税费等一切费用，除此之外需方对供方不承担其他任何付款义务，不受市场价变化或实际工作量变化的影响。</w:t>
      </w:r>
    </w:p>
    <w:p w14:paraId="11E32411">
      <w:pPr>
        <w:spacing w:line="360"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四、服务要求</w:t>
      </w:r>
    </w:p>
    <w:p w14:paraId="51EB62C9">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（一）服务期限</w:t>
      </w:r>
    </w:p>
    <w:p w14:paraId="4E39A537">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自合同签订后5个工作日内开始实施监督抽查工作，并于2026年11月30日完成现场抽查任务。</w:t>
      </w:r>
    </w:p>
    <w:p w14:paraId="148413E9">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（二）服务终止</w:t>
      </w:r>
    </w:p>
    <w:p w14:paraId="29FC9ED3">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在有效服务期内，如供中标供应商在人员配置、作业管理、质量控制、科学高效、便捷服务等各方面不能满足采购文件的相关要求或没有实现投标文件中的相关承诺，采购人有权单方面解除合同，并保留追究违约责任。同时将违约情况上报财政部门列入政府采购失信名单。</w:t>
      </w:r>
    </w:p>
    <w:p w14:paraId="5B65BB93">
      <w:pPr>
        <w:pStyle w:val="6"/>
        <w:spacing w:line="360" w:lineRule="auto"/>
        <w:ind w:left="497"/>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五、进度要求</w:t>
      </w:r>
    </w:p>
    <w:p w14:paraId="2003A2DB">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1.中标供应商于2026年11月30日前完成电梯维护保养、检验、检测质量监督抽查不少于5400台，其中，电梯维护保养质量抽查不少于4550台，电梯检验、检测质量抽查不少于850台。</w:t>
      </w:r>
    </w:p>
    <w:p w14:paraId="332E827D">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中标供应商于2026年12月10日前，向采购人提交监督抽查汇总表、分析报告、总结报告；同时提交不少于4550台电梯维护保养质量监督抽查报告、不少于850台电梯检验、检测质量监督抽查报告的电子版材料。提交报告（含电子版材料）符合采购人要求后视为合同履约完成。</w:t>
      </w:r>
    </w:p>
    <w:p w14:paraId="0B3978EC">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3.根据采购人需求，承办监督抽查工作动员部署会议、阶段小结、监督抽查完成后的总结会议以及项目验收会。</w:t>
      </w:r>
    </w:p>
    <w:p w14:paraId="089A85C2">
      <w:pPr>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rPr>
        <w:t>4.根据采购人需求，完成特种设备应急演练、特种设备安全宣传、特种设备安全监察人员能力提升培训等工作，配合监管部门做好各项专项整治；帮扶指导被抽查单位落实“两个规定”；协助被抽查单位完善陕西省特种设备智慧监管平台数据</w:t>
      </w:r>
      <w:r>
        <w:rPr>
          <w:rFonts w:hint="eastAsia" w:ascii="宋体" w:hAnsi="宋体" w:eastAsia="宋体" w:cs="宋体"/>
          <w:color w:val="auto"/>
          <w:highlight w:val="none"/>
          <w:lang w:eastAsia="zh-CN"/>
        </w:rPr>
        <w:t>。</w:t>
      </w:r>
    </w:p>
    <w:p w14:paraId="513F3A71">
      <w:pPr>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六、付款方式</w:t>
      </w:r>
    </w:p>
    <w:p w14:paraId="01B1F378">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（一）支付方式：分期付款，银行转账</w:t>
      </w:r>
    </w:p>
    <w:p w14:paraId="22D60415">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（二）</w:t>
      </w:r>
      <w:r>
        <w:rPr>
          <w:rFonts w:hint="eastAsia" w:ascii="宋体" w:hAnsi="宋体" w:eastAsia="宋体" w:cs="宋体"/>
          <w:color w:val="auto"/>
          <w:kern w:val="2"/>
          <w:highlight w:val="none"/>
        </w:rPr>
        <w:t>签订合同后支付合同总价款的50%，验收合格后支付合同总价款的20%（最多支付至2323300.00元），</w:t>
      </w:r>
      <w:r>
        <w:rPr>
          <w:rFonts w:hint="eastAsia" w:ascii="宋体" w:hAnsi="宋体" w:eastAsia="宋体" w:cs="宋体"/>
          <w:color w:val="auto"/>
          <w:highlight w:val="none"/>
        </w:rPr>
        <w:t>即人民币（大写）元整；（￥元）。</w:t>
      </w:r>
    </w:p>
    <w:p w14:paraId="07676A08">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（三）</w:t>
      </w:r>
      <w:r>
        <w:rPr>
          <w:rFonts w:hint="eastAsia" w:ascii="宋体" w:hAnsi="宋体" w:eastAsia="宋体" w:cs="宋体"/>
          <w:color w:val="auto"/>
          <w:kern w:val="2"/>
          <w:highlight w:val="none"/>
        </w:rPr>
        <w:t>项目完成</w:t>
      </w:r>
      <w:r>
        <w:rPr>
          <w:rFonts w:hint="eastAsia" w:ascii="宋体" w:hAnsi="宋体" w:eastAsia="宋体" w:cs="宋体"/>
          <w:b/>
          <w:bCs/>
          <w:color w:val="auto"/>
          <w:kern w:val="2"/>
          <w:highlight w:val="none"/>
        </w:rPr>
        <w:t>质保期满后</w:t>
      </w:r>
      <w:r>
        <w:rPr>
          <w:rFonts w:hint="eastAsia" w:ascii="宋体" w:hAnsi="宋体" w:eastAsia="宋体" w:cs="宋体"/>
          <w:color w:val="auto"/>
          <w:kern w:val="2"/>
          <w:highlight w:val="none"/>
        </w:rPr>
        <w:t>支付剩余合同价款</w:t>
      </w:r>
      <w:r>
        <w:rPr>
          <w:rFonts w:hint="eastAsia" w:ascii="宋体" w:hAnsi="宋体" w:eastAsia="宋体" w:cs="宋体"/>
          <w:color w:val="auto"/>
          <w:highlight w:val="none"/>
        </w:rPr>
        <w:t>即人民币</w:t>
      </w:r>
      <w:r>
        <w:rPr>
          <w:rFonts w:hint="eastAsia" w:ascii="宋体" w:hAnsi="宋体" w:eastAsia="宋体" w:cs="宋体"/>
          <w:color w:val="auto"/>
          <w:highlight w:val="none"/>
          <w:u w:val="single"/>
        </w:rPr>
        <w:t>（大写）</w:t>
      </w:r>
      <w:r>
        <w:rPr>
          <w:rFonts w:hint="eastAsia" w:ascii="宋体" w:hAnsi="宋体" w:eastAsia="宋体" w:cs="宋体"/>
          <w:color w:val="auto"/>
          <w:highlight w:val="none"/>
        </w:rPr>
        <w:t>元整；（￥元）。</w:t>
      </w:r>
    </w:p>
    <w:p w14:paraId="255B7B91">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（四）供方收款账号信息：</w:t>
      </w:r>
    </w:p>
    <w:p w14:paraId="41A0282B">
      <w:pPr>
        <w:pStyle w:val="6"/>
        <w:spacing w:line="360" w:lineRule="auto"/>
        <w:ind w:left="497"/>
        <w:rPr>
          <w:rFonts w:hint="eastAsia" w:ascii="宋体" w:hAnsi="宋体" w:eastAsia="宋体" w:cs="宋体"/>
          <w:color w:val="auto"/>
          <w:sz w:val="24"/>
          <w:highlight w:val="none"/>
        </w:rPr>
      </w:pPr>
      <w:r>
        <w:rPr>
          <w:rFonts w:hint="eastAsia" w:ascii="宋体" w:hAnsi="宋体" w:eastAsia="宋体" w:cs="宋体"/>
          <w:color w:val="auto"/>
          <w:sz w:val="24"/>
          <w:highlight w:val="none"/>
        </w:rPr>
        <w:t>（五）需方在收到供方开具的付款等额增值税普通发票后按照上述付款期限付款。</w:t>
      </w:r>
    </w:p>
    <w:p w14:paraId="3831BFD4">
      <w:pPr>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七、质量保证</w:t>
      </w:r>
    </w:p>
    <w:p w14:paraId="6799096C">
      <w:pPr>
        <w:autoSpaceDE w:val="0"/>
        <w:autoSpaceDN w:val="0"/>
        <w:adjustRightInd w:val="0"/>
        <w:spacing w:line="30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（一）供方应遵循严谨、准确、客观、公开、公平原则，保证检验报告准确性并对检验质量及检验结果的真实性承担法律责任。</w:t>
      </w:r>
    </w:p>
    <w:p w14:paraId="750B532A">
      <w:pPr>
        <w:autoSpaceDE w:val="0"/>
        <w:autoSpaceDN w:val="0"/>
        <w:adjustRightInd w:val="0"/>
        <w:spacing w:line="30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（二）供方保证按时、准确完成特种设备监督抽查任务；</w:t>
      </w:r>
    </w:p>
    <w:p w14:paraId="4E8277C8">
      <w:pPr>
        <w:autoSpaceDE w:val="0"/>
        <w:autoSpaceDN w:val="0"/>
        <w:adjustRightInd w:val="0"/>
        <w:spacing w:line="30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（三）供方保证所供服务没有涉及其他权力纠纷。因侵权而产生的一切后果由供方负责，需方保留索赔权利；</w:t>
      </w:r>
    </w:p>
    <w:p w14:paraId="7E3A0181">
      <w:pPr>
        <w:autoSpaceDE w:val="0"/>
        <w:autoSpaceDN w:val="0"/>
        <w:adjustRightInd w:val="0"/>
        <w:spacing w:line="30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（四）供方所提供的服务符合国家现行标准和相应的技术规范，这些标准和技术规范应为合同签订之日为止最新公布发行的标准和技术规范。</w:t>
      </w:r>
    </w:p>
    <w:p w14:paraId="1258A781">
      <w:pPr>
        <w:autoSpaceDE w:val="0"/>
        <w:autoSpaceDN w:val="0"/>
        <w:adjustRightInd w:val="0"/>
        <w:spacing w:line="30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五）供方提供的货物、工程、服务等需符合现行的国家、行业、地区、企业质量安全标准及要求，标准不一致的，以更为严格的为准，投标服务商对提供的货物、工程、服务等的质量、安全、环保等负全权责任。</w:t>
      </w:r>
    </w:p>
    <w:p w14:paraId="6E1EBA3B">
      <w:pPr>
        <w:autoSpaceDE w:val="0"/>
        <w:autoSpaceDN w:val="0"/>
        <w:adjustRightInd w:val="0"/>
        <w:spacing w:line="30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六）供方在抽查工作中接受西安市市场监管局的监督。抽查工作须保证整体工作质量，按时完成工作计划，配合西安市市场监管局、分局实施问题特种设备复查和后期处理工作。对西安市市场监管局责令整改逾期未改的，西安市市场监管局可根据实际情况，终止服务合同，并由供方承担违约责任。</w:t>
      </w:r>
    </w:p>
    <w:p w14:paraId="2BDB5662">
      <w:pPr>
        <w:pStyle w:val="6"/>
        <w:ind w:left="497"/>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八、服务成果</w:t>
      </w:r>
    </w:p>
    <w:p w14:paraId="3403D467">
      <w:pPr>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1.中标供应商于2026年11月30日前完成电梯维护保养、检验、检测质量监督抽查不少于5400台，其中，电梯维护保养质量抽查不少于4550台，电梯检验、检测质量抽查不少于850台。</w:t>
      </w:r>
    </w:p>
    <w:p w14:paraId="1A169184">
      <w:pPr>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2.中标供应商于2026年12月10日前，向采购人提交监督抽查汇总表、分析报告、总结报告；同时提交不少于4550台电梯维护保养质量监督抽查报告、不少于850台电梯检验、检测质量监督抽查报告的电子版材料。提交报告（含电子版材料）符合采购人要求后视为合同履约完成。</w:t>
      </w:r>
    </w:p>
    <w:p w14:paraId="66DEF2C5">
      <w:pPr>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3.根据采购人需求，承办监督抽查工作动员部署会议、阶段小结、监督抽查完成后的总结会议以及项目验收会。</w:t>
      </w:r>
    </w:p>
    <w:p w14:paraId="2772F8B1">
      <w:pPr>
        <w:ind w:firstLine="420" w:firstLineChars="200"/>
        <w:rPr>
          <w:rFonts w:hint="eastAsia" w:ascii="宋体" w:hAnsi="宋体" w:eastAsia="宋体" w:cs="宋体"/>
          <w:b/>
          <w:color w:val="auto"/>
          <w:highlight w:val="none"/>
        </w:rPr>
      </w:pPr>
      <w:r>
        <w:rPr>
          <w:rFonts w:hint="eastAsia" w:ascii="宋体" w:hAnsi="宋体" w:eastAsia="宋体" w:cs="宋体"/>
          <w:bCs/>
          <w:color w:val="auto"/>
          <w:highlight w:val="none"/>
        </w:rPr>
        <w:t>4.根据采购人需求，完成特种设备应急演练、特种设备安全宣传、特种设备安全监察人员能力提升培训等工作，配合监管部门做好各项专项整治；帮扶指导被抽查单位落实“两个规定”；协助被抽查单位完善陕西省特种设备智慧监管平台数据</w:t>
      </w:r>
      <w:bookmarkStart w:id="3" w:name="_GoBack"/>
      <w:bookmarkEnd w:id="3"/>
      <w:r>
        <w:rPr>
          <w:rFonts w:hint="eastAsia" w:ascii="宋体" w:hAnsi="宋体" w:eastAsia="宋体" w:cs="宋体"/>
          <w:bCs/>
          <w:color w:val="auto"/>
          <w:highlight w:val="none"/>
        </w:rPr>
        <w:t>。</w:t>
      </w:r>
    </w:p>
    <w:p w14:paraId="00BB6749">
      <w:pPr>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九、考核验收：</w:t>
      </w:r>
    </w:p>
    <w:p w14:paraId="30760BD9">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（一）服务期满后，需方组织供方,必要时请有关专家进行考核验收，验收合格后，填写政府采购项目验收单（一式伍份）作为对服务的最终认可。</w:t>
      </w:r>
    </w:p>
    <w:p w14:paraId="3BB163BE">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（二）需方向供方提供服务过程中的所有资料,以便需方日后管理和维护。</w:t>
      </w:r>
    </w:p>
    <w:p w14:paraId="1F4C422F">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（三）验收依据 </w:t>
      </w:r>
    </w:p>
    <w:p w14:paraId="4B93D240">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1、招标文件、投标文件、澄清表（函）；</w:t>
      </w:r>
    </w:p>
    <w:p w14:paraId="00F5BE8A">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2、本合同及附件文本； </w:t>
      </w:r>
    </w:p>
    <w:p w14:paraId="6E9B6D13">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3、国家相应的标准、规范。</w:t>
      </w:r>
    </w:p>
    <w:p w14:paraId="5BB473E7">
      <w:pPr>
        <w:spacing w:line="360"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十、保密条款</w:t>
      </w:r>
    </w:p>
    <w:p w14:paraId="34CF4FFE">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（一）未经需方同意，供方不得向第三方扩散、转让需方该项目中的所有中间抽查数据和总结报告；</w:t>
      </w:r>
    </w:p>
    <w:p w14:paraId="103C8C68">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（二）双方应妥善保管对方提供的资料，保守对方的各项秘密。未经对方许可，不得利用知悉的对方资料和总结报告为自己或第三方谋取利益。</w:t>
      </w:r>
    </w:p>
    <w:p w14:paraId="7DE3300B">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（三）在合同有效期内，供方在合同义务下所完成的需提交给需方的全部成果（包括知识产权）全部归需方所有。</w:t>
      </w:r>
    </w:p>
    <w:p w14:paraId="0FB71407">
      <w:pPr>
        <w:spacing w:line="360" w:lineRule="auto"/>
        <w:ind w:firstLine="422" w:firstLineChars="200"/>
        <w:rPr>
          <w:rFonts w:hint="eastAsia" w:ascii="宋体" w:hAnsi="宋体" w:eastAsia="宋体" w:cs="宋体"/>
          <w:color w:val="auto"/>
          <w:highlight w:val="none"/>
        </w:rPr>
      </w:pPr>
      <w:r>
        <w:rPr>
          <w:rFonts w:hint="eastAsia" w:ascii="宋体" w:hAnsi="宋体" w:eastAsia="宋体" w:cs="宋体"/>
          <w:b/>
          <w:color w:val="auto"/>
          <w:highlight w:val="none"/>
        </w:rPr>
        <w:t>十一、合同争议的解决</w:t>
      </w:r>
    </w:p>
    <w:p w14:paraId="7D881819">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合同执行中发生争议的，当事人双方应协商解决，协商达不成一致时，可向需方所在地人民法院提请诉讼。</w:t>
      </w:r>
    </w:p>
    <w:p w14:paraId="691162D4">
      <w:pPr>
        <w:spacing w:line="360" w:lineRule="auto"/>
        <w:ind w:firstLine="422" w:firstLineChars="200"/>
        <w:rPr>
          <w:rFonts w:hint="eastAsia" w:ascii="宋体" w:hAnsi="宋体" w:eastAsia="宋体" w:cs="宋体"/>
          <w:color w:val="auto"/>
          <w:highlight w:val="none"/>
        </w:rPr>
      </w:pPr>
      <w:r>
        <w:rPr>
          <w:rFonts w:hint="eastAsia" w:ascii="宋体" w:hAnsi="宋体" w:eastAsia="宋体" w:cs="宋体"/>
          <w:b/>
          <w:color w:val="auto"/>
          <w:highlight w:val="none"/>
        </w:rPr>
        <w:t>十二、不可抗力情况下的免责约定</w:t>
      </w:r>
    </w:p>
    <w:p w14:paraId="5B0940A5">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双方约定不可抗力情况指：双方不可预见、不可避免、不可克服的客观情况，但不包括双方的违约或疏忽。这些事件包括但不限于：战争、严重火灾、洪水、</w:t>
      </w:r>
    </w:p>
    <w:p w14:paraId="0D01EDC9">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台风、地震等。</w:t>
      </w:r>
    </w:p>
    <w:p w14:paraId="1E0BE474">
      <w:pPr>
        <w:spacing w:line="360"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十三、违约责任：</w:t>
      </w:r>
    </w:p>
    <w:p w14:paraId="494804F7">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（一）按照《中华人民共和国民法典》中的相关条款执行。</w:t>
      </w:r>
    </w:p>
    <w:p w14:paraId="6AF354DD">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二）未按合同要求提供服务或服务质量不能满足合同要求，需方应当将供方违约的情况以及拟采取的措施以书面形式报政府采购监管部门，根据政府采购监管部门的处理意见，需方有权依据《中华人民共和国民法典》有关条款及合同约定终止合同，并要求供方承担违约责任。同时，政府采购监管部门有权依据《中华人民共和国政府采购法》及相关法律法规对供方的违法行为进行相应的处罚。</w:t>
      </w:r>
    </w:p>
    <w:p w14:paraId="140B9A06">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（三）在本合同履行过程中，双方因违约或造成对方经济、社会效益等损失的应当赔偿。</w:t>
      </w:r>
    </w:p>
    <w:p w14:paraId="1C2095D9">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（四）需方无正当理由拒绝接受服务，到期拒付服务费的，需方向供方偿付本合同总价款 5 %的违约金。由于需方为政府职能部门，双方一致同意因地方政府涉及本合同中对应的抽检产品质量监管规定或有关法律、法规及政策的变化调整、财政支付程序性问题造成的需方支付延迟的，供方予以谅解，需方不必承担违约责任。</w:t>
      </w:r>
    </w:p>
    <w:p w14:paraId="29216C1E">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（五）供方提供的服务不符合本项目相关文件和本合同规定的，需方有权拒绝，并且供方须向需方支付本合同总价款 5 %的违约金。</w:t>
      </w:r>
    </w:p>
    <w:p w14:paraId="023D7CEA">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（六）供方未能按照本合同约定时间提供服务或完成约定的项目服务内容的，从逾期之日起每日按本合同总价款 0.1 %的数额向需方支付违约金；逾期 30 日以上的，需方有权终止合同，由此造成的需方经济损失由供方承担。</w:t>
      </w:r>
    </w:p>
    <w:p w14:paraId="0BEDD176">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（七）未经需方同意，供方不得擅自将本合同服务转包第三方承担。</w:t>
      </w:r>
    </w:p>
    <w:p w14:paraId="3D89550A">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（八）双方确定，在本合同有效期内，需方指定______为需方项目联系人，供方指定______为供方项目联系人。项目联系人承担以下责任：</w:t>
      </w:r>
    </w:p>
    <w:p w14:paraId="589041CE">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1．保持联络，及时协调有关问题。 </w:t>
      </w:r>
    </w:p>
    <w:p w14:paraId="31395CF2">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2．监督合同的执行。</w:t>
      </w:r>
    </w:p>
    <w:p w14:paraId="00AF72FB">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一方变更项目联系人的，应当及时以书面形式通知另一方。未及时通知并影响本合同履行或造成损失的，应承担相应的责任。</w:t>
      </w:r>
    </w:p>
    <w:p w14:paraId="65DAAA19">
      <w:pPr>
        <w:ind w:firstLine="422" w:firstLineChars="200"/>
        <w:rPr>
          <w:rFonts w:hint="eastAsia" w:ascii="宋体" w:hAnsi="宋体" w:eastAsia="宋体" w:cs="宋体"/>
          <w:b/>
          <w:bCs/>
          <w:color w:val="auto"/>
          <w:highlight w:val="none"/>
        </w:rPr>
      </w:pPr>
      <w:r>
        <w:rPr>
          <w:rFonts w:hint="eastAsia" w:ascii="宋体" w:hAnsi="宋体" w:eastAsia="宋体" w:cs="宋体"/>
          <w:b/>
          <w:bCs/>
          <w:color w:val="auto"/>
          <w:highlight w:val="none"/>
        </w:rPr>
        <w:t>十四、合同变更</w:t>
      </w:r>
    </w:p>
    <w:p w14:paraId="10BC73A7">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14:paraId="28AD8232">
      <w:pPr>
        <w:spacing w:line="360" w:lineRule="auto"/>
        <w:ind w:firstLine="422" w:firstLineChars="200"/>
        <w:rPr>
          <w:rFonts w:hint="eastAsia" w:ascii="宋体" w:hAnsi="宋体" w:eastAsia="宋体" w:cs="宋体"/>
          <w:b/>
          <w:bCs/>
          <w:color w:val="auto"/>
          <w:highlight w:val="none"/>
        </w:rPr>
      </w:pPr>
      <w:r>
        <w:rPr>
          <w:rFonts w:hint="eastAsia" w:ascii="宋体" w:hAnsi="宋体" w:eastAsia="宋体" w:cs="宋体"/>
          <w:b/>
          <w:bCs/>
          <w:color w:val="auto"/>
          <w:highlight w:val="none"/>
        </w:rPr>
        <w:t>十五、送达及生效</w:t>
      </w:r>
    </w:p>
    <w:p w14:paraId="2368784E">
      <w:pPr>
        <w:spacing w:line="360" w:lineRule="auto"/>
        <w:ind w:firstLine="210" w:firstLineChars="100"/>
        <w:rPr>
          <w:rFonts w:hint="eastAsia" w:ascii="宋体" w:hAnsi="宋体" w:eastAsia="宋体" w:cs="宋体"/>
          <w:color w:val="auto"/>
          <w:highlight w:val="none"/>
        </w:rPr>
      </w:pPr>
      <w:r>
        <w:rPr>
          <w:rFonts w:hint="eastAsia" w:ascii="宋体" w:hAnsi="宋体" w:eastAsia="宋体" w:cs="宋体"/>
          <w:color w:val="auto"/>
          <w:highlight w:val="none"/>
        </w:rPr>
        <w:t>合同所显示当事人联系方式和联系信息适用于双方往来联系、书面文件送达及争议解决时法律文书送达。因联系方式和联系信息错误而无法直接送达的自交邮后第7日视为送达。</w:t>
      </w:r>
    </w:p>
    <w:p w14:paraId="79DC0E64">
      <w:pPr>
        <w:spacing w:line="360" w:lineRule="auto"/>
        <w:ind w:firstLine="210" w:firstLineChars="100"/>
        <w:rPr>
          <w:rFonts w:hint="eastAsia" w:ascii="宋体" w:hAnsi="宋体" w:eastAsia="宋体" w:cs="宋体"/>
          <w:color w:val="auto"/>
          <w:highlight w:val="none"/>
        </w:rPr>
      </w:pPr>
      <w:r>
        <w:rPr>
          <w:rFonts w:hint="eastAsia" w:ascii="宋体" w:hAnsi="宋体" w:eastAsia="宋体" w:cs="宋体"/>
          <w:color w:val="auto"/>
          <w:highlight w:val="none"/>
        </w:rPr>
        <w:t>本政府采购合同经双方盖章且授权代表签字后生效。本合同一式陆份，需方叁份、供方贰份、鉴证方壹份。</w:t>
      </w:r>
    </w:p>
    <w:p w14:paraId="0A210C2A">
      <w:pPr>
        <w:autoSpaceDE w:val="0"/>
        <w:autoSpaceDN w:val="0"/>
        <w:adjustRightInd w:val="0"/>
        <w:spacing w:line="360"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十六、其他事项</w:t>
      </w:r>
    </w:p>
    <w:p w14:paraId="30DC6839">
      <w:pPr>
        <w:spacing w:line="360" w:lineRule="auto"/>
        <w:ind w:left="420"/>
        <w:rPr>
          <w:rFonts w:hint="eastAsia" w:ascii="宋体" w:hAnsi="宋体" w:eastAsia="宋体" w:cs="宋体"/>
          <w:color w:val="auto"/>
          <w:highlight w:val="none"/>
        </w:rPr>
      </w:pPr>
      <w:r>
        <w:rPr>
          <w:rFonts w:hint="eastAsia" w:ascii="宋体" w:hAnsi="宋体" w:eastAsia="宋体" w:cs="宋体"/>
          <w:color w:val="auto"/>
          <w:highlight w:val="none"/>
        </w:rPr>
        <w:t>（一）采购文件、响应文件、澄清表（函）、成交通知书、合同附件均成为合同不可分割的部分。</w:t>
      </w:r>
    </w:p>
    <w:p w14:paraId="129718B1">
      <w:pPr>
        <w:spacing w:line="360" w:lineRule="auto"/>
        <w:ind w:left="420"/>
        <w:rPr>
          <w:rFonts w:hint="eastAsia" w:ascii="宋体" w:hAnsi="宋体" w:eastAsia="宋体" w:cs="宋体"/>
          <w:color w:val="auto"/>
          <w:highlight w:val="none"/>
        </w:rPr>
      </w:pPr>
      <w:r>
        <w:rPr>
          <w:rFonts w:hint="eastAsia" w:ascii="宋体" w:hAnsi="宋体" w:eastAsia="宋体" w:cs="宋体"/>
          <w:color w:val="auto"/>
          <w:highlight w:val="none"/>
        </w:rPr>
        <w:t>（二）未尽事宜，经双方协商一致，签订补充协议，补充协议与本合同具有同等法律效力。</w:t>
      </w:r>
    </w:p>
    <w:p w14:paraId="2B53749A">
      <w:pPr>
        <w:spacing w:line="360" w:lineRule="auto"/>
        <w:ind w:firstLine="210" w:firstLineChars="100"/>
        <w:rPr>
          <w:rFonts w:hint="eastAsia" w:ascii="宋体" w:hAnsi="宋体" w:eastAsia="宋体" w:cs="宋体"/>
          <w:color w:val="auto"/>
          <w:highlight w:val="none"/>
        </w:rPr>
      </w:pPr>
      <w:r>
        <w:rPr>
          <w:rFonts w:hint="eastAsia" w:ascii="宋体" w:hAnsi="宋体" w:eastAsia="宋体" w:cs="宋体"/>
          <w:color w:val="auto"/>
          <w:highlight w:val="none"/>
        </w:rPr>
        <w:br w:type="page"/>
      </w:r>
      <w:r>
        <w:rPr>
          <w:rFonts w:hint="eastAsia" w:ascii="宋体" w:hAnsi="宋体" w:eastAsia="宋体" w:cs="宋体"/>
          <w:color w:val="auto"/>
          <w:highlight w:val="none"/>
        </w:rPr>
        <w:t>本页无正文</w:t>
      </w:r>
    </w:p>
    <w:tbl>
      <w:tblPr>
        <w:tblStyle w:val="9"/>
        <w:tblW w:w="9038" w:type="dxa"/>
        <w:jc w:val="center"/>
        <w:tblLayout w:type="fixed"/>
        <w:tblCellMar>
          <w:top w:w="0" w:type="dxa"/>
          <w:left w:w="108" w:type="dxa"/>
          <w:bottom w:w="0" w:type="dxa"/>
          <w:right w:w="108" w:type="dxa"/>
        </w:tblCellMar>
      </w:tblPr>
      <w:tblGrid>
        <w:gridCol w:w="3043"/>
        <w:gridCol w:w="2978"/>
        <w:gridCol w:w="3017"/>
      </w:tblGrid>
      <w:tr w14:paraId="6536080B">
        <w:tblPrEx>
          <w:tblCellMar>
            <w:top w:w="0" w:type="dxa"/>
            <w:left w:w="108" w:type="dxa"/>
            <w:bottom w:w="0" w:type="dxa"/>
            <w:right w:w="108" w:type="dxa"/>
          </w:tblCellMar>
        </w:tblPrEx>
        <w:trPr>
          <w:trHeight w:val="739" w:hRule="atLeast"/>
          <w:jc w:val="center"/>
        </w:trPr>
        <w:tc>
          <w:tcPr>
            <w:tcW w:w="3043" w:type="dxa"/>
            <w:noWrap/>
            <w:vAlign w:val="center"/>
          </w:tcPr>
          <w:p w14:paraId="3BAD1036">
            <w:pPr>
              <w:rPr>
                <w:rFonts w:hint="eastAsia" w:ascii="宋体" w:hAnsi="宋体" w:cs="宋体"/>
                <w:color w:val="auto"/>
                <w:highlight w:val="none"/>
              </w:rPr>
            </w:pPr>
            <w:r>
              <w:rPr>
                <w:rFonts w:hint="eastAsia" w:ascii="宋体" w:hAnsi="宋体" w:cs="宋体"/>
                <w:b/>
                <w:bCs/>
                <w:color w:val="auto"/>
                <w:highlight w:val="none"/>
              </w:rPr>
              <w:t>需方：西安市市场监督管理局（盖章）</w:t>
            </w:r>
          </w:p>
        </w:tc>
        <w:tc>
          <w:tcPr>
            <w:tcW w:w="2978" w:type="dxa"/>
            <w:noWrap/>
            <w:vAlign w:val="center"/>
          </w:tcPr>
          <w:p w14:paraId="7953C067">
            <w:pPr>
              <w:rPr>
                <w:rFonts w:hint="eastAsia" w:ascii="宋体" w:hAnsi="宋体" w:cs="宋体"/>
                <w:color w:val="auto"/>
                <w:highlight w:val="none"/>
              </w:rPr>
            </w:pPr>
            <w:r>
              <w:rPr>
                <w:rFonts w:hint="eastAsia" w:ascii="宋体" w:hAnsi="宋体" w:cs="宋体"/>
                <w:b/>
                <w:bCs/>
                <w:color w:val="auto"/>
                <w:highlight w:val="none"/>
              </w:rPr>
              <w:t>供方：（盖章）</w:t>
            </w:r>
          </w:p>
        </w:tc>
        <w:tc>
          <w:tcPr>
            <w:tcW w:w="3017" w:type="dxa"/>
            <w:vMerge w:val="restart"/>
            <w:noWrap/>
          </w:tcPr>
          <w:p w14:paraId="1D0938FD">
            <w:pPr>
              <w:rPr>
                <w:rFonts w:hint="eastAsia" w:ascii="宋体" w:hAnsi="宋体" w:cs="宋体"/>
                <w:b/>
                <w:bCs/>
                <w:color w:val="auto"/>
                <w:highlight w:val="none"/>
              </w:rPr>
            </w:pPr>
            <w:r>
              <w:rPr>
                <w:rFonts w:hint="eastAsia" w:ascii="宋体" w:hAnsi="宋体" w:cs="宋体"/>
                <w:b/>
                <w:bCs/>
                <w:color w:val="auto"/>
                <w:highlight w:val="none"/>
              </w:rPr>
              <w:t>鉴证方：陕西万泽招标有限公司</w:t>
            </w:r>
          </w:p>
          <w:p w14:paraId="05DC0846">
            <w:pPr>
              <w:ind w:left="242" w:hanging="204" w:hangingChars="97"/>
              <w:rPr>
                <w:rFonts w:hint="eastAsia" w:ascii="宋体" w:hAnsi="宋体" w:cs="宋体"/>
                <w:color w:val="auto"/>
                <w:highlight w:val="none"/>
              </w:rPr>
            </w:pPr>
            <w:r>
              <w:rPr>
                <w:rFonts w:hint="eastAsia" w:ascii="宋体" w:hAnsi="宋体" w:cs="宋体"/>
                <w:b/>
                <w:bCs/>
                <w:color w:val="auto"/>
                <w:highlight w:val="none"/>
              </w:rPr>
              <w:t>（盖章）</w:t>
            </w:r>
          </w:p>
        </w:tc>
      </w:tr>
      <w:tr w14:paraId="0326B229">
        <w:tblPrEx>
          <w:tblCellMar>
            <w:top w:w="0" w:type="dxa"/>
            <w:left w:w="108" w:type="dxa"/>
            <w:bottom w:w="0" w:type="dxa"/>
            <w:right w:w="108" w:type="dxa"/>
          </w:tblCellMar>
        </w:tblPrEx>
        <w:trPr>
          <w:trHeight w:val="598" w:hRule="atLeast"/>
          <w:jc w:val="center"/>
        </w:trPr>
        <w:tc>
          <w:tcPr>
            <w:tcW w:w="3043" w:type="dxa"/>
            <w:noWrap/>
            <w:vAlign w:val="center"/>
          </w:tcPr>
          <w:p w14:paraId="64DF8B0D">
            <w:pPr>
              <w:rPr>
                <w:rFonts w:hint="eastAsia" w:ascii="宋体" w:hAnsi="宋体" w:cs="宋体"/>
                <w:color w:val="auto"/>
                <w:highlight w:val="none"/>
              </w:rPr>
            </w:pPr>
            <w:r>
              <w:rPr>
                <w:rFonts w:hint="eastAsia" w:ascii="宋体" w:hAnsi="宋体" w:cs="宋体"/>
                <w:b/>
                <w:bCs/>
                <w:color w:val="auto"/>
                <w:highlight w:val="none"/>
              </w:rPr>
              <w:t>法人或委托代理人：</w:t>
            </w:r>
          </w:p>
        </w:tc>
        <w:tc>
          <w:tcPr>
            <w:tcW w:w="2978" w:type="dxa"/>
            <w:noWrap/>
            <w:vAlign w:val="center"/>
          </w:tcPr>
          <w:p w14:paraId="6EE651A1">
            <w:pPr>
              <w:rPr>
                <w:rFonts w:hint="eastAsia" w:ascii="宋体" w:hAnsi="宋体" w:cs="宋体"/>
                <w:color w:val="auto"/>
                <w:highlight w:val="none"/>
              </w:rPr>
            </w:pPr>
            <w:r>
              <w:rPr>
                <w:rFonts w:hint="eastAsia" w:ascii="宋体" w:hAnsi="宋体" w:cs="宋体"/>
                <w:b/>
                <w:bCs/>
                <w:color w:val="auto"/>
                <w:highlight w:val="none"/>
              </w:rPr>
              <w:t>法人或委托代理人：</w:t>
            </w:r>
          </w:p>
        </w:tc>
        <w:tc>
          <w:tcPr>
            <w:tcW w:w="3017" w:type="dxa"/>
            <w:vMerge w:val="continue"/>
            <w:noWrap/>
            <w:vAlign w:val="center"/>
          </w:tcPr>
          <w:p w14:paraId="14D67A83">
            <w:pPr>
              <w:rPr>
                <w:rFonts w:hint="eastAsia" w:ascii="宋体" w:hAnsi="宋体" w:cs="宋体"/>
                <w:color w:val="auto"/>
                <w:highlight w:val="none"/>
              </w:rPr>
            </w:pPr>
          </w:p>
        </w:tc>
      </w:tr>
      <w:tr w14:paraId="1B29857D">
        <w:tblPrEx>
          <w:tblCellMar>
            <w:top w:w="0" w:type="dxa"/>
            <w:left w:w="108" w:type="dxa"/>
            <w:bottom w:w="0" w:type="dxa"/>
            <w:right w:w="108" w:type="dxa"/>
          </w:tblCellMar>
        </w:tblPrEx>
        <w:trPr>
          <w:trHeight w:val="739" w:hRule="atLeast"/>
          <w:jc w:val="center"/>
        </w:trPr>
        <w:tc>
          <w:tcPr>
            <w:tcW w:w="3043" w:type="dxa"/>
            <w:noWrap/>
            <w:vAlign w:val="center"/>
          </w:tcPr>
          <w:p w14:paraId="7E8D75B4">
            <w:pPr>
              <w:rPr>
                <w:rFonts w:hint="eastAsia" w:ascii="宋体" w:hAnsi="宋体" w:cs="宋体"/>
                <w:color w:val="auto"/>
                <w:highlight w:val="none"/>
              </w:rPr>
            </w:pPr>
            <w:r>
              <w:rPr>
                <w:rFonts w:hint="eastAsia" w:ascii="宋体" w:hAnsi="宋体" w:cs="宋体"/>
                <w:b/>
                <w:bCs/>
                <w:color w:val="auto"/>
                <w:highlight w:val="none"/>
              </w:rPr>
              <w:t>户名：</w:t>
            </w:r>
          </w:p>
        </w:tc>
        <w:tc>
          <w:tcPr>
            <w:tcW w:w="2978" w:type="dxa"/>
            <w:noWrap/>
            <w:vAlign w:val="center"/>
          </w:tcPr>
          <w:p w14:paraId="13E97E0C">
            <w:pPr>
              <w:rPr>
                <w:rFonts w:hint="eastAsia" w:ascii="宋体" w:hAnsi="宋体" w:cs="宋体"/>
                <w:color w:val="auto"/>
                <w:highlight w:val="none"/>
              </w:rPr>
            </w:pPr>
            <w:r>
              <w:rPr>
                <w:rFonts w:hint="eastAsia" w:ascii="宋体" w:hAnsi="宋体" w:cs="宋体"/>
                <w:b/>
                <w:bCs/>
                <w:color w:val="auto"/>
                <w:highlight w:val="none"/>
              </w:rPr>
              <w:t>户名：</w:t>
            </w:r>
          </w:p>
        </w:tc>
        <w:tc>
          <w:tcPr>
            <w:tcW w:w="3017" w:type="dxa"/>
            <w:vMerge w:val="continue"/>
            <w:noWrap/>
            <w:vAlign w:val="center"/>
          </w:tcPr>
          <w:p w14:paraId="7F953BF1">
            <w:pPr>
              <w:rPr>
                <w:rFonts w:hint="eastAsia" w:ascii="宋体" w:hAnsi="宋体" w:cs="宋体"/>
                <w:color w:val="auto"/>
                <w:highlight w:val="none"/>
              </w:rPr>
            </w:pPr>
          </w:p>
        </w:tc>
      </w:tr>
      <w:tr w14:paraId="1928E4E1">
        <w:tblPrEx>
          <w:tblCellMar>
            <w:top w:w="0" w:type="dxa"/>
            <w:left w:w="108" w:type="dxa"/>
            <w:bottom w:w="0" w:type="dxa"/>
            <w:right w:w="108" w:type="dxa"/>
          </w:tblCellMar>
        </w:tblPrEx>
        <w:trPr>
          <w:trHeight w:val="739" w:hRule="atLeast"/>
          <w:jc w:val="center"/>
        </w:trPr>
        <w:tc>
          <w:tcPr>
            <w:tcW w:w="3043" w:type="dxa"/>
            <w:noWrap/>
            <w:vAlign w:val="center"/>
          </w:tcPr>
          <w:p w14:paraId="22F2C67B">
            <w:pPr>
              <w:rPr>
                <w:rFonts w:hint="eastAsia" w:ascii="宋体" w:hAnsi="宋体" w:cs="宋体"/>
                <w:color w:val="auto"/>
                <w:highlight w:val="none"/>
              </w:rPr>
            </w:pPr>
            <w:r>
              <w:rPr>
                <w:rFonts w:hint="eastAsia" w:ascii="宋体" w:hAnsi="宋体" w:cs="宋体"/>
                <w:b/>
                <w:bCs/>
                <w:color w:val="auto"/>
                <w:highlight w:val="none"/>
              </w:rPr>
              <w:t>开户行：</w:t>
            </w:r>
          </w:p>
        </w:tc>
        <w:tc>
          <w:tcPr>
            <w:tcW w:w="2978" w:type="dxa"/>
            <w:noWrap/>
            <w:vAlign w:val="center"/>
          </w:tcPr>
          <w:p w14:paraId="56B52DC1">
            <w:pPr>
              <w:rPr>
                <w:rFonts w:hint="eastAsia" w:ascii="宋体" w:hAnsi="宋体" w:cs="宋体"/>
                <w:color w:val="auto"/>
                <w:highlight w:val="none"/>
              </w:rPr>
            </w:pPr>
            <w:r>
              <w:rPr>
                <w:rFonts w:hint="eastAsia" w:ascii="宋体" w:hAnsi="宋体" w:cs="宋体"/>
                <w:b/>
                <w:bCs/>
                <w:color w:val="auto"/>
                <w:highlight w:val="none"/>
              </w:rPr>
              <w:t>开户行：</w:t>
            </w:r>
          </w:p>
        </w:tc>
        <w:tc>
          <w:tcPr>
            <w:tcW w:w="3017" w:type="dxa"/>
            <w:noWrap/>
            <w:vAlign w:val="center"/>
          </w:tcPr>
          <w:p w14:paraId="7FA9337B">
            <w:pPr>
              <w:rPr>
                <w:rFonts w:hint="eastAsia" w:ascii="宋体" w:hAnsi="宋体" w:cs="宋体"/>
                <w:color w:val="auto"/>
                <w:highlight w:val="none"/>
              </w:rPr>
            </w:pPr>
            <w:r>
              <w:rPr>
                <w:rFonts w:hint="eastAsia" w:ascii="宋体" w:hAnsi="宋体" w:cs="宋体"/>
                <w:b/>
                <w:bCs/>
                <w:color w:val="auto"/>
                <w:highlight w:val="none"/>
              </w:rPr>
              <w:t>代表签字：</w:t>
            </w:r>
          </w:p>
        </w:tc>
      </w:tr>
      <w:tr w14:paraId="3AF46956">
        <w:tblPrEx>
          <w:tblCellMar>
            <w:top w:w="0" w:type="dxa"/>
            <w:left w:w="108" w:type="dxa"/>
            <w:bottom w:w="0" w:type="dxa"/>
            <w:right w:w="108" w:type="dxa"/>
          </w:tblCellMar>
        </w:tblPrEx>
        <w:trPr>
          <w:trHeight w:val="598" w:hRule="atLeast"/>
          <w:jc w:val="center"/>
        </w:trPr>
        <w:tc>
          <w:tcPr>
            <w:tcW w:w="3043" w:type="dxa"/>
            <w:noWrap/>
            <w:vAlign w:val="center"/>
          </w:tcPr>
          <w:p w14:paraId="50E1547E">
            <w:pPr>
              <w:rPr>
                <w:rFonts w:hint="eastAsia" w:ascii="宋体" w:hAnsi="宋体" w:cs="宋体"/>
                <w:color w:val="auto"/>
                <w:highlight w:val="none"/>
              </w:rPr>
            </w:pPr>
            <w:r>
              <w:rPr>
                <w:rFonts w:hint="eastAsia" w:ascii="宋体" w:hAnsi="宋体" w:cs="宋体"/>
                <w:b/>
                <w:bCs/>
                <w:color w:val="auto"/>
                <w:highlight w:val="none"/>
              </w:rPr>
              <w:t>账号：</w:t>
            </w:r>
          </w:p>
        </w:tc>
        <w:tc>
          <w:tcPr>
            <w:tcW w:w="2978" w:type="dxa"/>
            <w:noWrap/>
            <w:vAlign w:val="center"/>
          </w:tcPr>
          <w:p w14:paraId="6F734DEC">
            <w:pPr>
              <w:rPr>
                <w:rFonts w:hint="eastAsia" w:ascii="宋体" w:hAnsi="宋体" w:cs="宋体"/>
                <w:color w:val="auto"/>
                <w:highlight w:val="none"/>
              </w:rPr>
            </w:pPr>
            <w:r>
              <w:rPr>
                <w:rFonts w:hint="eastAsia" w:ascii="宋体" w:hAnsi="宋体" w:cs="宋体"/>
                <w:b/>
                <w:bCs/>
                <w:color w:val="auto"/>
                <w:highlight w:val="none"/>
              </w:rPr>
              <w:t>账号：</w:t>
            </w:r>
          </w:p>
        </w:tc>
        <w:tc>
          <w:tcPr>
            <w:tcW w:w="3017" w:type="dxa"/>
            <w:noWrap/>
            <w:vAlign w:val="center"/>
          </w:tcPr>
          <w:p w14:paraId="35814302">
            <w:pPr>
              <w:rPr>
                <w:rFonts w:hint="eastAsia" w:ascii="宋体" w:hAnsi="宋体" w:cs="宋体"/>
                <w:color w:val="auto"/>
                <w:highlight w:val="none"/>
              </w:rPr>
            </w:pPr>
          </w:p>
        </w:tc>
      </w:tr>
      <w:tr w14:paraId="35710373">
        <w:tblPrEx>
          <w:tblCellMar>
            <w:top w:w="0" w:type="dxa"/>
            <w:left w:w="108" w:type="dxa"/>
            <w:bottom w:w="0" w:type="dxa"/>
            <w:right w:w="108" w:type="dxa"/>
          </w:tblCellMar>
        </w:tblPrEx>
        <w:trPr>
          <w:trHeight w:val="598" w:hRule="atLeast"/>
          <w:jc w:val="center"/>
        </w:trPr>
        <w:tc>
          <w:tcPr>
            <w:tcW w:w="3043" w:type="dxa"/>
            <w:noWrap/>
            <w:vAlign w:val="center"/>
          </w:tcPr>
          <w:p w14:paraId="4D79D844">
            <w:pPr>
              <w:rPr>
                <w:rFonts w:hint="eastAsia" w:ascii="宋体" w:hAnsi="宋体" w:cs="宋体"/>
                <w:color w:val="auto"/>
                <w:highlight w:val="none"/>
              </w:rPr>
            </w:pPr>
            <w:r>
              <w:rPr>
                <w:rFonts w:hint="eastAsia" w:ascii="宋体" w:hAnsi="宋体" w:cs="宋体"/>
                <w:b/>
                <w:bCs/>
                <w:color w:val="auto"/>
                <w:highlight w:val="none"/>
              </w:rPr>
              <w:t>电话：</w:t>
            </w:r>
          </w:p>
        </w:tc>
        <w:tc>
          <w:tcPr>
            <w:tcW w:w="2978" w:type="dxa"/>
            <w:noWrap/>
            <w:vAlign w:val="center"/>
          </w:tcPr>
          <w:p w14:paraId="566A823E">
            <w:pPr>
              <w:rPr>
                <w:rFonts w:hint="eastAsia" w:ascii="宋体" w:hAnsi="宋体" w:cs="宋体"/>
                <w:color w:val="auto"/>
                <w:highlight w:val="none"/>
              </w:rPr>
            </w:pPr>
            <w:r>
              <w:rPr>
                <w:rFonts w:hint="eastAsia" w:ascii="宋体" w:hAnsi="宋体" w:cs="宋体"/>
                <w:b/>
                <w:bCs/>
                <w:color w:val="auto"/>
                <w:highlight w:val="none"/>
              </w:rPr>
              <w:t xml:space="preserve">电话: </w:t>
            </w:r>
          </w:p>
        </w:tc>
        <w:tc>
          <w:tcPr>
            <w:tcW w:w="3017" w:type="dxa"/>
            <w:noWrap/>
            <w:vAlign w:val="center"/>
          </w:tcPr>
          <w:p w14:paraId="4F1360AF">
            <w:pPr>
              <w:rPr>
                <w:rFonts w:hint="eastAsia" w:ascii="宋体" w:hAnsi="宋体" w:cs="宋体"/>
                <w:color w:val="auto"/>
                <w:highlight w:val="none"/>
              </w:rPr>
            </w:pPr>
            <w:r>
              <w:rPr>
                <w:rFonts w:hint="eastAsia" w:ascii="宋体" w:hAnsi="宋体" w:cs="宋体"/>
                <w:b/>
                <w:bCs/>
                <w:color w:val="auto"/>
                <w:highlight w:val="none"/>
              </w:rPr>
              <w:t>电话029-88319689</w:t>
            </w:r>
          </w:p>
        </w:tc>
      </w:tr>
      <w:tr w14:paraId="502EB734">
        <w:tblPrEx>
          <w:tblCellMar>
            <w:top w:w="0" w:type="dxa"/>
            <w:left w:w="108" w:type="dxa"/>
            <w:bottom w:w="0" w:type="dxa"/>
            <w:right w:w="108" w:type="dxa"/>
          </w:tblCellMar>
        </w:tblPrEx>
        <w:trPr>
          <w:trHeight w:val="1109" w:hRule="atLeast"/>
          <w:jc w:val="center"/>
        </w:trPr>
        <w:tc>
          <w:tcPr>
            <w:tcW w:w="3043" w:type="dxa"/>
            <w:noWrap/>
            <w:vAlign w:val="center"/>
          </w:tcPr>
          <w:p w14:paraId="4B9E1F81">
            <w:pPr>
              <w:rPr>
                <w:rFonts w:hint="eastAsia" w:ascii="宋体" w:hAnsi="宋体" w:cs="宋体"/>
                <w:color w:val="auto"/>
                <w:highlight w:val="none"/>
              </w:rPr>
            </w:pPr>
            <w:r>
              <w:rPr>
                <w:rFonts w:hint="eastAsia" w:ascii="宋体" w:hAnsi="宋体" w:cs="宋体"/>
                <w:b/>
                <w:bCs/>
                <w:color w:val="auto"/>
                <w:highlight w:val="none"/>
              </w:rPr>
              <w:t>地址：凤城八路109号2号楼五层</w:t>
            </w:r>
          </w:p>
        </w:tc>
        <w:tc>
          <w:tcPr>
            <w:tcW w:w="2978" w:type="dxa"/>
            <w:noWrap/>
            <w:vAlign w:val="center"/>
          </w:tcPr>
          <w:p w14:paraId="0C2B71B5">
            <w:pPr>
              <w:rPr>
                <w:rFonts w:hint="eastAsia" w:ascii="宋体" w:hAnsi="宋体" w:cs="宋体"/>
                <w:color w:val="auto"/>
                <w:highlight w:val="none"/>
              </w:rPr>
            </w:pPr>
            <w:r>
              <w:rPr>
                <w:rFonts w:hint="eastAsia" w:ascii="宋体" w:hAnsi="宋体" w:cs="宋体"/>
                <w:b/>
                <w:bCs/>
                <w:color w:val="auto"/>
                <w:highlight w:val="none"/>
              </w:rPr>
              <w:t>地址：</w:t>
            </w:r>
          </w:p>
        </w:tc>
        <w:tc>
          <w:tcPr>
            <w:tcW w:w="3017" w:type="dxa"/>
            <w:noWrap/>
            <w:vAlign w:val="center"/>
          </w:tcPr>
          <w:p w14:paraId="79B5D80F">
            <w:pPr>
              <w:rPr>
                <w:rFonts w:hint="eastAsia" w:ascii="宋体" w:hAnsi="宋体" w:cs="宋体" w:eastAsiaTheme="minorEastAsia"/>
                <w:color w:val="auto"/>
                <w:highlight w:val="none"/>
                <w:lang w:eastAsia="zh-CN"/>
              </w:rPr>
            </w:pPr>
            <w:r>
              <w:rPr>
                <w:rFonts w:hint="eastAsia" w:ascii="宋体" w:hAnsi="宋体" w:cs="宋体"/>
                <w:b/>
                <w:bCs/>
                <w:color w:val="auto"/>
                <w:highlight w:val="none"/>
              </w:rPr>
              <w:t>地址：西安市高新区唐延路旺座现代城C座25楼250</w:t>
            </w:r>
            <w:r>
              <w:rPr>
                <w:rFonts w:hint="eastAsia" w:ascii="宋体" w:hAnsi="宋体" w:cs="宋体"/>
                <w:b/>
                <w:bCs/>
                <w:color w:val="auto"/>
                <w:highlight w:val="none"/>
                <w:lang w:val="en-US" w:eastAsia="zh-CN"/>
              </w:rPr>
              <w:t>2</w:t>
            </w:r>
          </w:p>
        </w:tc>
      </w:tr>
      <w:tr w14:paraId="2E43B31A">
        <w:tblPrEx>
          <w:tblCellMar>
            <w:top w:w="0" w:type="dxa"/>
            <w:left w:w="108" w:type="dxa"/>
            <w:bottom w:w="0" w:type="dxa"/>
            <w:right w:w="108" w:type="dxa"/>
          </w:tblCellMar>
        </w:tblPrEx>
        <w:trPr>
          <w:trHeight w:val="598" w:hRule="atLeast"/>
          <w:jc w:val="center"/>
        </w:trPr>
        <w:tc>
          <w:tcPr>
            <w:tcW w:w="3043" w:type="dxa"/>
            <w:noWrap/>
            <w:vAlign w:val="center"/>
          </w:tcPr>
          <w:p w14:paraId="2B371431">
            <w:pPr>
              <w:rPr>
                <w:rFonts w:hint="eastAsia" w:ascii="宋体" w:hAnsi="宋体" w:cs="宋体"/>
                <w:color w:val="auto"/>
                <w:highlight w:val="none"/>
              </w:rPr>
            </w:pPr>
            <w:r>
              <w:rPr>
                <w:rFonts w:hint="eastAsia" w:ascii="宋体" w:hAnsi="宋体" w:cs="宋体"/>
                <w:b/>
                <w:bCs/>
                <w:color w:val="auto"/>
                <w:highlight w:val="none"/>
              </w:rPr>
              <w:t>日期: 2025年</w:t>
            </w:r>
            <w:r>
              <w:rPr>
                <w:rFonts w:hint="eastAsia" w:ascii="宋体" w:hAnsi="宋体" w:cs="宋体"/>
                <w:b/>
                <w:bCs/>
                <w:color w:val="auto"/>
                <w:highlight w:val="none"/>
                <w:lang w:val="en-US" w:eastAsia="zh-CN"/>
              </w:rPr>
              <w:t xml:space="preserve">  </w:t>
            </w:r>
            <w:r>
              <w:rPr>
                <w:rFonts w:hint="eastAsia" w:ascii="宋体" w:hAnsi="宋体" w:cs="宋体"/>
                <w:b/>
                <w:bCs/>
                <w:color w:val="auto"/>
                <w:highlight w:val="none"/>
              </w:rPr>
              <w:t>月</w:t>
            </w:r>
            <w:r>
              <w:rPr>
                <w:rFonts w:hint="eastAsia" w:ascii="宋体" w:hAnsi="宋体" w:cs="宋体"/>
                <w:b/>
                <w:bCs/>
                <w:color w:val="auto"/>
                <w:highlight w:val="none"/>
                <w:lang w:val="en-US" w:eastAsia="zh-CN"/>
              </w:rPr>
              <w:t xml:space="preserve">  </w:t>
            </w:r>
            <w:r>
              <w:rPr>
                <w:rFonts w:hint="eastAsia" w:ascii="宋体" w:hAnsi="宋体" w:cs="宋体"/>
                <w:b/>
                <w:bCs/>
                <w:color w:val="auto"/>
                <w:highlight w:val="none"/>
              </w:rPr>
              <w:t>日</w:t>
            </w:r>
          </w:p>
        </w:tc>
        <w:tc>
          <w:tcPr>
            <w:tcW w:w="2978" w:type="dxa"/>
            <w:noWrap/>
            <w:vAlign w:val="center"/>
          </w:tcPr>
          <w:p w14:paraId="7B0E6E85">
            <w:pPr>
              <w:rPr>
                <w:rFonts w:hint="eastAsia" w:ascii="宋体" w:hAnsi="宋体" w:cs="宋体"/>
                <w:color w:val="auto"/>
                <w:highlight w:val="none"/>
              </w:rPr>
            </w:pPr>
            <w:r>
              <w:rPr>
                <w:rFonts w:hint="eastAsia" w:ascii="宋体" w:hAnsi="宋体" w:cs="宋体"/>
                <w:b/>
                <w:bCs/>
                <w:color w:val="auto"/>
                <w:highlight w:val="none"/>
              </w:rPr>
              <w:t>日期: 2025年</w:t>
            </w:r>
            <w:r>
              <w:rPr>
                <w:rFonts w:hint="eastAsia" w:ascii="宋体" w:hAnsi="宋体" w:cs="宋体"/>
                <w:b/>
                <w:bCs/>
                <w:color w:val="auto"/>
                <w:highlight w:val="none"/>
                <w:lang w:val="en-US" w:eastAsia="zh-CN"/>
              </w:rPr>
              <w:t xml:space="preserve">  </w:t>
            </w:r>
            <w:r>
              <w:rPr>
                <w:rFonts w:hint="eastAsia" w:ascii="宋体" w:hAnsi="宋体" w:cs="宋体"/>
                <w:b/>
                <w:bCs/>
                <w:color w:val="auto"/>
                <w:highlight w:val="none"/>
              </w:rPr>
              <w:t>月</w:t>
            </w:r>
            <w:r>
              <w:rPr>
                <w:rFonts w:hint="eastAsia" w:ascii="宋体" w:hAnsi="宋体" w:cs="宋体"/>
                <w:b/>
                <w:bCs/>
                <w:color w:val="auto"/>
                <w:highlight w:val="none"/>
                <w:lang w:val="en-US" w:eastAsia="zh-CN"/>
              </w:rPr>
              <w:t xml:space="preserve">  </w:t>
            </w:r>
            <w:r>
              <w:rPr>
                <w:rFonts w:hint="eastAsia" w:ascii="宋体" w:hAnsi="宋体" w:cs="宋体"/>
                <w:b/>
                <w:bCs/>
                <w:color w:val="auto"/>
                <w:highlight w:val="none"/>
              </w:rPr>
              <w:t>日</w:t>
            </w:r>
          </w:p>
        </w:tc>
        <w:tc>
          <w:tcPr>
            <w:tcW w:w="3017" w:type="dxa"/>
            <w:noWrap/>
            <w:vAlign w:val="center"/>
          </w:tcPr>
          <w:p w14:paraId="73B2D288">
            <w:pPr>
              <w:rPr>
                <w:rFonts w:hint="eastAsia" w:ascii="宋体" w:hAnsi="宋体" w:cs="宋体"/>
                <w:color w:val="auto"/>
                <w:highlight w:val="none"/>
              </w:rPr>
            </w:pPr>
          </w:p>
        </w:tc>
      </w:tr>
    </w:tbl>
    <w:p w14:paraId="6BD6BB8E"/>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6A4941"/>
    <w:rsid w:val="0D544BF1"/>
    <w:rsid w:val="31087EC8"/>
    <w:rsid w:val="35AD3F93"/>
    <w:rsid w:val="4A0C3219"/>
    <w:rsid w:val="51BC2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semiHidden/>
    <w:unhideWhenUsed/>
    <w:qFormat/>
    <w:uiPriority w:val="0"/>
    <w:pPr>
      <w:keepNext/>
      <w:keepLines/>
      <w:snapToGrid/>
      <w:spacing w:beforeLines="0" w:beforeAutospacing="0" w:afterLines="0" w:afterAutospacing="0" w:line="360" w:lineRule="auto"/>
      <w:outlineLvl w:val="1"/>
    </w:pPr>
    <w:rPr>
      <w:rFonts w:ascii="Arial" w:hAnsi="Arial" w:eastAsia="宋体" w:cs="Arial"/>
      <w:b/>
      <w:snapToGrid w:val="0"/>
      <w:color w:val="000000"/>
      <w:kern w:val="0"/>
      <w:sz w:val="24"/>
      <w:szCs w:val="21"/>
      <w:lang w:eastAsia="en-US"/>
    </w:rPr>
  </w:style>
  <w:style w:type="paragraph" w:styleId="4">
    <w:name w:val="heading 3"/>
    <w:basedOn w:val="1"/>
    <w:next w:val="1"/>
    <w:semiHidden/>
    <w:unhideWhenUsed/>
    <w:qFormat/>
    <w:uiPriority w:val="0"/>
    <w:pPr>
      <w:keepNext/>
      <w:keepLines/>
      <w:spacing w:beforeLines="0" w:beforeAutospacing="0" w:afterLines="0" w:afterAutospacing="0" w:line="360" w:lineRule="auto"/>
      <w:outlineLvl w:val="2"/>
    </w:pPr>
    <w:rPr>
      <w:rFonts w:eastAsia="宋体" w:asciiTheme="minorAscii" w:hAnsiTheme="minorAscii"/>
      <w:sz w:val="21"/>
    </w:rPr>
  </w:style>
  <w:style w:type="paragraph" w:styleId="2">
    <w:name w:val="heading 4"/>
    <w:basedOn w:val="1"/>
    <w:next w:val="1"/>
    <w:unhideWhenUsed/>
    <w:qFormat/>
    <w:uiPriority w:val="0"/>
    <w:pPr>
      <w:keepNext/>
      <w:keepLines/>
      <w:jc w:val="left"/>
      <w:outlineLvl w:val="3"/>
    </w:pPr>
    <w:rPr>
      <w:rFonts w:hint="eastAsia" w:ascii="Arial" w:hAnsi="Arial" w:eastAsia="宋体" w:cs="Times New Roman"/>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Indent"/>
    <w:basedOn w:val="1"/>
    <w:next w:val="1"/>
    <w:qFormat/>
    <w:uiPriority w:val="0"/>
    <w:pPr>
      <w:ind w:left="420" w:leftChars="200"/>
    </w:pPr>
  </w:style>
  <w:style w:type="paragraph" w:styleId="7">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rPr>
  </w:style>
  <w:style w:type="paragraph" w:styleId="8">
    <w:name w:val="Normal (Web)"/>
    <w:basedOn w:val="1"/>
    <w:qFormat/>
    <w:uiPriority w:val="99"/>
    <w:pPr>
      <w:spacing w:before="100" w:beforeAutospacing="1" w:after="100" w:afterAutospacing="1"/>
    </w:pPr>
    <w:rPr>
      <w:rFonts w:ascii="宋体" w:hAnsi="宋体" w:cs="宋体"/>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列出段落1"/>
    <w:basedOn w:val="1"/>
    <w:qFormat/>
    <w:uiPriority w:val="0"/>
    <w:pPr>
      <w:widowControl/>
      <w:ind w:firstLine="420" w:firstLineChars="200"/>
      <w:jc w:val="left"/>
    </w:pPr>
    <w:rPr>
      <w:rFonts w:ascii="宋体" w:hAnsi="宋体" w:cs="宋体"/>
      <w:kern w:val="0"/>
      <w:sz w:val="24"/>
      <w:szCs w:val="24"/>
    </w:rPr>
  </w:style>
  <w:style w:type="paragraph" w:customStyle="1" w:styleId="14">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1920</Words>
  <Characters>2000</Characters>
  <Lines>0</Lines>
  <Paragraphs>0</Paragraphs>
  <TotalTime>0</TotalTime>
  <ScaleCrop>false</ScaleCrop>
  <LinksUpToDate>false</LinksUpToDate>
  <CharactersWithSpaces>2421</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2025-04-15T02:48:00Z</dcterms:created>
  <dc:creator>Administrator</dc:creator>
  <cp:lastModifiedBy>Arian</cp:lastModifiedBy>
  <dcterms:modified xsi:type="dcterms:W3CDTF">2026-06-29T07:57:19Z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2AD09BA1E95F44EB99C51596A3B48117_12</vt:lpwstr>
  </property>
  <property fmtid="{D5CDD505-2E9C-101B-9397-08002B2CF9AE}" pid="4" name="KSOTemplateDocerSaveRecord">
    <vt:lpwstr>eyJoZGlkIjoiY2RlODhmMTk2NGUyOWI3OWViZmQ0ODkzZTYyOGI1ZDgiLCJ1c2VySWQiOiIxMTUzMzk1MzI1In0=</vt:lpwstr>
  </property>
</Properties>
</file>