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b w:val="0"/>
          <w:bCs w:val="0"/>
        </w:rPr>
      </w:pPr>
      <w:bookmarkStart w:id="10" w:name="_GoBack"/>
      <w:bookmarkEnd w:id="10"/>
      <w:bookmarkStart w:id="0" w:name="_Toc35393809"/>
      <w:bookmarkStart w:id="1" w:name="_Toc28359022"/>
      <w:r>
        <w:rPr>
          <w:rFonts w:hint="eastAsia" w:ascii="方正小标宋简体" w:hAnsi="方正小标宋简体" w:eastAsia="方正小标宋简体" w:cs="方正小标宋简体"/>
          <w:b w:val="0"/>
          <w:bCs w:val="0"/>
        </w:rPr>
        <w:t>关于</w:t>
      </w:r>
      <w:r>
        <w:rPr>
          <w:rFonts w:hint="eastAsia" w:ascii="方正小标宋简体" w:hAnsi="方正小标宋简体" w:eastAsia="方正小标宋简体" w:cs="方正小标宋简体"/>
          <w:b w:val="0"/>
          <w:bCs w:val="0"/>
          <w:lang w:eastAsia="zh-CN"/>
        </w:rPr>
        <w:t>西安市中心医院办公打印纸及医用定制纸项目采购包一的成</w:t>
      </w:r>
      <w:r>
        <w:rPr>
          <w:rFonts w:hint="eastAsia" w:ascii="方正小标宋简体" w:hAnsi="方正小标宋简体" w:eastAsia="方正小标宋简体" w:cs="方正小标宋简体"/>
          <w:b w:val="0"/>
          <w:bCs w:val="0"/>
        </w:rPr>
        <w:t>交结果公告</w:t>
      </w:r>
      <w:bookmarkEnd w:id="0"/>
      <w:bookmarkEnd w:id="1"/>
    </w:p>
    <w:p>
      <w:pPr>
        <w:pStyle w:val="28"/>
        <w:spacing w:line="560" w:lineRule="exact"/>
        <w:ind w:firstLine="0" w:firstLineChars="0"/>
        <w:rPr>
          <w:rFonts w:ascii="黑体" w:hAnsi="黑体" w:eastAsia="黑体"/>
          <w:sz w:val="28"/>
          <w:szCs w:val="28"/>
        </w:rPr>
      </w:pPr>
    </w:p>
    <w:p>
      <w:pPr>
        <w:pStyle w:val="28"/>
        <w:keepNext w:val="0"/>
        <w:keepLines w:val="0"/>
        <w:pageBreakBefore w:val="0"/>
        <w:kinsoku/>
        <w:wordWrap/>
        <w:overflowPunct/>
        <w:topLinePunct w:val="0"/>
        <w:autoSpaceDE/>
        <w:autoSpaceDN/>
        <w:bidi w:val="0"/>
        <w:adjustRightInd/>
        <w:snapToGrid/>
        <w:spacing w:line="500" w:lineRule="exact"/>
        <w:ind w:firstLine="0" w:firstLineChars="0"/>
        <w:textAlignment w:val="auto"/>
        <w:rPr>
          <w:rFonts w:hint="eastAsia" w:ascii="黑体" w:hAnsi="黑体" w:eastAsia="黑体"/>
          <w:sz w:val="28"/>
          <w:szCs w:val="28"/>
          <w:lang w:eastAsia="zh-CN"/>
        </w:rPr>
      </w:pPr>
      <w:r>
        <w:rPr>
          <w:rFonts w:hint="eastAsia" w:ascii="黑体" w:hAnsi="黑体" w:eastAsia="黑体"/>
          <w:sz w:val="28"/>
          <w:szCs w:val="28"/>
        </w:rPr>
        <w:t>一、项目编号：</w:t>
      </w:r>
      <w:r>
        <w:rPr>
          <w:rFonts w:hint="eastAsia" w:ascii="仿宋" w:hAnsi="仿宋" w:eastAsia="仿宋"/>
          <w:sz w:val="28"/>
          <w:szCs w:val="28"/>
          <w:lang w:eastAsia="zh-CN"/>
        </w:rPr>
        <w:t>XCZX2026-0031-2</w:t>
      </w:r>
    </w:p>
    <w:p>
      <w:pPr>
        <w:pStyle w:val="28"/>
        <w:keepNext w:val="0"/>
        <w:keepLines w:val="0"/>
        <w:pageBreakBefore w:val="0"/>
        <w:kinsoku/>
        <w:wordWrap/>
        <w:overflowPunct/>
        <w:topLinePunct w:val="0"/>
        <w:autoSpaceDE/>
        <w:autoSpaceDN/>
        <w:bidi w:val="0"/>
        <w:adjustRightInd/>
        <w:snapToGrid/>
        <w:spacing w:line="500" w:lineRule="exact"/>
        <w:ind w:firstLine="560"/>
        <w:textAlignment w:val="auto"/>
        <w:rPr>
          <w:rFonts w:ascii="黑体" w:hAnsi="黑体" w:eastAsia="黑体"/>
          <w:sz w:val="28"/>
          <w:szCs w:val="28"/>
        </w:rPr>
      </w:pPr>
      <w:r>
        <w:rPr>
          <w:rFonts w:hint="eastAsia" w:ascii="黑体" w:hAnsi="黑体" w:eastAsia="黑体"/>
          <w:sz w:val="28"/>
          <w:szCs w:val="28"/>
          <w:lang w:eastAsia="zh-CN"/>
        </w:rPr>
        <w:t>核准</w:t>
      </w:r>
      <w:r>
        <w:rPr>
          <w:rFonts w:hint="eastAsia" w:ascii="黑体" w:hAnsi="黑体" w:eastAsia="黑体"/>
          <w:sz w:val="28"/>
          <w:szCs w:val="28"/>
        </w:rPr>
        <w:t>编号</w:t>
      </w:r>
      <w:r>
        <w:rPr>
          <w:rFonts w:ascii="黑体" w:hAnsi="黑体" w:eastAsia="黑体"/>
          <w:sz w:val="28"/>
          <w:szCs w:val="28"/>
        </w:rPr>
        <w:t>：</w:t>
      </w:r>
      <w:r>
        <w:rPr>
          <w:rFonts w:hint="eastAsia" w:ascii="仿宋" w:hAnsi="仿宋" w:eastAsia="仿宋"/>
          <w:sz w:val="28"/>
          <w:szCs w:val="28"/>
          <w:lang w:eastAsia="zh-CN"/>
        </w:rPr>
        <w:t>ZCSP-西安市-2026-00070</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黑体"/>
          <w:sz w:val="28"/>
          <w:szCs w:val="28"/>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eastAsia="zh-CN"/>
        </w:rPr>
        <w:t>西安市中心医院办公打印纸及医用定制纸项目</w:t>
      </w:r>
    </w:p>
    <w:p>
      <w:pPr>
        <w:keepNext w:val="0"/>
        <w:keepLines w:val="0"/>
        <w:pageBreakBefore w:val="0"/>
        <w:kinsoku/>
        <w:wordWrap/>
        <w:overflowPunct/>
        <w:topLinePunct w:val="0"/>
        <w:autoSpaceDE/>
        <w:autoSpaceDN/>
        <w:bidi w:val="0"/>
        <w:adjustRightInd/>
        <w:snapToGrid/>
        <w:spacing w:line="500" w:lineRule="exact"/>
        <w:textAlignment w:val="auto"/>
        <w:rPr>
          <w:rFonts w:ascii="黑体" w:hAnsi="黑体" w:eastAsia="黑体"/>
          <w:sz w:val="28"/>
          <w:szCs w:val="28"/>
        </w:rPr>
      </w:pPr>
      <w:r>
        <w:rPr>
          <w:rFonts w:hint="eastAsia" w:ascii="黑体" w:hAnsi="黑体" w:eastAsia="黑体"/>
          <w:sz w:val="28"/>
          <w:szCs w:val="28"/>
        </w:rPr>
        <w:t>三、成交信息</w:t>
      </w:r>
    </w:p>
    <w:p>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供应商名称：西安港华信息技术有限公司</w:t>
      </w:r>
    </w:p>
    <w:p>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供应商地址：</w:t>
      </w:r>
      <w:r>
        <w:rPr>
          <w:rFonts w:hint="eastAsia" w:ascii="仿宋" w:hAnsi="仿宋" w:eastAsia="仿宋"/>
          <w:sz w:val="28"/>
          <w:szCs w:val="28"/>
          <w:lang w:val="en-US" w:eastAsia="zh-CN"/>
        </w:rPr>
        <w:t>西安市碑林区二环南路东段绿地乐和城809</w:t>
      </w:r>
    </w:p>
    <w:p>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成交金额：</w:t>
      </w:r>
      <w:r>
        <w:rPr>
          <w:rFonts w:hint="eastAsia" w:ascii="仿宋" w:hAnsi="仿宋" w:eastAsia="仿宋"/>
          <w:sz w:val="28"/>
          <w:szCs w:val="28"/>
          <w:lang w:eastAsia="zh-CN"/>
        </w:rPr>
        <w:t>本项目为单价合同，</w:t>
      </w:r>
      <w:r>
        <w:rPr>
          <w:rFonts w:hint="eastAsia" w:ascii="仿宋" w:hAnsi="仿宋" w:eastAsia="仿宋"/>
          <w:sz w:val="28"/>
          <w:szCs w:val="28"/>
          <w:lang w:val="en-US" w:eastAsia="zh-CN"/>
        </w:rPr>
        <w:t>成交</w:t>
      </w:r>
      <w:r>
        <w:rPr>
          <w:rFonts w:hint="eastAsia" w:ascii="仿宋" w:hAnsi="仿宋" w:eastAsia="仿宋"/>
          <w:sz w:val="28"/>
          <w:szCs w:val="28"/>
          <w:lang w:eastAsia="zh-CN"/>
        </w:rPr>
        <w:t>单价合计</w:t>
      </w:r>
      <w:r>
        <w:rPr>
          <w:rFonts w:hint="eastAsia" w:ascii="仿宋" w:hAnsi="仿宋" w:eastAsia="仿宋"/>
          <w:sz w:val="28"/>
          <w:szCs w:val="28"/>
          <w:lang w:val="en-US" w:eastAsia="zh-CN"/>
        </w:rPr>
        <w:t>金额为</w:t>
      </w:r>
      <w:r>
        <w:rPr>
          <w:rFonts w:hint="eastAsia" w:asciiTheme="minorEastAsia" w:hAnsiTheme="minorEastAsia"/>
          <w:color w:val="000000" w:themeColor="text1"/>
          <w:sz w:val="28"/>
          <w:szCs w:val="28"/>
        </w:rPr>
        <w:t>698.50</w:t>
      </w:r>
      <w:r>
        <w:rPr>
          <w:rFonts w:hint="eastAsia" w:asciiTheme="minorEastAsia" w:hAnsiTheme="minorEastAsia"/>
          <w:color w:val="000000" w:themeColor="text1"/>
          <w:sz w:val="28"/>
          <w:szCs w:val="28"/>
          <w:lang w:val="en-US" w:eastAsia="zh-CN"/>
        </w:rPr>
        <w:t>元</w:t>
      </w:r>
      <w:r>
        <w:rPr>
          <w:rFonts w:hint="eastAsia" w:asciiTheme="minorEastAsia" w:hAnsiTheme="minorEastAsia"/>
          <w:color w:val="000000" w:themeColor="text1"/>
          <w:sz w:val="28"/>
          <w:szCs w:val="28"/>
          <w:lang w:eastAsia="zh-CN"/>
        </w:rPr>
        <w:t>，</w:t>
      </w:r>
      <w:r>
        <w:rPr>
          <w:rFonts w:hint="eastAsia" w:ascii="仿宋" w:hAnsi="仿宋" w:eastAsia="仿宋"/>
          <w:sz w:val="28"/>
          <w:szCs w:val="28"/>
        </w:rPr>
        <w:t>实际支付时按照成交单价及实际采购数量据实结算，最终支付的货物总金额不超过本包采购预算。</w:t>
      </w:r>
    </w:p>
    <w:p>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联系人：</w:t>
      </w:r>
      <w:r>
        <w:rPr>
          <w:rFonts w:hint="eastAsia" w:ascii="仿宋" w:hAnsi="仿宋" w:eastAsia="仿宋"/>
          <w:sz w:val="28"/>
          <w:szCs w:val="28"/>
          <w:lang w:val="en-US" w:eastAsia="zh-CN"/>
        </w:rPr>
        <w:t>何亚男</w:t>
      </w:r>
    </w:p>
    <w:p>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17788069703</w:t>
      </w:r>
    </w:p>
    <w:p>
      <w:pPr>
        <w:keepNext w:val="0"/>
        <w:keepLines w:val="0"/>
        <w:pageBreakBefore w:val="0"/>
        <w:kinsoku/>
        <w:wordWrap/>
        <w:overflowPunct/>
        <w:topLinePunct w:val="0"/>
        <w:autoSpaceDE/>
        <w:autoSpaceDN/>
        <w:bidi w:val="0"/>
        <w:adjustRightInd/>
        <w:snapToGrid/>
        <w:spacing w:line="500" w:lineRule="exact"/>
        <w:textAlignment w:val="auto"/>
        <w:rPr>
          <w:rFonts w:ascii="黑体" w:hAnsi="黑体" w:eastAsia="黑体"/>
          <w:sz w:val="28"/>
          <w:szCs w:val="28"/>
        </w:rPr>
      </w:pPr>
      <w:r>
        <w:rPr>
          <w:rFonts w:hint="eastAsia" w:ascii="黑体" w:hAnsi="黑体" w:eastAsia="黑体"/>
          <w:sz w:val="28"/>
          <w:szCs w:val="28"/>
        </w:rPr>
        <w:t>四、主要标的信息</w:t>
      </w:r>
    </w:p>
    <w:tbl>
      <w:tblPr>
        <w:tblStyle w:val="11"/>
        <w:tblW w:w="8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5" w:type="dxa"/>
          </w:tcPr>
          <w:p>
            <w:pPr>
              <w:keepNext w:val="0"/>
              <w:keepLines w:val="0"/>
              <w:pageBreakBefore w:val="0"/>
              <w:kinsoku/>
              <w:wordWrap/>
              <w:overflowPunct/>
              <w:topLinePunct w:val="0"/>
              <w:autoSpaceDE/>
              <w:autoSpaceDN/>
              <w:bidi w:val="0"/>
              <w:adjustRightInd/>
              <w:snapToGrid/>
              <w:spacing w:line="500" w:lineRule="exact"/>
              <w:jc w:val="center"/>
              <w:textAlignment w:val="auto"/>
              <w:rPr>
                <w:rFonts w:ascii="黑体" w:hAnsi="黑体" w:eastAsia="黑体"/>
                <w:color w:val="000000" w:themeColor="text1"/>
                <w:kern w:val="0"/>
                <w:sz w:val="28"/>
                <w:szCs w:val="28"/>
              </w:rPr>
            </w:pPr>
            <w:r>
              <w:rPr>
                <w:rFonts w:hint="eastAsia" w:ascii="黑体" w:hAnsi="黑体" w:eastAsia="黑体"/>
                <w:kern w:val="0"/>
                <w:sz w:val="28"/>
                <w:szCs w:val="28"/>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5" w:type="dxa"/>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 w:hAnsi="仿宋" w:eastAsia="仿宋"/>
                <w:color w:val="000000" w:themeColor="text1"/>
                <w:kern w:val="0"/>
                <w:sz w:val="28"/>
                <w:szCs w:val="28"/>
                <w:lang w:val="en-US" w:eastAsia="zh-CN"/>
              </w:rPr>
            </w:pPr>
            <w:r>
              <w:rPr>
                <w:rFonts w:hint="eastAsia" w:ascii="仿宋" w:hAnsi="仿宋" w:eastAsia="仿宋"/>
                <w:b/>
                <w:bCs/>
                <w:kern w:val="0"/>
                <w:sz w:val="28"/>
                <w:szCs w:val="28"/>
              </w:rPr>
              <w:t>详见附件</w:t>
            </w:r>
            <w:r>
              <w:rPr>
                <w:rFonts w:hint="eastAsia" w:ascii="仿宋" w:hAnsi="仿宋" w:eastAsia="仿宋"/>
                <w:b/>
                <w:bCs/>
                <w:kern w:val="0"/>
                <w:sz w:val="28"/>
                <w:szCs w:val="28"/>
                <w:lang w:val="en-US" w:eastAsia="zh-CN"/>
              </w:rPr>
              <w:t>一</w:t>
            </w:r>
          </w:p>
        </w:tc>
      </w:tr>
    </w:tbl>
    <w:p>
      <w:pPr>
        <w:keepNext w:val="0"/>
        <w:keepLines w:val="0"/>
        <w:pageBreakBefore w:val="0"/>
        <w:kinsoku/>
        <w:wordWrap/>
        <w:overflowPunct/>
        <w:topLinePunct w:val="0"/>
        <w:autoSpaceDE/>
        <w:autoSpaceDN/>
        <w:bidi w:val="0"/>
        <w:adjustRightInd/>
        <w:snapToGrid/>
        <w:spacing w:line="500" w:lineRule="exact"/>
        <w:textAlignment w:val="auto"/>
        <w:rPr>
          <w:rFonts w:hint="default" w:ascii="仿宋" w:hAnsi="仿宋" w:eastAsia="仿宋" w:cs="宋体"/>
          <w:kern w:val="0"/>
          <w:sz w:val="28"/>
          <w:szCs w:val="28"/>
          <w:lang w:val="en-US" w:eastAsia="zh-CN"/>
        </w:rPr>
      </w:pPr>
      <w:r>
        <w:rPr>
          <w:rFonts w:hint="eastAsia" w:ascii="黑体" w:hAnsi="黑体" w:eastAsia="黑体"/>
          <w:sz w:val="28"/>
          <w:szCs w:val="28"/>
        </w:rPr>
        <w:t>五、评审专家名单：</w:t>
      </w:r>
      <w:r>
        <w:rPr>
          <w:rFonts w:hint="eastAsia" w:ascii="仿宋" w:hAnsi="仿宋" w:eastAsia="仿宋" w:cs="宋体"/>
          <w:kern w:val="0"/>
          <w:sz w:val="28"/>
          <w:szCs w:val="28"/>
          <w:lang w:val="en-US" w:eastAsia="zh-CN"/>
        </w:rPr>
        <w:t>王强飞、陈影、冷彩凤</w:t>
      </w:r>
      <w:r>
        <w:rPr>
          <w:rFonts w:hint="eastAsia" w:ascii="仿宋" w:hAnsi="仿宋" w:eastAsia="仿宋" w:cs="宋体"/>
          <w:kern w:val="0"/>
          <w:sz w:val="28"/>
          <w:szCs w:val="28"/>
          <w:lang w:eastAsia="zh-CN"/>
        </w:rPr>
        <w:t>。</w:t>
      </w:r>
    </w:p>
    <w:p>
      <w:pPr>
        <w:keepNext w:val="0"/>
        <w:keepLines w:val="0"/>
        <w:pageBreakBefore w:val="0"/>
        <w:kinsoku/>
        <w:wordWrap/>
        <w:overflowPunct/>
        <w:topLinePunct w:val="0"/>
        <w:autoSpaceDE/>
        <w:autoSpaceDN/>
        <w:bidi w:val="0"/>
        <w:adjustRightInd/>
        <w:snapToGrid/>
        <w:spacing w:line="500" w:lineRule="exact"/>
        <w:textAlignment w:val="auto"/>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keepNext w:val="0"/>
        <w:keepLines w:val="0"/>
        <w:pageBreakBefore w:val="0"/>
        <w:kinsoku/>
        <w:wordWrap/>
        <w:overflowPunct/>
        <w:topLinePunct w:val="0"/>
        <w:autoSpaceDE/>
        <w:autoSpaceDN/>
        <w:bidi w:val="0"/>
        <w:adjustRightInd/>
        <w:snapToGrid/>
        <w:spacing w:line="500" w:lineRule="exact"/>
        <w:textAlignment w:val="auto"/>
        <w:rPr>
          <w:rFonts w:ascii="黑体" w:hAnsi="黑体" w:eastAsia="黑体" w:cs="仿宋"/>
          <w:sz w:val="28"/>
          <w:szCs w:val="28"/>
        </w:rPr>
      </w:pPr>
      <w:r>
        <w:rPr>
          <w:rFonts w:hint="eastAsia" w:ascii="黑体" w:hAnsi="黑体" w:eastAsia="黑体" w:cs="仿宋"/>
          <w:sz w:val="28"/>
          <w:szCs w:val="28"/>
        </w:rPr>
        <w:t>七、其他补充事宜</w:t>
      </w:r>
    </w:p>
    <w:p>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仿宋" w:cs="宋体"/>
          <w:kern w:val="0"/>
          <w:sz w:val="28"/>
          <w:szCs w:val="28"/>
        </w:rPr>
      </w:pP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rPr>
        <w:t>、</w:t>
      </w:r>
      <w:r>
        <w:rPr>
          <w:rFonts w:hint="eastAsia" w:ascii="仿宋" w:hAnsi="仿宋" w:eastAsia="仿宋" w:cs="宋体"/>
          <w:bCs/>
          <w:color w:val="000000" w:themeColor="text1"/>
          <w:sz w:val="28"/>
          <w:szCs w:val="28"/>
        </w:rPr>
        <w:t>本项目为</w:t>
      </w:r>
      <w:r>
        <w:rPr>
          <w:rFonts w:hint="eastAsia" w:ascii="仿宋" w:hAnsi="仿宋" w:eastAsia="仿宋" w:cs="宋体"/>
          <w:bCs/>
          <w:color w:val="000000" w:themeColor="text1"/>
          <w:sz w:val="28"/>
          <w:szCs w:val="28"/>
          <w:lang w:val="en-US" w:eastAsia="zh-CN"/>
        </w:rPr>
        <w:t>非</w:t>
      </w:r>
      <w:r>
        <w:rPr>
          <w:rFonts w:hint="eastAsia" w:ascii="仿宋" w:hAnsi="仿宋" w:eastAsia="仿宋" w:cs="宋体"/>
          <w:bCs/>
          <w:color w:val="000000" w:themeColor="text1"/>
          <w:sz w:val="28"/>
          <w:szCs w:val="28"/>
        </w:rPr>
        <w:t>专门面向中小企业采购项目，</w:t>
      </w:r>
      <w:r>
        <w:rPr>
          <w:rFonts w:hint="eastAsia" w:ascii="仿宋" w:hAnsi="仿宋" w:eastAsia="仿宋" w:cs="宋体"/>
          <w:bCs/>
          <w:sz w:val="28"/>
          <w:szCs w:val="28"/>
        </w:rPr>
        <w:t>成交服务商性质</w:t>
      </w:r>
      <w:r>
        <w:rPr>
          <w:rFonts w:hint="eastAsia" w:ascii="仿宋" w:hAnsi="仿宋" w:eastAsia="仿宋" w:cs="宋体"/>
          <w:kern w:val="0"/>
          <w:sz w:val="28"/>
          <w:szCs w:val="28"/>
        </w:rPr>
        <w:t>详见附件</w:t>
      </w:r>
      <w:r>
        <w:rPr>
          <w:rFonts w:hint="eastAsia" w:ascii="仿宋" w:hAnsi="仿宋" w:eastAsia="仿宋" w:cs="宋体"/>
          <w:kern w:val="0"/>
          <w:sz w:val="28"/>
          <w:szCs w:val="28"/>
          <w:lang w:val="en-US" w:eastAsia="zh-CN"/>
        </w:rPr>
        <w:t>二</w:t>
      </w:r>
      <w:r>
        <w:rPr>
          <w:rFonts w:hint="eastAsia" w:ascii="仿宋" w:hAnsi="仿宋" w:eastAsia="仿宋" w:cs="宋体"/>
          <w:bCs/>
          <w:sz w:val="28"/>
          <w:szCs w:val="28"/>
        </w:rPr>
        <w:t>。</w:t>
      </w:r>
    </w:p>
    <w:p>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宋体"/>
          <w:kern w:val="0"/>
          <w:sz w:val="28"/>
          <w:szCs w:val="28"/>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w:t>
      </w:r>
      <w:r>
        <w:rPr>
          <w:rFonts w:hint="eastAsia" w:ascii="仿宋" w:hAnsi="仿宋" w:eastAsia="仿宋" w:cs="宋体"/>
          <w:kern w:val="0"/>
          <w:sz w:val="28"/>
          <w:szCs w:val="28"/>
          <w:lang w:eastAsia="zh-CN"/>
        </w:rPr>
        <w:t>最低价</w:t>
      </w:r>
      <w:r>
        <w:rPr>
          <w:rFonts w:hint="eastAsia" w:ascii="仿宋" w:hAnsi="仿宋" w:eastAsia="仿宋" w:cs="宋体"/>
          <w:kern w:val="0"/>
          <w:sz w:val="28"/>
          <w:szCs w:val="28"/>
        </w:rPr>
        <w:t>评分法，现依据市财函【2024】817号文件规定，成交供应商评审价格为628.65元。</w:t>
      </w:r>
    </w:p>
    <w:p>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宋体"/>
          <w:kern w:val="0"/>
          <w:sz w:val="28"/>
          <w:szCs w:val="28"/>
        </w:rPr>
      </w:pPr>
      <w:r>
        <w:rPr>
          <w:rFonts w:hint="eastAsia" w:ascii="仿宋" w:hAnsi="仿宋" w:eastAsia="仿宋" w:cs="宋体"/>
          <w:kern w:val="0"/>
          <w:sz w:val="28"/>
          <w:szCs w:val="28"/>
          <w:lang w:val="en-US" w:eastAsia="zh-CN"/>
        </w:rPr>
        <w:t>3、</w:t>
      </w:r>
      <w:r>
        <w:rPr>
          <w:rFonts w:hint="eastAsia" w:ascii="仿宋" w:hAnsi="仿宋" w:eastAsia="仿宋" w:cs="宋体"/>
          <w:kern w:val="0"/>
          <w:sz w:val="28"/>
          <w:szCs w:val="28"/>
        </w:rPr>
        <w:t>请成交供应商于本项目公告期届满之日起前往西安市公共资源交易中心八楼领取成交通知书，同时须提交密封好的纸质响应文件一正两副，内容与电子响应文件完全一致。</w:t>
      </w:r>
    </w:p>
    <w:p>
      <w:pPr>
        <w:keepNext w:val="0"/>
        <w:keepLines w:val="0"/>
        <w:pageBreakBefore w:val="0"/>
        <w:kinsoku/>
        <w:wordWrap/>
        <w:overflowPunct/>
        <w:topLinePunct w:val="0"/>
        <w:autoSpaceDE/>
        <w:autoSpaceDN/>
        <w:bidi w:val="0"/>
        <w:adjustRightInd/>
        <w:snapToGrid/>
        <w:spacing w:line="500" w:lineRule="exact"/>
        <w:textAlignment w:val="auto"/>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keepNext w:val="0"/>
        <w:keepLines w:val="0"/>
        <w:pageBreakBefore w:val="0"/>
        <w:kinsoku/>
        <w:wordWrap/>
        <w:overflowPunct/>
        <w:topLinePunct w:val="0"/>
        <w:autoSpaceDE/>
        <w:autoSpaceDN/>
        <w:bidi w:val="0"/>
        <w:adjustRightInd/>
        <w:snapToGrid/>
        <w:spacing w:line="500" w:lineRule="exact"/>
        <w:ind w:left="1130" w:leftChars="371" w:hanging="351" w:hangingChars="125"/>
        <w:jc w:val="left"/>
        <w:textAlignment w:val="auto"/>
        <w:rPr>
          <w:rFonts w:hint="eastAsia" w:ascii="仿宋" w:hAnsi="仿宋" w:eastAsia="仿宋" w:cs="宋体"/>
          <w:b/>
          <w:bCs/>
          <w:sz w:val="28"/>
          <w:szCs w:val="28"/>
        </w:rPr>
      </w:pPr>
      <w:bookmarkStart w:id="2" w:name="_Toc35393641"/>
      <w:bookmarkStart w:id="3" w:name="_Toc28359100"/>
      <w:bookmarkStart w:id="4" w:name="_Toc35393810"/>
      <w:bookmarkStart w:id="5" w:name="_Toc28359023"/>
      <w:r>
        <w:rPr>
          <w:rFonts w:hint="eastAsia" w:ascii="仿宋" w:hAnsi="仿宋" w:eastAsia="仿宋" w:cs="宋体"/>
          <w:b/>
          <w:bCs/>
          <w:sz w:val="28"/>
          <w:szCs w:val="28"/>
        </w:rPr>
        <w:t>1.采购人信息</w:t>
      </w:r>
      <w:bookmarkEnd w:id="2"/>
      <w:bookmarkEnd w:id="3"/>
      <w:bookmarkEnd w:id="4"/>
      <w:bookmarkEnd w:id="5"/>
    </w:p>
    <w:p>
      <w:pPr>
        <w:keepNext w:val="0"/>
        <w:keepLines w:val="0"/>
        <w:pageBreakBefore w:val="0"/>
        <w:widowControl w:val="0"/>
        <w:kinsoku/>
        <w:wordWrap/>
        <w:overflowPunct/>
        <w:topLinePunct w:val="0"/>
        <w:autoSpaceDE/>
        <w:autoSpaceDN/>
        <w:bidi w:val="0"/>
        <w:adjustRightInd/>
        <w:snapToGrid/>
        <w:spacing w:line="50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西安市中心医院</w:t>
      </w:r>
    </w:p>
    <w:p>
      <w:pPr>
        <w:keepNext w:val="0"/>
        <w:keepLines w:val="0"/>
        <w:pageBreakBefore w:val="0"/>
        <w:widowControl w:val="0"/>
        <w:kinsoku/>
        <w:wordWrap/>
        <w:overflowPunct/>
        <w:topLinePunct w:val="0"/>
        <w:autoSpaceDE/>
        <w:autoSpaceDN/>
        <w:bidi w:val="0"/>
        <w:adjustRightInd/>
        <w:snapToGrid/>
        <w:spacing w:line="500" w:lineRule="exact"/>
        <w:ind w:left="1129" w:leftChars="371" w:hanging="350" w:hangingChars="125"/>
        <w:jc w:val="left"/>
        <w:textAlignment w:val="auto"/>
        <w:rPr>
          <w:rFonts w:ascii="仿宋" w:hAnsi="仿宋" w:eastAsia="仿宋"/>
          <w:sz w:val="28"/>
          <w:szCs w:val="28"/>
        </w:rPr>
      </w:pPr>
      <w:r>
        <w:rPr>
          <w:rFonts w:hint="eastAsia" w:ascii="仿宋" w:hAnsi="仿宋" w:eastAsia="仿宋"/>
          <w:sz w:val="28"/>
          <w:szCs w:val="28"/>
        </w:rPr>
        <w:t>地    址：西安市新城区西五路161号</w:t>
      </w:r>
    </w:p>
    <w:p>
      <w:pPr>
        <w:keepNext w:val="0"/>
        <w:keepLines w:val="0"/>
        <w:pageBreakBefore w:val="0"/>
        <w:widowControl w:val="0"/>
        <w:kinsoku/>
        <w:wordWrap/>
        <w:overflowPunct/>
        <w:topLinePunct w:val="0"/>
        <w:autoSpaceDE/>
        <w:autoSpaceDN/>
        <w:bidi w:val="0"/>
        <w:adjustRightInd/>
        <w:snapToGrid/>
        <w:spacing w:line="500" w:lineRule="exact"/>
        <w:ind w:left="1129" w:leftChars="371" w:hanging="350" w:hangingChars="125"/>
        <w:jc w:val="left"/>
        <w:textAlignment w:val="auto"/>
        <w:rPr>
          <w:rFonts w:ascii="Calibri Light" w:hAnsi="Calibri Light" w:eastAsia="华文仿宋" w:cs="Calibri Light"/>
          <w:sz w:val="28"/>
          <w:szCs w:val="28"/>
        </w:rPr>
      </w:pPr>
      <w:r>
        <w:rPr>
          <w:rFonts w:hint="eastAsia" w:ascii="仿宋" w:hAnsi="仿宋" w:eastAsia="仿宋"/>
          <w:sz w:val="28"/>
          <w:szCs w:val="28"/>
        </w:rPr>
        <w:t>联系方式：13609151553</w:t>
      </w:r>
    </w:p>
    <w:p>
      <w:pPr>
        <w:keepNext w:val="0"/>
        <w:keepLines w:val="0"/>
        <w:pageBreakBefore w:val="0"/>
        <w:widowControl w:val="0"/>
        <w:kinsoku/>
        <w:wordWrap/>
        <w:overflowPunct/>
        <w:topLinePunct w:val="0"/>
        <w:autoSpaceDE/>
        <w:autoSpaceDN/>
        <w:bidi w:val="0"/>
        <w:adjustRightInd/>
        <w:snapToGrid/>
        <w:spacing w:line="500" w:lineRule="exact"/>
        <w:ind w:left="1130" w:leftChars="371" w:hanging="351" w:hangingChars="125"/>
        <w:jc w:val="left"/>
        <w:textAlignment w:val="auto"/>
        <w:rPr>
          <w:rFonts w:ascii="仿宋" w:hAnsi="仿宋" w:eastAsia="仿宋" w:cs="宋体"/>
          <w:sz w:val="28"/>
          <w:szCs w:val="28"/>
        </w:rPr>
      </w:pPr>
      <w:r>
        <w:rPr>
          <w:rFonts w:hint="eastAsia" w:ascii="仿宋" w:hAnsi="仿宋" w:eastAsia="仿宋" w:cs="宋体"/>
          <w:b/>
          <w:bCs/>
          <w:sz w:val="28"/>
          <w:szCs w:val="28"/>
        </w:rPr>
        <w:t>2</w:t>
      </w:r>
      <w:bookmarkStart w:id="6" w:name="_Toc28359024"/>
      <w:bookmarkStart w:id="7" w:name="_Toc28359101"/>
      <w:bookmarkStart w:id="8" w:name="_Toc35393811"/>
      <w:bookmarkStart w:id="9" w:name="_Toc35393642"/>
      <w:r>
        <w:rPr>
          <w:rFonts w:hint="eastAsia" w:ascii="仿宋" w:hAnsi="仿宋" w:eastAsia="仿宋" w:cs="宋体"/>
          <w:b/>
          <w:bCs/>
          <w:sz w:val="28"/>
          <w:szCs w:val="28"/>
          <w:lang w:val="en-US" w:eastAsia="zh-CN"/>
        </w:rPr>
        <w:t>.</w:t>
      </w:r>
      <w:bookmarkEnd w:id="6"/>
      <w:bookmarkEnd w:id="7"/>
      <w:bookmarkEnd w:id="8"/>
      <w:bookmarkEnd w:id="9"/>
      <w:r>
        <w:rPr>
          <w:rFonts w:hint="eastAsia" w:ascii="仿宋" w:hAnsi="仿宋" w:eastAsia="仿宋" w:cs="宋体"/>
          <w:b/>
          <w:bCs/>
          <w:sz w:val="28"/>
          <w:szCs w:val="28"/>
        </w:rPr>
        <w:t>项目联系人</w:t>
      </w:r>
    </w:p>
    <w:p>
      <w:pPr>
        <w:keepNext w:val="0"/>
        <w:keepLines w:val="0"/>
        <w:pageBreakBefore w:val="0"/>
        <w:widowControl w:val="0"/>
        <w:kinsoku/>
        <w:wordWrap/>
        <w:overflowPunct/>
        <w:topLinePunct w:val="0"/>
        <w:autoSpaceDE/>
        <w:autoSpaceDN/>
        <w:bidi w:val="0"/>
        <w:adjustRightInd/>
        <w:snapToGrid/>
        <w:spacing w:line="500" w:lineRule="exact"/>
        <w:ind w:firstLine="840" w:firstLineChars="300"/>
        <w:textAlignment w:val="auto"/>
        <w:rPr>
          <w:rFonts w:ascii="仿宋" w:hAnsi="仿宋" w:eastAsia="仿宋"/>
          <w:sz w:val="28"/>
          <w:szCs w:val="28"/>
        </w:rPr>
      </w:pPr>
      <w:r>
        <w:rPr>
          <w:rFonts w:hint="eastAsia" w:ascii="仿宋" w:hAnsi="仿宋" w:eastAsia="仿宋"/>
          <w:sz w:val="28"/>
          <w:szCs w:val="28"/>
        </w:rPr>
        <w:t>名    称：西安市市级单位政府采购中心</w:t>
      </w:r>
    </w:p>
    <w:p>
      <w:pPr>
        <w:keepNext w:val="0"/>
        <w:keepLines w:val="0"/>
        <w:pageBreakBefore w:val="0"/>
        <w:widowControl w:val="0"/>
        <w:kinsoku/>
        <w:wordWrap/>
        <w:overflowPunct/>
        <w:topLinePunct w:val="0"/>
        <w:autoSpaceDE/>
        <w:autoSpaceDN/>
        <w:bidi w:val="0"/>
        <w:adjustRightInd/>
        <w:snapToGrid/>
        <w:spacing w:line="500" w:lineRule="exact"/>
        <w:ind w:firstLine="840" w:firstLineChars="300"/>
        <w:textAlignment w:val="auto"/>
        <w:rPr>
          <w:rFonts w:ascii="仿宋" w:hAnsi="仿宋" w:eastAsia="仿宋"/>
          <w:sz w:val="28"/>
          <w:szCs w:val="28"/>
        </w:rPr>
      </w:pPr>
      <w:r>
        <w:rPr>
          <w:rFonts w:hint="eastAsia" w:ascii="仿宋" w:hAnsi="仿宋" w:eastAsia="仿宋"/>
          <w:sz w:val="28"/>
          <w:szCs w:val="28"/>
        </w:rPr>
        <w:t>地　  址：西安市</w:t>
      </w:r>
      <w:r>
        <w:rPr>
          <w:rFonts w:ascii="仿宋" w:hAnsi="仿宋" w:eastAsia="仿宋"/>
          <w:sz w:val="28"/>
          <w:szCs w:val="28"/>
        </w:rPr>
        <w:t>未央区文景北路</w:t>
      </w:r>
      <w:r>
        <w:rPr>
          <w:rFonts w:hint="eastAsia" w:ascii="仿宋" w:hAnsi="仿宋" w:eastAsia="仿宋"/>
          <w:sz w:val="28"/>
          <w:szCs w:val="28"/>
        </w:rPr>
        <w:t>16号白桦林</w:t>
      </w:r>
      <w:r>
        <w:rPr>
          <w:rFonts w:ascii="仿宋" w:hAnsi="仿宋" w:eastAsia="仿宋"/>
          <w:sz w:val="28"/>
          <w:szCs w:val="28"/>
        </w:rPr>
        <w:t>国际B座</w:t>
      </w:r>
    </w:p>
    <w:p>
      <w:pPr>
        <w:pStyle w:val="6"/>
        <w:keepNext w:val="0"/>
        <w:keepLines w:val="0"/>
        <w:pageBreakBefore w:val="0"/>
        <w:widowControl w:val="0"/>
        <w:kinsoku/>
        <w:wordWrap/>
        <w:overflowPunct/>
        <w:topLinePunct w:val="0"/>
        <w:autoSpaceDE/>
        <w:autoSpaceDN/>
        <w:bidi w:val="0"/>
        <w:adjustRightInd/>
        <w:snapToGrid/>
        <w:spacing w:line="500" w:lineRule="exact"/>
        <w:ind w:firstLine="840" w:firstLineChars="300"/>
        <w:textAlignment w:val="auto"/>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lang w:val="en-US" w:eastAsia="zh-CN"/>
        </w:rPr>
        <w:t>朱</w:t>
      </w:r>
      <w:r>
        <w:rPr>
          <w:rFonts w:hint="eastAsia" w:ascii="仿宋" w:hAnsi="仿宋" w:eastAsia="仿宋"/>
          <w:sz w:val="28"/>
          <w:szCs w:val="28"/>
        </w:rPr>
        <w:t>老师</w:t>
      </w:r>
    </w:p>
    <w:p>
      <w:pPr>
        <w:keepNext w:val="0"/>
        <w:keepLines w:val="0"/>
        <w:pageBreakBefore w:val="0"/>
        <w:widowControl w:val="0"/>
        <w:kinsoku/>
        <w:wordWrap/>
        <w:overflowPunct/>
        <w:topLinePunct w:val="0"/>
        <w:autoSpaceDE/>
        <w:autoSpaceDN/>
        <w:bidi w:val="0"/>
        <w:adjustRightInd/>
        <w:snapToGrid/>
        <w:spacing w:line="500" w:lineRule="exact"/>
        <w:ind w:firstLine="840" w:firstLineChars="300"/>
        <w:textAlignment w:val="auto"/>
        <w:rPr>
          <w:rFonts w:hint="default" w:ascii="黑体" w:hAnsi="黑体" w:eastAsia="仿宋" w:cs="宋体"/>
          <w:kern w:val="0"/>
          <w:sz w:val="28"/>
          <w:szCs w:val="28"/>
          <w:lang w:val="en-US" w:eastAsia="zh-CN"/>
        </w:rPr>
      </w:pPr>
      <w:r>
        <w:rPr>
          <w:rFonts w:hint="eastAsia" w:ascii="仿宋" w:hAnsi="仿宋" w:eastAsia="仿宋"/>
          <w:sz w:val="28"/>
          <w:szCs w:val="28"/>
        </w:rPr>
        <w:t>电　  话：029</w:t>
      </w:r>
      <w:r>
        <w:rPr>
          <w:rFonts w:ascii="仿宋" w:hAnsi="仿宋" w:eastAsia="仿宋"/>
          <w:sz w:val="28"/>
          <w:szCs w:val="28"/>
        </w:rPr>
        <w:t>-86510029  86510365</w:t>
      </w:r>
      <w:r>
        <w:rPr>
          <w:rFonts w:hint="eastAsia" w:ascii="仿宋" w:hAnsi="仿宋" w:eastAsia="仿宋"/>
          <w:sz w:val="28"/>
          <w:szCs w:val="28"/>
        </w:rPr>
        <w:t>转</w:t>
      </w:r>
      <w:r>
        <w:rPr>
          <w:rFonts w:ascii="仿宋" w:hAnsi="仿宋" w:eastAsia="仿宋"/>
          <w:sz w:val="28"/>
          <w:szCs w:val="28"/>
        </w:rPr>
        <w:t>分机</w:t>
      </w:r>
      <w:r>
        <w:rPr>
          <w:rFonts w:hint="eastAsia" w:ascii="仿宋" w:hAnsi="仿宋" w:eastAsia="仿宋"/>
          <w:sz w:val="28"/>
          <w:szCs w:val="28"/>
        </w:rPr>
        <w:t>808</w:t>
      </w:r>
      <w:r>
        <w:rPr>
          <w:rFonts w:hint="eastAsia" w:ascii="仿宋" w:hAnsi="仿宋" w:eastAsia="仿宋"/>
          <w:sz w:val="28"/>
          <w:szCs w:val="28"/>
          <w:lang w:val="en-US" w:eastAsia="zh-CN"/>
        </w:rPr>
        <w:t>05</w:t>
      </w: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textAlignment w:val="auto"/>
        <w:rPr>
          <w:rFonts w:hint="eastAsia"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附件</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附件一</w:t>
      </w:r>
    </w:p>
    <w:p>
      <w:pPr>
        <w:pStyle w:val="2"/>
        <w:rPr>
          <w:rFonts w:hint="eastAsia"/>
          <w:lang w:val="en-US" w:eastAsia="zh-CN"/>
        </w:rPr>
      </w:pPr>
    </w:p>
    <w:tbl>
      <w:tblPr>
        <w:tblStyle w:val="10"/>
        <w:tblW w:w="569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97"/>
        <w:gridCol w:w="935"/>
        <w:gridCol w:w="471"/>
        <w:gridCol w:w="892"/>
        <w:gridCol w:w="3825"/>
        <w:gridCol w:w="1213"/>
        <w:gridCol w:w="500"/>
        <w:gridCol w:w="737"/>
        <w:gridCol w:w="7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single" w:color="000000" w:sz="8" w:space="0"/>
              <w:left w:val="single" w:color="000000" w:sz="8" w:space="0"/>
              <w:bottom w:val="single" w:color="000000" w:sz="8" w:space="0"/>
              <w:right w:val="single" w:color="000000" w:sz="8" w:space="0"/>
            </w:tcBorders>
            <w:shd w:val="clear" w:color="auto" w:fill="F0F0F0"/>
            <w:vAlign w:val="center"/>
          </w:tcPr>
          <w:p>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481" w:type="pct"/>
            <w:tcBorders>
              <w:top w:val="single" w:color="000000" w:sz="8" w:space="0"/>
              <w:left w:val="nil"/>
              <w:bottom w:val="single" w:color="000000" w:sz="8" w:space="0"/>
              <w:right w:val="single" w:color="000000" w:sz="8" w:space="0"/>
            </w:tcBorders>
            <w:shd w:val="clear" w:color="auto" w:fill="F0F0F0"/>
            <w:vAlign w:val="center"/>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标的名称（产品名称）</w:t>
            </w:r>
          </w:p>
        </w:tc>
        <w:tc>
          <w:tcPr>
            <w:tcW w:w="242" w:type="pct"/>
            <w:tcBorders>
              <w:top w:val="single" w:color="000000" w:sz="8" w:space="0"/>
              <w:left w:val="nil"/>
              <w:bottom w:val="single" w:color="000000" w:sz="8" w:space="0"/>
              <w:right w:val="single" w:color="000000" w:sz="8" w:space="0"/>
            </w:tcBorders>
            <w:shd w:val="clear" w:color="auto" w:fill="F0F0F0"/>
            <w:vAlign w:val="center"/>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品牌</w:t>
            </w:r>
          </w:p>
        </w:tc>
        <w:tc>
          <w:tcPr>
            <w:tcW w:w="459" w:type="pct"/>
            <w:tcBorders>
              <w:top w:val="single" w:color="000000" w:sz="8" w:space="0"/>
              <w:left w:val="nil"/>
              <w:bottom w:val="single" w:color="000000" w:sz="8" w:space="0"/>
              <w:right w:val="single" w:color="000000" w:sz="8" w:space="0"/>
            </w:tcBorders>
            <w:shd w:val="clear" w:color="auto" w:fill="F0F0F0"/>
            <w:vAlign w:val="center"/>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型号</w:t>
            </w:r>
          </w:p>
        </w:tc>
        <w:tc>
          <w:tcPr>
            <w:tcW w:w="1971" w:type="pct"/>
            <w:tcBorders>
              <w:top w:val="single" w:color="000000" w:sz="8" w:space="0"/>
              <w:left w:val="nil"/>
              <w:bottom w:val="single" w:color="000000" w:sz="8" w:space="0"/>
              <w:right w:val="single" w:color="000000" w:sz="8" w:space="0"/>
            </w:tcBorders>
            <w:shd w:val="clear" w:color="auto" w:fill="F0F0F0"/>
            <w:vAlign w:val="center"/>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w:t>
            </w:r>
          </w:p>
        </w:tc>
        <w:tc>
          <w:tcPr>
            <w:tcW w:w="625" w:type="pct"/>
            <w:tcBorders>
              <w:top w:val="single" w:color="000000" w:sz="8" w:space="0"/>
              <w:left w:val="nil"/>
              <w:bottom w:val="single" w:color="000000" w:sz="8" w:space="0"/>
              <w:right w:val="single" w:color="000000" w:sz="8" w:space="0"/>
            </w:tcBorders>
            <w:shd w:val="clear" w:color="auto" w:fill="F0F0F0"/>
            <w:vAlign w:val="center"/>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制造商</w:t>
            </w:r>
          </w:p>
        </w:tc>
        <w:tc>
          <w:tcPr>
            <w:tcW w:w="257" w:type="pct"/>
            <w:tcBorders>
              <w:top w:val="single" w:color="000000" w:sz="8" w:space="0"/>
              <w:left w:val="nil"/>
              <w:bottom w:val="single" w:color="000000" w:sz="8" w:space="0"/>
              <w:right w:val="single" w:color="000000" w:sz="8" w:space="0"/>
            </w:tcBorders>
            <w:shd w:val="clear" w:color="auto" w:fill="F0F0F0"/>
            <w:vAlign w:val="center"/>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379" w:type="pct"/>
            <w:tcBorders>
              <w:top w:val="single" w:color="000000" w:sz="8" w:space="0"/>
              <w:left w:val="nil"/>
              <w:bottom w:val="single" w:color="000000" w:sz="8" w:space="0"/>
              <w:right w:val="single" w:color="000000" w:sz="8" w:space="0"/>
            </w:tcBorders>
            <w:shd w:val="clear" w:color="auto" w:fill="F0F0F0"/>
            <w:vAlign w:val="center"/>
          </w:tcPr>
          <w:p>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单价限价</w:t>
            </w:r>
          </w:p>
        </w:tc>
        <w:tc>
          <w:tcPr>
            <w:tcW w:w="377" w:type="pct"/>
            <w:tcBorders>
              <w:top w:val="single" w:color="000000" w:sz="8" w:space="0"/>
              <w:left w:val="nil"/>
              <w:bottom w:val="single" w:color="000000" w:sz="8" w:space="0"/>
              <w:right w:val="single" w:color="000000" w:sz="8" w:space="0"/>
            </w:tcBorders>
            <w:shd w:val="clear" w:color="auto" w:fill="F0F0F0"/>
            <w:vAlign w:val="center"/>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241-1</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241-1</w:t>
            </w:r>
          </w:p>
        </w:tc>
        <w:tc>
          <w:tcPr>
            <w:tcW w:w="197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足 70 克高白双胶，足 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47.00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241-1 1/2</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241-1 1/2</w:t>
            </w:r>
          </w:p>
        </w:tc>
        <w:tc>
          <w:tcPr>
            <w:tcW w:w="197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足 70 克高白双胶，足 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47.00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120-1</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120-1</w:t>
            </w:r>
          </w:p>
        </w:tc>
        <w:tc>
          <w:tcPr>
            <w:tcW w:w="197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足 70 克高白双胶，足 2000 页/盒，双排装。</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打印纸210-1</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打印纸210-1</w:t>
            </w:r>
          </w:p>
        </w:tc>
        <w:tc>
          <w:tcPr>
            <w:tcW w:w="1971" w:type="pct"/>
            <w:tcBorders>
              <w:top w:val="nil"/>
              <w:left w:val="nil"/>
              <w:bottom w:val="nil"/>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足70克高白双胶，足1000页/盒，210mm*12吋</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75.00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241-3 彩 1/3</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241-3 彩 1/3</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无碳复写纸，上纸&gt;50 克，中纸&gt;49 克，下纸&gt;47 克 显色灵敏度&gt;83%，不透明度&gt;82%，足1000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241-4 彩 1/2</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241-4 彩 1/2</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无碳复写纸，上纸&gt;50 克，中纸&gt;49 克，下纸&gt;47 克 显色灵敏度&gt;83%，不透明度&gt;82%，足1000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381-2</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381-2</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无碳复写纸，上纸&gt;50 克，中纸&gt;49 克，下纸&gt;47 克 显色灵敏度&gt;83%，不透明度&gt;82%，足1000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381-4</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381-4</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无碳复写纸，上纸&gt;50 克，中纸&gt;49 克，下纸&gt;47 克 显色灵敏度&gt;83%，不透明度&gt;82%，足1000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75.00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241-3 彩 1/2</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241-3 彩 1/2</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无碳复写纸，上纸&gt;50 克，中纸&gt;49 克，下纸&gt;47 克 显色灵敏度&gt;83%，不透明度&gt;82%，足1000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241-2 彩</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241-2 彩</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无碳复写纸，上纸&gt;50 克，中纸&gt;49 克，下纸&gt;47 克 显色灵敏度&gt;83%，不透明度&gt;82%，足1000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55.00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医药库打印纸 241-2 彩</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医药库打印纸 241-2 彩</w:t>
            </w:r>
          </w:p>
        </w:tc>
        <w:tc>
          <w:tcPr>
            <w:tcW w:w="197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无碳复写纸，技术要求同上，241mm*12吋，足1000页/盒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120-2 1/4</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120-2 1/4</w:t>
            </w:r>
          </w:p>
        </w:tc>
        <w:tc>
          <w:tcPr>
            <w:tcW w:w="197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无碳复写纸，技术要求同上，12 吋，足2000 页/盒，双排装</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210-3 1/2</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210-3 1/2</w:t>
            </w:r>
          </w:p>
        </w:tc>
        <w:tc>
          <w:tcPr>
            <w:tcW w:w="197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无碳复写纸，技术要求同上，210mm*12 吋，足1000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210-4</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千雪</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打印纸 210-4</w:t>
            </w:r>
          </w:p>
        </w:tc>
        <w:tc>
          <w:tcPr>
            <w:tcW w:w="1971"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无碳复写纸，技术要求同上，210mm*12 吋，足1000 页/盒.</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山东华宝纸业有限公司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复印纸 A3</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欣兴彩</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复印纸 A3</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克重&gt;70.5 克，厚度&gt;93UM,平滑度&gt;20S,纵向挺 度&gt;80Mn,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不透明度&gt;90%；裁切整齐、色泽一致。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A4：500 张/包；A3：500 张/包；A5：500 张/包。</w:t>
            </w:r>
          </w:p>
        </w:tc>
        <w:tc>
          <w:tcPr>
            <w:tcW w:w="6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浙江欣彩科技信息有限公司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b/>
                <w:bCs/>
                <w:i w:val="0"/>
                <w:iCs w:val="0"/>
                <w:color w:val="000000"/>
                <w:sz w:val="18"/>
                <w:szCs w:val="18"/>
                <w:u w:val="single"/>
              </w:rPr>
            </w:pPr>
            <w:r>
              <w:rPr>
                <w:rFonts w:hint="eastAsia" w:ascii="宋体" w:hAnsi="宋体" w:eastAsia="宋体" w:cs="宋体"/>
                <w:b/>
                <w:bCs/>
                <w:i w:val="0"/>
                <w:iCs w:val="0"/>
                <w:color w:val="000000"/>
                <w:kern w:val="0"/>
                <w:sz w:val="18"/>
                <w:szCs w:val="18"/>
                <w:u w:val="single"/>
                <w:lang w:val="en-US" w:eastAsia="zh-CN" w:bidi="ar"/>
              </w:rPr>
              <w:t>复印纸 A4（核心产品）</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柒星聚</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b/>
                <w:bCs/>
                <w:i w:val="0"/>
                <w:iCs w:val="0"/>
                <w:color w:val="000000"/>
                <w:sz w:val="18"/>
                <w:szCs w:val="18"/>
                <w:u w:val="single"/>
              </w:rPr>
            </w:pPr>
            <w:r>
              <w:rPr>
                <w:rFonts w:hint="eastAsia" w:ascii="宋体" w:hAnsi="宋体" w:eastAsia="宋体" w:cs="宋体"/>
                <w:b/>
                <w:bCs/>
                <w:i w:val="0"/>
                <w:iCs w:val="0"/>
                <w:color w:val="000000"/>
                <w:kern w:val="0"/>
                <w:sz w:val="18"/>
                <w:szCs w:val="18"/>
                <w:u w:val="single"/>
                <w:lang w:val="en-US" w:eastAsia="zh-CN" w:bidi="ar"/>
              </w:rPr>
              <w:t>复印纸 A4（核心产品）</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克重&gt;70.5 克，厚度&gt;93UM,平滑度&gt;20S,纵向挺 度&gt;80Mn,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不透明度&gt;90%；裁切整齐、色泽一致。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A4：500 张/包；A3：500 张/包；A5：500 张/包。</w:t>
            </w:r>
          </w:p>
        </w:tc>
        <w:tc>
          <w:tcPr>
            <w:tcW w:w="6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浙江欣彩科技信息有限公司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复印纸 A5 白</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欣兴彩</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复印纸 A5 白</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克重&gt;70.5 克，厚度&gt;93UM,平滑度&gt;20S,纵向挺 度&gt;80Mn,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不透明度&gt;90%；裁切整齐、色泽一致。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A4：500 张/包；A3：500 张/包；A5：500 张/包。</w:t>
            </w:r>
          </w:p>
        </w:tc>
        <w:tc>
          <w:tcPr>
            <w:tcW w:w="6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浙江欣彩科技信息有限公司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复印纸 A5 绿处方纸</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旗舰</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复印纸 A5 绿处方纸</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足 80 克，纯木浆，独立包装，500 张/包。</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金鑫（清远）纸业有限公司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复印纸 A5 黄处方纸</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旗舰</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复印纸 A5 黄处方纸</w:t>
            </w:r>
          </w:p>
        </w:tc>
        <w:tc>
          <w:tcPr>
            <w:tcW w:w="19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足 80 克，纯木浆，独立包装，500 张/包。</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金鑫（清远）纸业有限公司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彩色复印纸A4</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旗舰</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彩色复印纸A4</w:t>
            </w:r>
          </w:p>
        </w:tc>
        <w:tc>
          <w:tcPr>
            <w:tcW w:w="197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足80克，纯木浆，独立包装，500张/包</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金鑫（清远）纸业有限公司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照片纸</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金兰</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照片纸</w:t>
            </w:r>
          </w:p>
        </w:tc>
        <w:tc>
          <w:tcPr>
            <w:tcW w:w="197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A4 照片级；120 克；4800DPI,高保真；20 张/包。</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上海辰印数码科技有限公司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彩喷铜版纸 A3</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金兰</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彩喷铜版纸 A3</w:t>
            </w:r>
          </w:p>
        </w:tc>
        <w:tc>
          <w:tcPr>
            <w:tcW w:w="197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足 230 克，A3+照片级；500 张/包。</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上海辰印数码科技有限公司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8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成人手腕带</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睿兮</w:t>
            </w:r>
          </w:p>
        </w:tc>
        <w:tc>
          <w:tcPr>
            <w:tcW w:w="45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成人手腕带</w:t>
            </w:r>
          </w:p>
        </w:tc>
        <w:tc>
          <w:tcPr>
            <w:tcW w:w="1971"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产品尺寸：265±2×25.5±1mm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腕带净尺寸：256±2×23.5±1mm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腕带打印区域：84±2×23±1mm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腕带厚度：≥0.27mm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包装方式：100 条/卷；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产品材质：热敏纸复合材质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产品颜色：天蓝、粉红色等可自定义任意颜色（打印区域白色）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佩戴方法：单扣/双扣佩戴，一次性使用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打印方式：热敏打印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保质期：5 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适用打印机：所有腕带打印机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扫描有效期：≥30 天</w:t>
            </w:r>
          </w:p>
        </w:tc>
        <w:tc>
          <w:tcPr>
            <w:tcW w:w="6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苏州睿兮医疗信息技术有限公司</w:t>
            </w:r>
          </w:p>
        </w:tc>
        <w:tc>
          <w:tcPr>
            <w:tcW w:w="257" w:type="pct"/>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卷</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0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81" w:type="pct"/>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儿童手腕带</w:t>
            </w:r>
          </w:p>
        </w:tc>
        <w:tc>
          <w:tcPr>
            <w:tcW w:w="24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睿兮</w:t>
            </w:r>
          </w:p>
        </w:tc>
        <w:tc>
          <w:tcPr>
            <w:tcW w:w="459" w:type="pct"/>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儿童手腕带</w:t>
            </w:r>
          </w:p>
        </w:tc>
        <w:tc>
          <w:tcPr>
            <w:tcW w:w="1971"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产品尺寸：160±2×28±2mm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腕带净尺寸：145±2×15±1mm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腕带打印区域：54±2×15±1mm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腕带厚度：≥0.27mm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包装方式：100 条/卷；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产品材质：热敏纸复合材质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产品颜色：天蓝、粉红色等可自定义任意颜色（打 印区域白色）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佩戴方法：单扣佩戴，一次性使用 打印方式：热敏打印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保质期：5 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适用打印机：所有腕带打印机 扫描有效期：≥30 天</w:t>
            </w:r>
          </w:p>
        </w:tc>
        <w:tc>
          <w:tcPr>
            <w:tcW w:w="6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苏州睿兮医疗信息技术有限公司</w:t>
            </w:r>
          </w:p>
        </w:tc>
        <w:tc>
          <w:tcPr>
            <w:tcW w:w="257" w:type="pct"/>
            <w:tcBorders>
              <w:top w:val="nil"/>
              <w:left w:val="nil"/>
              <w:bottom w:val="single" w:color="000000" w:sz="12" w:space="0"/>
              <w:right w:val="single" w:color="000000" w:sz="12" w:space="0"/>
            </w:tcBorders>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卷</w:t>
            </w:r>
          </w:p>
        </w:tc>
        <w:tc>
          <w:tcPr>
            <w:tcW w:w="37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80.00 </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4622" w:type="pct"/>
            <w:gridSpan w:val="8"/>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p>
        </w:tc>
        <w:tc>
          <w:tcPr>
            <w:tcW w:w="377"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698.50 </w:t>
            </w:r>
          </w:p>
        </w:tc>
      </w:tr>
    </w:tbl>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 w:hAnsi="仿宋" w:eastAsia="仿宋"/>
          <w:sz w:val="28"/>
          <w:szCs w:val="28"/>
          <w:lang w:val="en-US" w:eastAsia="zh-CN"/>
        </w:rPr>
      </w:pPr>
      <w:r>
        <w:drawing>
          <wp:anchor distT="0" distB="0" distL="114300" distR="114300" simplePos="0" relativeHeight="251659264" behindDoc="0" locked="0" layoutInCell="1" allowOverlap="1">
            <wp:simplePos x="0" y="0"/>
            <wp:positionH relativeFrom="column">
              <wp:posOffset>440055</wp:posOffset>
            </wp:positionH>
            <wp:positionV relativeFrom="page">
              <wp:posOffset>5457825</wp:posOffset>
            </wp:positionV>
            <wp:extent cx="3106420" cy="4549775"/>
            <wp:effectExtent l="0" t="0" r="17780" b="3175"/>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3106420" cy="4549775"/>
                    </a:xfrm>
                    <a:prstGeom prst="rect">
                      <a:avLst/>
                    </a:prstGeom>
                    <a:noFill/>
                    <a:ln>
                      <a:noFill/>
                    </a:ln>
                  </pic:spPr>
                </pic:pic>
              </a:graphicData>
            </a:graphic>
          </wp:anchor>
        </w:drawing>
      </w:r>
      <w:r>
        <w:drawing>
          <wp:anchor distT="0" distB="0" distL="114300" distR="114300" simplePos="0" relativeHeight="251660288" behindDoc="0" locked="0" layoutInCell="1" allowOverlap="1">
            <wp:simplePos x="0" y="0"/>
            <wp:positionH relativeFrom="column">
              <wp:posOffset>354330</wp:posOffset>
            </wp:positionH>
            <wp:positionV relativeFrom="paragraph">
              <wp:posOffset>349885</wp:posOffset>
            </wp:positionV>
            <wp:extent cx="3314700" cy="4187825"/>
            <wp:effectExtent l="0" t="0" r="0" b="317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3314700" cy="4187825"/>
                    </a:xfrm>
                    <a:prstGeom prst="rect">
                      <a:avLst/>
                    </a:prstGeom>
                    <a:noFill/>
                    <a:ln>
                      <a:noFill/>
                    </a:ln>
                  </pic:spPr>
                </pic:pic>
              </a:graphicData>
            </a:graphic>
          </wp:anchor>
        </w:drawing>
      </w:r>
      <w:r>
        <w:rPr>
          <w:rFonts w:hint="eastAsia" w:ascii="仿宋" w:hAnsi="仿宋" w:eastAsia="仿宋"/>
          <w:sz w:val="28"/>
          <w:szCs w:val="28"/>
          <w:lang w:val="en-US" w:eastAsia="zh-CN"/>
        </w:rPr>
        <w:t>附件二</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 w:hAnsi="仿宋" w:eastAsia="仿宋"/>
          <w:sz w:val="28"/>
          <w:szCs w:val="28"/>
          <w:lang w:val="en-US" w:eastAsia="zh-CN"/>
        </w:rPr>
      </w:pPr>
      <w:r>
        <w:drawing>
          <wp:anchor distT="0" distB="0" distL="114300" distR="114300" simplePos="0" relativeHeight="251661312" behindDoc="0" locked="0" layoutInCell="1" allowOverlap="1">
            <wp:simplePos x="0" y="0"/>
            <wp:positionH relativeFrom="column">
              <wp:posOffset>243205</wp:posOffset>
            </wp:positionH>
            <wp:positionV relativeFrom="page">
              <wp:posOffset>864870</wp:posOffset>
            </wp:positionV>
            <wp:extent cx="3194050" cy="4540885"/>
            <wp:effectExtent l="0" t="0" r="6350" b="1206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3194050" cy="454088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 w:hAnsi="仿宋" w:eastAsia="仿宋"/>
          <w:sz w:val="28"/>
          <w:szCs w:val="28"/>
          <w:lang w:val="en-US" w:eastAsia="zh-CN"/>
        </w:rPr>
      </w:pPr>
    </w:p>
    <w:p>
      <w:pPr>
        <w:keepNext w:val="0"/>
        <w:keepLines w:val="0"/>
        <w:pageBreakBefore w:val="0"/>
        <w:kinsoku/>
        <w:wordWrap/>
        <w:overflowPunct/>
        <w:topLinePunct w:val="0"/>
        <w:autoSpaceDE/>
        <w:autoSpaceDN/>
        <w:bidi w:val="0"/>
        <w:adjustRightInd/>
        <w:snapToGrid/>
        <w:spacing w:line="500" w:lineRule="exact"/>
        <w:ind w:firstLine="3920" w:firstLineChars="1400"/>
        <w:jc w:val="right"/>
        <w:textAlignment w:val="auto"/>
        <w:rPr>
          <w:rFonts w:ascii="仿宋" w:hAnsi="仿宋" w:eastAsia="仿宋" w:cs="宋体"/>
          <w:bCs/>
          <w:sz w:val="28"/>
          <w:szCs w:val="28"/>
        </w:rPr>
      </w:pPr>
      <w:r>
        <w:rPr>
          <w:rFonts w:ascii="仿宋" w:hAnsi="仿宋" w:eastAsia="仿宋" w:cs="宋体"/>
          <w:bCs/>
          <w:sz w:val="28"/>
          <w:szCs w:val="28"/>
        </w:rPr>
        <w:t>西安市市级单位政府采购中心</w:t>
      </w:r>
    </w:p>
    <w:p>
      <w:pPr>
        <w:keepNext w:val="0"/>
        <w:keepLines w:val="0"/>
        <w:pageBreakBefore w:val="0"/>
        <w:kinsoku/>
        <w:wordWrap/>
        <w:overflowPunct/>
        <w:topLinePunct w:val="0"/>
        <w:autoSpaceDE/>
        <w:autoSpaceDN/>
        <w:bidi w:val="0"/>
        <w:adjustRightInd/>
        <w:snapToGrid/>
        <w:spacing w:line="500" w:lineRule="exact"/>
        <w:ind w:right="560" w:firstLine="4760" w:firstLineChars="1700"/>
        <w:jc w:val="center"/>
        <w:textAlignment w:val="auto"/>
        <w:rPr>
          <w:rFonts w:ascii="仿宋" w:hAnsi="仿宋" w:eastAsia="仿宋" w:cs="宋体"/>
          <w:bCs/>
          <w:sz w:val="28"/>
          <w:szCs w:val="28"/>
        </w:rPr>
      </w:pPr>
      <w:r>
        <w:rPr>
          <w:rFonts w:ascii="仿宋" w:hAnsi="仿宋" w:eastAsia="仿宋" w:cs="宋体"/>
          <w:bCs/>
          <w:sz w:val="28"/>
          <w:szCs w:val="28"/>
        </w:rPr>
        <w:t xml:space="preserve">     20</w:t>
      </w:r>
      <w:r>
        <w:rPr>
          <w:rFonts w:hint="eastAsia" w:ascii="仿宋" w:hAnsi="仿宋" w:eastAsia="仿宋" w:cs="宋体"/>
          <w:bCs/>
          <w:sz w:val="28"/>
          <w:szCs w:val="28"/>
        </w:rPr>
        <w:t>2</w:t>
      </w:r>
      <w:r>
        <w:rPr>
          <w:rFonts w:hint="eastAsia" w:ascii="仿宋" w:hAnsi="仿宋" w:eastAsia="仿宋" w:cs="宋体"/>
          <w:bCs/>
          <w:sz w:val="28"/>
          <w:szCs w:val="28"/>
          <w:lang w:val="en-US" w:eastAsia="zh-CN"/>
        </w:rPr>
        <w:t>6</w:t>
      </w:r>
      <w:r>
        <w:rPr>
          <w:rFonts w:ascii="仿宋" w:hAnsi="仿宋" w:eastAsia="仿宋" w:cs="宋体"/>
          <w:bCs/>
          <w:sz w:val="28"/>
          <w:szCs w:val="28"/>
        </w:rPr>
        <w:t>年</w:t>
      </w:r>
      <w:r>
        <w:rPr>
          <w:rFonts w:hint="eastAsia" w:ascii="仿宋" w:hAnsi="仿宋" w:eastAsia="仿宋" w:cs="宋体"/>
          <w:bCs/>
          <w:sz w:val="28"/>
          <w:szCs w:val="28"/>
          <w:lang w:val="en-US" w:eastAsia="zh-CN"/>
        </w:rPr>
        <w:t>5</w:t>
      </w:r>
      <w:r>
        <w:rPr>
          <w:rFonts w:ascii="仿宋" w:hAnsi="仿宋" w:eastAsia="仿宋" w:cs="宋体"/>
          <w:bCs/>
          <w:sz w:val="28"/>
          <w:szCs w:val="28"/>
        </w:rPr>
        <w:t>月</w:t>
      </w:r>
      <w:r>
        <w:rPr>
          <w:rFonts w:hint="eastAsia" w:ascii="仿宋" w:hAnsi="仿宋" w:eastAsia="仿宋" w:cs="宋体"/>
          <w:bCs/>
          <w:sz w:val="28"/>
          <w:szCs w:val="28"/>
          <w:lang w:val="en-US" w:eastAsia="zh-CN"/>
        </w:rPr>
        <w:t>28</w:t>
      </w:r>
      <w:r>
        <w:rPr>
          <w:rFonts w:ascii="仿宋" w:hAnsi="仿宋" w:eastAsia="仿宋" w:cs="宋体"/>
          <w:bCs/>
          <w:sz w:val="28"/>
          <w:szCs w:val="28"/>
        </w:rPr>
        <w:t>日</w:t>
      </w:r>
    </w:p>
    <w:p>
      <w:pPr>
        <w:keepNext w:val="0"/>
        <w:keepLines w:val="0"/>
        <w:pageBreakBefore w:val="0"/>
        <w:kinsoku/>
        <w:wordWrap/>
        <w:overflowPunct/>
        <w:topLinePunct w:val="0"/>
        <w:autoSpaceDE/>
        <w:autoSpaceDN/>
        <w:bidi w:val="0"/>
        <w:adjustRightInd/>
        <w:snapToGrid/>
        <w:spacing w:line="500" w:lineRule="exact"/>
        <w:ind w:right="560" w:firstLine="4760" w:firstLineChars="1700"/>
        <w:jc w:val="center"/>
        <w:textAlignment w:val="auto"/>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E39865"/>
    <w:multiLevelType w:val="singleLevel"/>
    <w:tmpl w:val="77E39865"/>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51AD40E1"/>
    <w:rsid w:val="0002278E"/>
    <w:rsid w:val="000B623F"/>
    <w:rsid w:val="00126CB5"/>
    <w:rsid w:val="00155F16"/>
    <w:rsid w:val="001651CB"/>
    <w:rsid w:val="001703BB"/>
    <w:rsid w:val="001934ED"/>
    <w:rsid w:val="00226C66"/>
    <w:rsid w:val="002845ED"/>
    <w:rsid w:val="002B2993"/>
    <w:rsid w:val="002C42AD"/>
    <w:rsid w:val="002E44D4"/>
    <w:rsid w:val="002E6CBF"/>
    <w:rsid w:val="00315B30"/>
    <w:rsid w:val="00320011"/>
    <w:rsid w:val="00345C19"/>
    <w:rsid w:val="0034769F"/>
    <w:rsid w:val="00361D61"/>
    <w:rsid w:val="00401950"/>
    <w:rsid w:val="00417D8B"/>
    <w:rsid w:val="00437E09"/>
    <w:rsid w:val="00456682"/>
    <w:rsid w:val="004A57EC"/>
    <w:rsid w:val="004E342D"/>
    <w:rsid w:val="00542404"/>
    <w:rsid w:val="0056631F"/>
    <w:rsid w:val="0059678E"/>
    <w:rsid w:val="005972C7"/>
    <w:rsid w:val="005D5FBA"/>
    <w:rsid w:val="006C552E"/>
    <w:rsid w:val="006D550B"/>
    <w:rsid w:val="007175C9"/>
    <w:rsid w:val="0073527D"/>
    <w:rsid w:val="00756A59"/>
    <w:rsid w:val="007C2C56"/>
    <w:rsid w:val="008670F2"/>
    <w:rsid w:val="00944072"/>
    <w:rsid w:val="00951614"/>
    <w:rsid w:val="00956E74"/>
    <w:rsid w:val="009F4FD5"/>
    <w:rsid w:val="00A20271"/>
    <w:rsid w:val="00A27C31"/>
    <w:rsid w:val="00A52D31"/>
    <w:rsid w:val="00AA6AA6"/>
    <w:rsid w:val="00AB1E1F"/>
    <w:rsid w:val="00AF27D6"/>
    <w:rsid w:val="00B10DE4"/>
    <w:rsid w:val="00B604EF"/>
    <w:rsid w:val="00B61B62"/>
    <w:rsid w:val="00B95BD1"/>
    <w:rsid w:val="00C00746"/>
    <w:rsid w:val="00C0236D"/>
    <w:rsid w:val="00C47260"/>
    <w:rsid w:val="00C50EE7"/>
    <w:rsid w:val="00C6331E"/>
    <w:rsid w:val="00C74260"/>
    <w:rsid w:val="00CA203C"/>
    <w:rsid w:val="00CD52E2"/>
    <w:rsid w:val="00CF0BAC"/>
    <w:rsid w:val="00D76E95"/>
    <w:rsid w:val="00DA3968"/>
    <w:rsid w:val="00E06575"/>
    <w:rsid w:val="00EC2952"/>
    <w:rsid w:val="00EE7BD8"/>
    <w:rsid w:val="00F010A8"/>
    <w:rsid w:val="00F05261"/>
    <w:rsid w:val="00F22DAF"/>
    <w:rsid w:val="00F4333F"/>
    <w:rsid w:val="00F62C2B"/>
    <w:rsid w:val="00F823FE"/>
    <w:rsid w:val="00FA1A0D"/>
    <w:rsid w:val="00FC1266"/>
    <w:rsid w:val="00FF5AC7"/>
    <w:rsid w:val="08E304C3"/>
    <w:rsid w:val="09A20F5E"/>
    <w:rsid w:val="0F8C7A81"/>
    <w:rsid w:val="0F9A43C1"/>
    <w:rsid w:val="176945C9"/>
    <w:rsid w:val="17AE794C"/>
    <w:rsid w:val="21E87FC7"/>
    <w:rsid w:val="22A249FA"/>
    <w:rsid w:val="22D458AF"/>
    <w:rsid w:val="2DD005FB"/>
    <w:rsid w:val="2EEA68FA"/>
    <w:rsid w:val="2FF661D2"/>
    <w:rsid w:val="33141CB1"/>
    <w:rsid w:val="38084878"/>
    <w:rsid w:val="38E42D3F"/>
    <w:rsid w:val="38F31687"/>
    <w:rsid w:val="3900043F"/>
    <w:rsid w:val="3AC86C36"/>
    <w:rsid w:val="3CE54ED4"/>
    <w:rsid w:val="40892604"/>
    <w:rsid w:val="41A84679"/>
    <w:rsid w:val="488A6FDE"/>
    <w:rsid w:val="4B5A7B64"/>
    <w:rsid w:val="51AD40E1"/>
    <w:rsid w:val="53764710"/>
    <w:rsid w:val="56A3559F"/>
    <w:rsid w:val="5E265569"/>
    <w:rsid w:val="6A5E7DF6"/>
    <w:rsid w:val="70C73D36"/>
    <w:rsid w:val="749371BA"/>
    <w:rsid w:val="74BF4BE6"/>
    <w:rsid w:val="7583776C"/>
    <w:rsid w:val="76163A8B"/>
    <w:rsid w:val="763B1B73"/>
    <w:rsid w:val="77D425AC"/>
    <w:rsid w:val="794F3FE6"/>
    <w:rsid w:val="7AC8435F"/>
    <w:rsid w:val="7B156BA3"/>
    <w:rsid w:val="7CBB1D0B"/>
    <w:rsid w:val="7DA13729"/>
    <w:rsid w:val="7E1705E2"/>
    <w:rsid w:val="7E4827DB"/>
    <w:rsid w:val="7E516E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26"/>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rPr>
      <w:szCs w:val="21"/>
    </w:rPr>
  </w:style>
  <w:style w:type="paragraph" w:styleId="5">
    <w:name w:val="Body Text"/>
    <w:basedOn w:val="1"/>
    <w:next w:val="1"/>
    <w:qFormat/>
    <w:uiPriority w:val="0"/>
    <w:rPr>
      <w:color w:val="993300"/>
      <w:sz w:val="24"/>
    </w:rPr>
  </w:style>
  <w:style w:type="paragraph" w:styleId="6">
    <w:name w:val="Plain Text"/>
    <w:basedOn w:val="1"/>
    <w:link w:val="27"/>
    <w:qFormat/>
    <w:uiPriority w:val="0"/>
    <w:rPr>
      <w:rFonts w:ascii="宋体" w:hAnsi="Courier New"/>
      <w:szCs w:val="22"/>
    </w:rPr>
  </w:style>
  <w:style w:type="paragraph" w:styleId="7">
    <w:name w:val="Balloon Text"/>
    <w:basedOn w:val="1"/>
    <w:link w:val="36"/>
    <w:semiHidden/>
    <w:unhideWhenUsed/>
    <w:qFormat/>
    <w:uiPriority w:val="0"/>
    <w:rPr>
      <w:sz w:val="18"/>
      <w:szCs w:val="18"/>
    </w:rPr>
  </w:style>
  <w:style w:type="paragraph" w:styleId="8">
    <w:name w:val="footer"/>
    <w:basedOn w:val="1"/>
    <w:link w:val="30"/>
    <w:qFormat/>
    <w:uiPriority w:val="0"/>
    <w:pPr>
      <w:tabs>
        <w:tab w:val="center" w:pos="4153"/>
        <w:tab w:val="right" w:pos="8306"/>
      </w:tabs>
      <w:snapToGrid w:val="0"/>
      <w:jc w:val="left"/>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bCs/>
    </w:rPr>
  </w:style>
  <w:style w:type="character" w:styleId="14">
    <w:name w:val="FollowedHyperlink"/>
    <w:basedOn w:val="12"/>
    <w:semiHidden/>
    <w:unhideWhenUsed/>
    <w:qFormat/>
    <w:uiPriority w:val="0"/>
    <w:rPr>
      <w:color w:val="800080"/>
      <w:u w:val="none"/>
    </w:rPr>
  </w:style>
  <w:style w:type="character" w:styleId="15">
    <w:name w:val="Emphasis"/>
    <w:basedOn w:val="12"/>
    <w:qFormat/>
    <w:uiPriority w:val="0"/>
    <w:rPr>
      <w:b/>
      <w:bCs/>
    </w:rPr>
  </w:style>
  <w:style w:type="character" w:styleId="16">
    <w:name w:val="HTML Definition"/>
    <w:basedOn w:val="12"/>
    <w:semiHidden/>
    <w:unhideWhenUsed/>
    <w:qFormat/>
    <w:uiPriority w:val="0"/>
  </w:style>
  <w:style w:type="character" w:styleId="17">
    <w:name w:val="HTML Typewriter"/>
    <w:basedOn w:val="12"/>
    <w:semiHidden/>
    <w:unhideWhenUsed/>
    <w:qFormat/>
    <w:uiPriority w:val="0"/>
    <w:rPr>
      <w:rFonts w:hint="default" w:ascii="monospace" w:hAnsi="monospace" w:eastAsia="monospace" w:cs="monospace"/>
      <w:sz w:val="20"/>
    </w:rPr>
  </w:style>
  <w:style w:type="character" w:styleId="18">
    <w:name w:val="HTML Acronym"/>
    <w:basedOn w:val="12"/>
    <w:semiHidden/>
    <w:unhideWhenUsed/>
    <w:qFormat/>
    <w:uiPriority w:val="0"/>
  </w:style>
  <w:style w:type="character" w:styleId="19">
    <w:name w:val="HTML Variable"/>
    <w:basedOn w:val="12"/>
    <w:semiHidden/>
    <w:unhideWhenUsed/>
    <w:qFormat/>
    <w:uiPriority w:val="0"/>
    <w:rPr>
      <w:rFonts w:ascii="Verdana" w:hAnsi="Verdana" w:cs="Verdana"/>
      <w:sz w:val="19"/>
      <w:szCs w:val="19"/>
      <w:bdr w:val="single" w:color="BDBEC1" w:sz="6" w:space="0"/>
    </w:rPr>
  </w:style>
  <w:style w:type="character" w:styleId="20">
    <w:name w:val="Hyperlink"/>
    <w:basedOn w:val="12"/>
    <w:semiHidden/>
    <w:unhideWhenUsed/>
    <w:qFormat/>
    <w:uiPriority w:val="0"/>
    <w:rPr>
      <w:color w:val="0000FF"/>
      <w:u w:val="none"/>
    </w:rPr>
  </w:style>
  <w:style w:type="character" w:styleId="21">
    <w:name w:val="HTML Code"/>
    <w:basedOn w:val="12"/>
    <w:semiHidden/>
    <w:unhideWhenUsed/>
    <w:qFormat/>
    <w:uiPriority w:val="0"/>
    <w:rPr>
      <w:rFonts w:hint="default" w:ascii="monospace" w:hAnsi="monospace" w:eastAsia="monospace" w:cs="monospace"/>
      <w:sz w:val="20"/>
    </w:rPr>
  </w:style>
  <w:style w:type="character" w:styleId="22">
    <w:name w:val="HTML Cite"/>
    <w:basedOn w:val="12"/>
    <w:semiHidden/>
    <w:unhideWhenUsed/>
    <w:qFormat/>
    <w:uiPriority w:val="0"/>
  </w:style>
  <w:style w:type="character" w:styleId="23">
    <w:name w:val="HTML Keyboard"/>
    <w:basedOn w:val="12"/>
    <w:semiHidden/>
    <w:unhideWhenUsed/>
    <w:qFormat/>
    <w:uiPriority w:val="0"/>
    <w:rPr>
      <w:rFonts w:ascii="monospace" w:hAnsi="monospace" w:eastAsia="monospace" w:cs="monospace"/>
      <w:sz w:val="20"/>
    </w:rPr>
  </w:style>
  <w:style w:type="character" w:styleId="24">
    <w:name w:val="HTML Sample"/>
    <w:basedOn w:val="12"/>
    <w:semiHidden/>
    <w:unhideWhenUsed/>
    <w:qFormat/>
    <w:uiPriority w:val="0"/>
    <w:rPr>
      <w:rFonts w:hint="default" w:ascii="monospace" w:hAnsi="monospace" w:eastAsia="monospace" w:cs="monospace"/>
      <w:shd w:val="clear" w:fill="FFFFFF"/>
    </w:rPr>
  </w:style>
  <w:style w:type="character" w:customStyle="1" w:styleId="25">
    <w:name w:val="标题 1 字符"/>
    <w:basedOn w:val="12"/>
    <w:link w:val="3"/>
    <w:qFormat/>
    <w:uiPriority w:val="9"/>
    <w:rPr>
      <w:rFonts w:ascii="Times New Roman" w:hAnsi="Times New Roman" w:eastAsia="宋体" w:cs="Times New Roman"/>
      <w:b/>
      <w:bCs/>
      <w:kern w:val="44"/>
      <w:sz w:val="44"/>
      <w:szCs w:val="44"/>
    </w:rPr>
  </w:style>
  <w:style w:type="character" w:customStyle="1" w:styleId="26">
    <w:name w:val="标题 2 字符"/>
    <w:basedOn w:val="12"/>
    <w:link w:val="4"/>
    <w:qFormat/>
    <w:uiPriority w:val="0"/>
    <w:rPr>
      <w:rFonts w:ascii="Arial" w:hAnsi="Arial" w:eastAsia="黑体" w:cs="Arial"/>
      <w:b/>
      <w:bCs/>
      <w:kern w:val="2"/>
      <w:sz w:val="32"/>
      <w:szCs w:val="32"/>
    </w:rPr>
  </w:style>
  <w:style w:type="character" w:customStyle="1" w:styleId="27">
    <w:name w:val="纯文本 字符"/>
    <w:basedOn w:val="12"/>
    <w:link w:val="6"/>
    <w:qFormat/>
    <w:uiPriority w:val="0"/>
    <w:rPr>
      <w:rFonts w:ascii="宋体" w:hAnsi="Courier New"/>
      <w:kern w:val="2"/>
      <w:sz w:val="21"/>
      <w:szCs w:val="22"/>
    </w:rPr>
  </w:style>
  <w:style w:type="paragraph" w:styleId="28">
    <w:name w:val="List Paragraph"/>
    <w:basedOn w:val="1"/>
    <w:qFormat/>
    <w:uiPriority w:val="99"/>
    <w:pPr>
      <w:ind w:firstLine="420" w:firstLineChars="200"/>
    </w:pPr>
  </w:style>
  <w:style w:type="character" w:customStyle="1" w:styleId="29">
    <w:name w:val="页眉 字符"/>
    <w:basedOn w:val="12"/>
    <w:link w:val="9"/>
    <w:qFormat/>
    <w:uiPriority w:val="0"/>
    <w:rPr>
      <w:kern w:val="2"/>
      <w:sz w:val="18"/>
      <w:szCs w:val="18"/>
    </w:rPr>
  </w:style>
  <w:style w:type="character" w:customStyle="1" w:styleId="30">
    <w:name w:val="页脚 字符"/>
    <w:basedOn w:val="12"/>
    <w:link w:val="8"/>
    <w:qFormat/>
    <w:uiPriority w:val="0"/>
    <w:rPr>
      <w:kern w:val="2"/>
      <w:sz w:val="18"/>
      <w:szCs w:val="18"/>
    </w:rPr>
  </w:style>
  <w:style w:type="paragraph" w:customStyle="1" w:styleId="31">
    <w:name w:val="Default"/>
    <w:qFormat/>
    <w:uiPriority w:val="0"/>
    <w:pPr>
      <w:widowControl w:val="0"/>
      <w:autoSpaceDE w:val="0"/>
      <w:autoSpaceDN w:val="0"/>
      <w:adjustRightInd w:val="0"/>
    </w:pPr>
    <w:rPr>
      <w:rFonts w:ascii="华文仿宋" w:hAnsi="华文仿宋" w:eastAsia="微软雅黑" w:cs="华文仿宋"/>
      <w:color w:val="000000"/>
      <w:sz w:val="24"/>
      <w:szCs w:val="24"/>
      <w:lang w:val="en-US" w:eastAsia="zh-CN" w:bidi="ar-SA"/>
    </w:rPr>
  </w:style>
  <w:style w:type="paragraph" w:customStyle="1" w:styleId="32">
    <w:name w:val="※封面题须"/>
    <w:basedOn w:val="1"/>
    <w:qFormat/>
    <w:uiPriority w:val="0"/>
    <w:pPr>
      <w:ind w:left="850" w:leftChars="350" w:right="250" w:rightChars="250" w:hanging="500" w:hangingChars="500"/>
      <w:jc w:val="left"/>
    </w:pPr>
    <w:rPr>
      <w:sz w:val="36"/>
      <w:szCs w:val="36"/>
    </w:rPr>
  </w:style>
  <w:style w:type="paragraph" w:customStyle="1" w:styleId="33">
    <w:name w:val="※正文"/>
    <w:basedOn w:val="1"/>
    <w:next w:val="1"/>
    <w:qFormat/>
    <w:uiPriority w:val="0"/>
    <w:pPr>
      <w:wordWrap w:val="0"/>
    </w:pPr>
  </w:style>
  <w:style w:type="paragraph" w:customStyle="1" w:styleId="34">
    <w:name w:val="页眉1"/>
    <w:basedOn w:val="1"/>
    <w:next w:val="9"/>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35">
    <w:name w:val="页脚1"/>
    <w:basedOn w:val="1"/>
    <w:next w:val="8"/>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36">
    <w:name w:val="批注框文本 字符"/>
    <w:basedOn w:val="12"/>
    <w:link w:val="7"/>
    <w:semiHidden/>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400D4-1C16-48B7-A70C-D9337018ABEF}">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6</Pages>
  <Words>2212</Words>
  <Characters>2978</Characters>
  <Lines>8</Lines>
  <Paragraphs>2</Paragraphs>
  <TotalTime>0</TotalTime>
  <ScaleCrop>false</ScaleCrop>
  <LinksUpToDate>false</LinksUpToDate>
  <CharactersWithSpaces>3210</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趋之若鹜</cp:lastModifiedBy>
  <cp:lastPrinted>2023-11-16T06:42:00Z</cp:lastPrinted>
  <dcterms:modified xsi:type="dcterms:W3CDTF">2026-05-28T07:22:55Z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9D66B6A32F4245D6ACDE31300D75372E</vt:lpwstr>
  </property>
  <property fmtid="{D5CDD505-2E9C-101B-9397-08002B2CF9AE}" pid="4" name="KSOTemplateDocerSaveRecord">
    <vt:lpwstr>eyJoZGlkIjoiMTY0Y2ZjNTgwMDJlM2E2ZmNhMjdhMDA5MDUzOGZjZGUiLCJ1c2VySWQiOiIxOTMwNzk2ODgifQ==</vt:lpwstr>
  </property>
</Properties>
</file>