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版本号：HBZB2026-03220260811001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总队2026年陕西公安交警融媒体中心运营项目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HBZB2026-032</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总队2026年陕西公安交警融媒体中心运营项目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HBZB2026-032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总队2026年陕西公安交警融媒体中心运营项目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总队2026年陕西公安交警融媒体中心运营项目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任向梅、曹军军、任言、祁静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采购包1：1,345,795.00元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 参照《国家计委关于印发〈招标代理服务收费管理暂行办法〉的通知》（计价格[2002]1980号）和《关于招标代理服务收费有关问题的通知》（发改办价格[2003]857号）规定标准收取。 2、本项目中标服务费按服务计取。 3、中标单位的招标代理服务费交纳信息 开户名称：陕西华博项目管理有限公司 开户银行：中国建设银行股份有限公司西安高新技术产业开发区支行 银行账号：61050192090000003265 转账事由：HBZB2026-032项目代理服务费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总队2026年陕西公安交警融媒体中心运营项目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1,345,795.00</w:t>
      </w:r>
    </w:p>
    <w:p>
      <w:pPr>
        <w:pStyle w:val="null3"/>
      </w:pPr>
      <w:r>
        <w:rPr>
          <w:rFonts w:ascii="仿宋_GB2312" w:hAnsi="仿宋_GB2312" w:cs="仿宋_GB2312" w:eastAsia="仿宋_GB2312"/>
        </w:rPr>
        <w:t>采购包最高限价（元）: 1,345,795.00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融媒体中心核心运营服务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1,345,795.00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情景剧与微电影专项摄制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标的名称：融媒体中心核心运营服务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center"/>
            </w:pPr>
            <w:r>
              <w:rPr>
                <w:rFonts w:ascii="仿宋_GB2312" w:hAnsi="仿宋_GB2312" w:cs="仿宋_GB2312" w:eastAsia="仿宋_GB2312"/>
                <w:sz w:val="28"/>
              </w:rPr>
              <w:t>采购需求</w:t>
            </w:r>
          </w:p>
          <w:p>
            <w:pPr>
              <w:pStyle w:val="null3"/>
              <w:ind w:firstLine="560"/>
              <w:jc w:val="both"/>
            </w:pPr>
            <w:r>
              <w:rPr>
                <w:rFonts w:ascii="仿宋_GB2312" w:hAnsi="仿宋_GB2312" w:cs="仿宋_GB2312" w:eastAsia="仿宋_GB2312"/>
                <w:sz w:val="28"/>
              </w:rPr>
              <w:t>1.新媒体账号矩阵运营</w:t>
            </w:r>
          </w:p>
          <w:p>
            <w:pPr>
              <w:pStyle w:val="null3"/>
              <w:ind w:firstLine="560"/>
              <w:jc w:val="both"/>
            </w:pPr>
            <w:r>
              <w:rPr>
                <w:rFonts w:ascii="仿宋_GB2312" w:hAnsi="仿宋_GB2312" w:cs="仿宋_GB2312" w:eastAsia="仿宋_GB2312"/>
                <w:sz w:val="28"/>
              </w:rPr>
              <w:t>团队配置：</w:t>
            </w:r>
            <w:r>
              <w:rPr>
                <w:rFonts w:ascii="仿宋_GB2312" w:hAnsi="仿宋_GB2312" w:cs="仿宋_GB2312" w:eastAsia="仿宋_GB2312"/>
                <w:sz w:val="21"/>
              </w:rPr>
              <w:t xml:space="preserve"> </w:t>
            </w:r>
            <w:r>
              <w:rPr>
                <w:rFonts w:ascii="仿宋_GB2312" w:hAnsi="仿宋_GB2312" w:cs="仿宋_GB2312" w:eastAsia="仿宋_GB2312"/>
                <w:sz w:val="28"/>
              </w:rPr>
              <w:t>常驻总队的</w:t>
            </w:r>
            <w:r>
              <w:rPr>
                <w:rFonts w:ascii="仿宋_GB2312" w:hAnsi="仿宋_GB2312" w:cs="仿宋_GB2312" w:eastAsia="仿宋_GB2312"/>
                <w:sz w:val="28"/>
              </w:rPr>
              <w:t>7人专业团队须结构合理，职责清晰。建议配置包括：</w:t>
            </w:r>
          </w:p>
          <w:p>
            <w:pPr>
              <w:pStyle w:val="null3"/>
              <w:ind w:firstLine="560"/>
              <w:jc w:val="both"/>
            </w:pPr>
            <w:r>
              <w:rPr>
                <w:rFonts w:ascii="仿宋_GB2312" w:hAnsi="仿宋_GB2312" w:cs="仿宋_GB2312" w:eastAsia="仿宋_GB2312"/>
                <w:sz w:val="28"/>
              </w:rPr>
              <w:t>项目主管</w:t>
            </w:r>
            <w:r>
              <w:rPr>
                <w:rFonts w:ascii="仿宋_GB2312" w:hAnsi="仿宋_GB2312" w:cs="仿宋_GB2312" w:eastAsia="仿宋_GB2312"/>
                <w:sz w:val="28"/>
              </w:rPr>
              <w:t>/策划（1人）：负责整体运营规划、内容方向把控、重大选题策划、团队管理与甲方协调。</w:t>
            </w:r>
          </w:p>
          <w:p>
            <w:pPr>
              <w:pStyle w:val="null3"/>
              <w:ind w:firstLine="560"/>
              <w:jc w:val="both"/>
            </w:pPr>
            <w:r>
              <w:rPr>
                <w:rFonts w:ascii="仿宋_GB2312" w:hAnsi="仿宋_GB2312" w:cs="仿宋_GB2312" w:eastAsia="仿宋_GB2312"/>
                <w:sz w:val="28"/>
              </w:rPr>
              <w:t>文字编辑</w:t>
            </w:r>
            <w:r>
              <w:rPr>
                <w:rFonts w:ascii="仿宋_GB2312" w:hAnsi="仿宋_GB2312" w:cs="仿宋_GB2312" w:eastAsia="仿宋_GB2312"/>
                <w:sz w:val="28"/>
              </w:rPr>
              <w:t>/记者（1人）：负责新闻采写、原创稿件撰写、文案创作、信息编辑、平台日常文字内容维护。</w:t>
            </w:r>
          </w:p>
          <w:p>
            <w:pPr>
              <w:pStyle w:val="null3"/>
              <w:ind w:firstLine="560"/>
              <w:jc w:val="both"/>
            </w:pPr>
            <w:r>
              <w:rPr>
                <w:rFonts w:ascii="仿宋_GB2312" w:hAnsi="仿宋_GB2312" w:cs="仿宋_GB2312" w:eastAsia="仿宋_GB2312"/>
                <w:sz w:val="28"/>
              </w:rPr>
              <w:t>视频摄像师（</w:t>
            </w:r>
            <w:r>
              <w:rPr>
                <w:rFonts w:ascii="仿宋_GB2312" w:hAnsi="仿宋_GB2312" w:cs="仿宋_GB2312" w:eastAsia="仿宋_GB2312"/>
                <w:sz w:val="28"/>
              </w:rPr>
              <w:t>1人）：负责短视频、宣传片、直播等活动的视频拍摄工作，需具备新闻纪实、专题片等多种风格拍摄能力。</w:t>
            </w:r>
          </w:p>
          <w:p>
            <w:pPr>
              <w:pStyle w:val="null3"/>
              <w:ind w:firstLine="560"/>
              <w:jc w:val="both"/>
            </w:pPr>
            <w:r>
              <w:rPr>
                <w:rFonts w:ascii="仿宋_GB2312" w:hAnsi="仿宋_GB2312" w:cs="仿宋_GB2312" w:eastAsia="仿宋_GB2312"/>
                <w:sz w:val="28"/>
              </w:rPr>
              <w:t>视频后期包装师（</w:t>
            </w:r>
            <w:r>
              <w:rPr>
                <w:rFonts w:ascii="仿宋_GB2312" w:hAnsi="仿宋_GB2312" w:cs="仿宋_GB2312" w:eastAsia="仿宋_GB2312"/>
                <w:sz w:val="28"/>
              </w:rPr>
              <w:t>1人）：负责视频剪辑、特效包装、音频处理、字幕制作，精通主流剪辑包装软件。</w:t>
            </w:r>
          </w:p>
          <w:p>
            <w:pPr>
              <w:pStyle w:val="null3"/>
              <w:ind w:firstLine="560"/>
              <w:jc w:val="both"/>
            </w:pPr>
            <w:r>
              <w:rPr>
                <w:rFonts w:ascii="仿宋_GB2312" w:hAnsi="仿宋_GB2312" w:cs="仿宋_GB2312" w:eastAsia="仿宋_GB2312"/>
                <w:sz w:val="28"/>
              </w:rPr>
              <w:t>平面设计师</w:t>
            </w:r>
            <w:r>
              <w:rPr>
                <w:rFonts w:ascii="仿宋_GB2312" w:hAnsi="仿宋_GB2312" w:cs="仿宋_GB2312" w:eastAsia="仿宋_GB2312"/>
                <w:sz w:val="28"/>
              </w:rPr>
              <w:t>/视觉传达（1人）：负责海报、长图、信息图表、版面设计、头像模板等视觉内容创作，以及平台整体视觉形象维护。</w:t>
            </w:r>
          </w:p>
          <w:p>
            <w:pPr>
              <w:pStyle w:val="null3"/>
              <w:ind w:firstLine="560"/>
              <w:jc w:val="both"/>
            </w:pPr>
            <w:r>
              <w:rPr>
                <w:rFonts w:ascii="仿宋_GB2312" w:hAnsi="仿宋_GB2312" w:cs="仿宋_GB2312" w:eastAsia="仿宋_GB2312"/>
                <w:sz w:val="28"/>
              </w:rPr>
              <w:t>新媒体运营专员（</w:t>
            </w:r>
            <w:r>
              <w:rPr>
                <w:rFonts w:ascii="仿宋_GB2312" w:hAnsi="仿宋_GB2312" w:cs="仿宋_GB2312" w:eastAsia="仿宋_GB2312"/>
                <w:sz w:val="28"/>
              </w:rPr>
              <w:t>2人）：负责各平台日常发布、排期管理、粉丝互动、数据监测、基础数据分析、热点追踪及部分内容创作。</w:t>
            </w:r>
          </w:p>
          <w:p>
            <w:pPr>
              <w:pStyle w:val="null3"/>
              <w:ind w:firstLine="560"/>
              <w:jc w:val="both"/>
            </w:pPr>
            <w:r>
              <w:rPr>
                <w:rFonts w:ascii="仿宋_GB2312" w:hAnsi="仿宋_GB2312" w:cs="仿宋_GB2312" w:eastAsia="仿宋_GB2312"/>
                <w:sz w:val="28"/>
              </w:rPr>
              <w:t>微信公众号：</w:t>
            </w:r>
            <w:r>
              <w:rPr>
                <w:rFonts w:ascii="仿宋_GB2312" w:hAnsi="仿宋_GB2312" w:cs="仿宋_GB2312" w:eastAsia="仿宋_GB2312"/>
                <w:sz w:val="21"/>
              </w:rPr>
              <w:t xml:space="preserve"> </w:t>
            </w:r>
            <w:r>
              <w:rPr>
                <w:rFonts w:ascii="仿宋_GB2312" w:hAnsi="仿宋_GB2312" w:cs="仿宋_GB2312" w:eastAsia="仿宋_GB2312"/>
                <w:sz w:val="28"/>
              </w:rPr>
              <w:t>不仅是信息发布平台，更应打造成深度解读、便民服务、形象展示的综合窗口。除日常推送外，需运营菜单栏功能，探索服务性</w:t>
            </w:r>
            <w:r>
              <w:rPr>
                <w:rFonts w:ascii="仿宋_GB2312" w:hAnsi="仿宋_GB2312" w:cs="仿宋_GB2312" w:eastAsia="仿宋_GB2312"/>
                <w:sz w:val="28"/>
              </w:rPr>
              <w:t>H5应用。每月策划至少1次专题互动活动。</w:t>
            </w:r>
          </w:p>
          <w:p>
            <w:pPr>
              <w:pStyle w:val="null3"/>
              <w:ind w:firstLine="560"/>
              <w:jc w:val="both"/>
            </w:pPr>
            <w:r>
              <w:rPr>
                <w:rFonts w:ascii="仿宋_GB2312" w:hAnsi="仿宋_GB2312" w:cs="仿宋_GB2312" w:eastAsia="仿宋_GB2312"/>
                <w:sz w:val="28"/>
              </w:rPr>
              <w:t>微博：</w:t>
            </w:r>
            <w:r>
              <w:rPr>
                <w:rFonts w:ascii="仿宋_GB2312" w:hAnsi="仿宋_GB2312" w:cs="仿宋_GB2312" w:eastAsia="仿宋_GB2312"/>
                <w:sz w:val="21"/>
              </w:rPr>
              <w:t xml:space="preserve"> </w:t>
            </w:r>
            <w:r>
              <w:rPr>
                <w:rFonts w:ascii="仿宋_GB2312" w:hAnsi="仿宋_GB2312" w:cs="仿宋_GB2312" w:eastAsia="仿宋_GB2312"/>
                <w:sz w:val="28"/>
              </w:rPr>
              <w:t>强化其快速响应、话题发酵、舆论互动功能。保持高频次更新，积极参与交通相关热点话题，熟练运用抽奖、投票、话题等互动工具。对网民咨询、投诉、建议建立分级分类响应机制。</w:t>
            </w:r>
          </w:p>
          <w:p>
            <w:pPr>
              <w:pStyle w:val="null3"/>
              <w:ind w:firstLine="560"/>
              <w:jc w:val="both"/>
            </w:pPr>
            <w:r>
              <w:rPr>
                <w:rFonts w:ascii="仿宋_GB2312" w:hAnsi="仿宋_GB2312" w:cs="仿宋_GB2312" w:eastAsia="仿宋_GB2312"/>
                <w:sz w:val="28"/>
              </w:rPr>
              <w:t>抖音号与视频号：</w:t>
            </w:r>
            <w:r>
              <w:rPr>
                <w:rFonts w:ascii="仿宋_GB2312" w:hAnsi="仿宋_GB2312" w:cs="仿宋_GB2312" w:eastAsia="仿宋_GB2312"/>
                <w:sz w:val="21"/>
              </w:rPr>
              <w:t xml:space="preserve"> </w:t>
            </w:r>
            <w:r>
              <w:rPr>
                <w:rFonts w:ascii="仿宋_GB2312" w:hAnsi="仿宋_GB2312" w:cs="仿宋_GB2312" w:eastAsia="仿宋_GB2312"/>
                <w:sz w:val="28"/>
              </w:rPr>
              <w:t>作为短视频主阵地，重点发力。内容需紧跟平台流行趋势，灵活运用各种短视频形式（剧情短剧、知识科普、现场实录、情景再现、</w:t>
            </w:r>
            <w:r>
              <w:rPr>
                <w:rFonts w:ascii="仿宋_GB2312" w:hAnsi="仿宋_GB2312" w:cs="仿宋_GB2312" w:eastAsia="仿宋_GB2312"/>
                <w:sz w:val="28"/>
              </w:rPr>
              <w:t>VR体验等）。建立常态化更新节奏，追求爆款内容产出。</w:t>
            </w:r>
          </w:p>
          <w:p>
            <w:pPr>
              <w:pStyle w:val="null3"/>
              <w:ind w:firstLine="560"/>
              <w:jc w:val="both"/>
            </w:pPr>
            <w:r>
              <w:rPr>
                <w:rFonts w:ascii="仿宋_GB2312" w:hAnsi="仿宋_GB2312" w:cs="仿宋_GB2312" w:eastAsia="仿宋_GB2312"/>
                <w:sz w:val="28"/>
              </w:rPr>
              <w:t>今日头条号：</w:t>
            </w:r>
            <w:r>
              <w:rPr>
                <w:rFonts w:ascii="仿宋_GB2312" w:hAnsi="仿宋_GB2312" w:cs="仿宋_GB2312" w:eastAsia="仿宋_GB2312"/>
                <w:sz w:val="21"/>
              </w:rPr>
              <w:t xml:space="preserve"> </w:t>
            </w:r>
            <w:r>
              <w:rPr>
                <w:rFonts w:ascii="仿宋_GB2312" w:hAnsi="仿宋_GB2312" w:cs="仿宋_GB2312" w:eastAsia="仿宋_GB2312"/>
                <w:sz w:val="28"/>
              </w:rPr>
              <w:t>侧重交通资讯、案例解读、政策分析的精准推送，利用算法优势覆盖更广泛的信息寻求型用户。注重标题与摘要的优化。</w:t>
            </w:r>
          </w:p>
          <w:p>
            <w:pPr>
              <w:pStyle w:val="null3"/>
              <w:ind w:firstLine="560"/>
              <w:jc w:val="both"/>
            </w:pPr>
            <w:r>
              <w:rPr>
                <w:rFonts w:ascii="仿宋_GB2312" w:hAnsi="仿宋_GB2312" w:cs="仿宋_GB2312" w:eastAsia="仿宋_GB2312"/>
                <w:sz w:val="28"/>
              </w:rPr>
              <w:t>央视频号、起点新闻号：</w:t>
            </w:r>
            <w:r>
              <w:rPr>
                <w:rFonts w:ascii="仿宋_GB2312" w:hAnsi="仿宋_GB2312" w:cs="仿宋_GB2312" w:eastAsia="仿宋_GB2312"/>
                <w:sz w:val="21"/>
              </w:rPr>
              <w:t xml:space="preserve"> </w:t>
            </w:r>
            <w:r>
              <w:rPr>
                <w:rFonts w:ascii="仿宋_GB2312" w:hAnsi="仿宋_GB2312" w:cs="仿宋_GB2312" w:eastAsia="仿宋_GB2312"/>
                <w:sz w:val="28"/>
              </w:rPr>
              <w:t>作为面向全国和本省主流媒体平台的重要出口，内容需更具代表性和专业性，侧重重大活动、典型事迹、精品节目的供稿与展示。</w:t>
            </w:r>
          </w:p>
          <w:p>
            <w:pPr>
              <w:pStyle w:val="null3"/>
              <w:ind w:firstLine="560"/>
              <w:jc w:val="both"/>
            </w:pPr>
            <w:r>
              <w:rPr>
                <w:rFonts w:ascii="仿宋_GB2312" w:hAnsi="仿宋_GB2312" w:cs="仿宋_GB2312" w:eastAsia="仿宋_GB2312"/>
                <w:sz w:val="28"/>
              </w:rPr>
              <w:t>学习强国供稿链路：作为重要政治任务平台，需专人负责高标准、严要求的内容选题、制作与推送，确保稿件质量和采用率，展示陕西交警工作亮点。</w:t>
            </w:r>
          </w:p>
          <w:p>
            <w:pPr>
              <w:pStyle w:val="null3"/>
              <w:ind w:firstLine="560"/>
              <w:jc w:val="both"/>
            </w:pPr>
            <w:r>
              <w:rPr>
                <w:rFonts w:ascii="仿宋_GB2312" w:hAnsi="仿宋_GB2312" w:cs="仿宋_GB2312" w:eastAsia="仿宋_GB2312"/>
                <w:sz w:val="28"/>
              </w:rPr>
              <w:t>核心任务：</w:t>
            </w:r>
            <w:r>
              <w:rPr>
                <w:rFonts w:ascii="仿宋_GB2312" w:hAnsi="仿宋_GB2312" w:cs="仿宋_GB2312" w:eastAsia="仿宋_GB2312"/>
                <w:sz w:val="21"/>
              </w:rPr>
              <w:t xml:space="preserve"> </w:t>
            </w:r>
            <w:r>
              <w:rPr>
                <w:rFonts w:ascii="仿宋_GB2312" w:hAnsi="仿宋_GB2312" w:cs="仿宋_GB2312" w:eastAsia="仿宋_GB2312"/>
                <w:sz w:val="28"/>
              </w:rPr>
              <w:t>围绕所有重要节点、季节特点、专项工作，全年策划线上主题宣传活动制定详细的内容排期表。建立与各地市交管部门新媒体账号的常态化联动机制，形成传播合力。</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1"/>
              </w:rPr>
              <w:t xml:space="preserve"> </w:t>
            </w:r>
            <w:r>
              <w:rPr>
                <w:rFonts w:ascii="仿宋_GB2312" w:hAnsi="仿宋_GB2312" w:cs="仿宋_GB2312" w:eastAsia="仿宋_GB2312"/>
                <w:sz w:val="28"/>
              </w:rPr>
              <w:t>直播及推拉流服务</w:t>
            </w:r>
            <w:r>
              <w:br/>
            </w:r>
            <w:r>
              <w:rPr>
                <w:rFonts w:ascii="仿宋_GB2312" w:hAnsi="仿宋_GB2312" w:cs="仿宋_GB2312" w:eastAsia="仿宋_GB2312"/>
                <w:sz w:val="28"/>
              </w:rPr>
              <w:t xml:space="preserve">    </w:t>
            </w:r>
            <w:r>
              <w:rPr>
                <w:rFonts w:ascii="仿宋_GB2312" w:hAnsi="仿宋_GB2312" w:cs="仿宋_GB2312" w:eastAsia="仿宋_GB2312"/>
                <w:sz w:val="28"/>
              </w:rPr>
              <w:t>服务内涵深化：</w:t>
            </w:r>
            <w:r>
              <w:rPr>
                <w:rFonts w:ascii="仿宋_GB2312" w:hAnsi="仿宋_GB2312" w:cs="仿宋_GB2312" w:eastAsia="仿宋_GB2312"/>
                <w:sz w:val="21"/>
              </w:rPr>
              <w:t xml:space="preserve"> </w:t>
            </w:r>
            <w:r>
              <w:rPr>
                <w:rFonts w:ascii="仿宋_GB2312" w:hAnsi="仿宋_GB2312" w:cs="仿宋_GB2312" w:eastAsia="仿宋_GB2312"/>
                <w:sz w:val="28"/>
              </w:rPr>
              <w:t>直播不仅是技术执行，更是重要的宣传策划和公共服务活动。</w:t>
            </w:r>
            <w:r>
              <w:br/>
            </w:r>
            <w:r>
              <w:rPr>
                <w:rFonts w:ascii="仿宋_GB2312" w:hAnsi="仿宋_GB2312" w:cs="仿宋_GB2312" w:eastAsia="仿宋_GB2312"/>
                <w:sz w:val="28"/>
              </w:rPr>
              <w:t xml:space="preserve">    </w:t>
            </w:r>
            <w:r>
              <w:rPr>
                <w:rFonts w:ascii="仿宋_GB2312" w:hAnsi="仿宋_GB2312" w:cs="仿宋_GB2312" w:eastAsia="仿宋_GB2312"/>
                <w:sz w:val="28"/>
              </w:rPr>
              <w:t>策划要求：每场直播需提前制定详尽的策划方案，包括主题、目的、流程、嘉宾（如有）、互动环节设计、应急预案、宣传预热及后续发酵方案。</w:t>
            </w:r>
          </w:p>
          <w:p>
            <w:pPr>
              <w:pStyle w:val="null3"/>
              <w:ind w:firstLine="560"/>
              <w:jc w:val="both"/>
            </w:pPr>
            <w:r>
              <w:rPr>
                <w:rFonts w:ascii="仿宋_GB2312" w:hAnsi="仿宋_GB2312" w:cs="仿宋_GB2312" w:eastAsia="仿宋_GB2312"/>
                <w:sz w:val="28"/>
              </w:rPr>
              <w:t>教育科普类直播：如</w:t>
            </w:r>
            <w:r>
              <w:rPr>
                <w:rFonts w:ascii="仿宋_GB2312" w:hAnsi="仿宋_GB2312" w:cs="仿宋_GB2312" w:eastAsia="仿宋_GB2312"/>
                <w:sz w:val="28"/>
              </w:rPr>
              <w:t>“中小学生安全教育科”“春秋季开学第一课”“交通安全开学第一课”、“重点企业驾驶人线上培训”、“高速公路安全行车云课堂”等，强调知识性、系统性。</w:t>
            </w:r>
          </w:p>
          <w:p>
            <w:pPr>
              <w:pStyle w:val="null3"/>
              <w:ind w:firstLine="560"/>
              <w:jc w:val="both"/>
            </w:pPr>
            <w:r>
              <w:rPr>
                <w:rFonts w:ascii="仿宋_GB2312" w:hAnsi="仿宋_GB2312" w:cs="仿宋_GB2312" w:eastAsia="仿宋_GB2312"/>
                <w:sz w:val="28"/>
              </w:rPr>
              <w:t>路况服务类直播：节假日出行高峰期间，在关键交通枢纽、易堵路段进行慢直播或主持人播报，提供实时路况、绕行建议。恶劣天气（雨、雪、雾、冰冻）期间，启动应急直播，发布预警、管控信息和安全提示。</w:t>
            </w:r>
          </w:p>
          <w:p>
            <w:pPr>
              <w:pStyle w:val="null3"/>
              <w:ind w:firstLine="560"/>
              <w:jc w:val="both"/>
            </w:pPr>
            <w:r>
              <w:rPr>
                <w:rFonts w:ascii="仿宋_GB2312" w:hAnsi="仿宋_GB2312" w:cs="仿宋_GB2312" w:eastAsia="仿宋_GB2312"/>
                <w:sz w:val="28"/>
              </w:rPr>
              <w:t>应急救助与正能量传播类直播：对重大交通事故应急救援、交警紧急护送危重病人等事件，在合适时机进行适度直播，展现交警高效为民形象。</w:t>
            </w:r>
          </w:p>
          <w:p>
            <w:pPr>
              <w:pStyle w:val="null3"/>
              <w:ind w:firstLine="560"/>
              <w:jc w:val="both"/>
            </w:pPr>
            <w:r>
              <w:rPr>
                <w:rFonts w:ascii="仿宋_GB2312" w:hAnsi="仿宋_GB2312" w:cs="仿宋_GB2312" w:eastAsia="仿宋_GB2312"/>
                <w:sz w:val="28"/>
              </w:rPr>
              <w:t>技术要求：提供稳定、高清、低延迟的推流服务，支持多机位切换、实时字幕、画面包装、连线互动等功能。确保至少具备应对</w:t>
            </w:r>
            <w:r>
              <w:rPr>
                <w:rFonts w:ascii="仿宋_GB2312" w:hAnsi="仿宋_GB2312" w:cs="仿宋_GB2312" w:eastAsia="仿宋_GB2312"/>
                <w:sz w:val="28"/>
              </w:rPr>
              <w:t>20场直播的流量储备和技术保障能力。</w:t>
            </w:r>
            <w:r>
              <w:br/>
            </w:r>
            <w:r>
              <w:rPr>
                <w:rFonts w:ascii="仿宋_GB2312" w:hAnsi="仿宋_GB2312" w:cs="仿宋_GB2312" w:eastAsia="仿宋_GB2312"/>
                <w:sz w:val="28"/>
              </w:rPr>
              <w:t xml:space="preserve">    </w:t>
            </w:r>
            <w:r>
              <w:rPr>
                <w:rFonts w:ascii="仿宋_GB2312" w:hAnsi="仿宋_GB2312" w:cs="仿宋_GB2312" w:eastAsia="仿宋_GB2312"/>
                <w:sz w:val="28"/>
              </w:rPr>
              <w:t>3.警示教育宣传片制作</w:t>
            </w:r>
          </w:p>
          <w:p>
            <w:pPr>
              <w:pStyle w:val="null3"/>
              <w:ind w:firstLine="560"/>
              <w:jc w:val="both"/>
            </w:pPr>
            <w:r>
              <w:rPr>
                <w:rFonts w:ascii="仿宋_GB2312" w:hAnsi="仿宋_GB2312" w:cs="仿宋_GB2312" w:eastAsia="仿宋_GB2312"/>
                <w:sz w:val="28"/>
              </w:rPr>
              <w:t>制作要求深化：</w:t>
            </w:r>
            <w:r>
              <w:rPr>
                <w:rFonts w:ascii="仿宋_GB2312" w:hAnsi="仿宋_GB2312" w:cs="仿宋_GB2312" w:eastAsia="仿宋_GB2312"/>
                <w:sz w:val="28"/>
              </w:rPr>
              <w:t>18部宣传片需形成系列化、差异化。每部聚焦一个特定主题（如“货车右转盲区”、“电动自行车头盔保命”、“高速公路二次事故预防”、“分心驾驶之殇”等）。</w:t>
            </w:r>
          </w:p>
          <w:p>
            <w:pPr>
              <w:pStyle w:val="null3"/>
              <w:ind w:firstLine="560"/>
              <w:jc w:val="both"/>
            </w:pPr>
            <w:r>
              <w:rPr>
                <w:rFonts w:ascii="仿宋_GB2312" w:hAnsi="仿宋_GB2312" w:cs="仿宋_GB2312" w:eastAsia="仿宋_GB2312"/>
                <w:sz w:val="28"/>
              </w:rPr>
              <w:t>表现形式：可采用真实案例改编（进行隐私保护处理）、三维动画模拟事故过程、专家访谈解读、实验演示等多种手法，增强说服力和视觉冲击力。</w:t>
            </w:r>
          </w:p>
          <w:p>
            <w:pPr>
              <w:pStyle w:val="null3"/>
              <w:ind w:firstLine="560"/>
              <w:jc w:val="both"/>
            </w:pPr>
            <w:r>
              <w:rPr>
                <w:rFonts w:ascii="仿宋_GB2312" w:hAnsi="仿宋_GB2312" w:cs="仿宋_GB2312" w:eastAsia="仿宋_GB2312"/>
                <w:sz w:val="28"/>
              </w:rPr>
              <w:t>质量标准：成片需达到电视台播出或网络高清发布标准，逻辑清晰，叙事紧凑，情感共鸣点与警示点突出。</w:t>
            </w:r>
          </w:p>
          <w:p>
            <w:pPr>
              <w:pStyle w:val="null3"/>
              <w:ind w:firstLine="560"/>
              <w:jc w:val="both"/>
            </w:pPr>
            <w:r>
              <w:rPr>
                <w:rFonts w:ascii="仿宋_GB2312" w:hAnsi="仿宋_GB2312" w:cs="仿宋_GB2312" w:eastAsia="仿宋_GB2312"/>
                <w:sz w:val="28"/>
              </w:rPr>
              <w:t>4.主题海报设计制作</w:t>
            </w:r>
          </w:p>
          <w:p>
            <w:pPr>
              <w:pStyle w:val="null3"/>
              <w:ind w:firstLine="560"/>
              <w:jc w:val="both"/>
            </w:pPr>
            <w:r>
              <w:rPr>
                <w:rFonts w:ascii="仿宋_GB2312" w:hAnsi="仿宋_GB2312" w:cs="仿宋_GB2312" w:eastAsia="仿宋_GB2312"/>
                <w:sz w:val="28"/>
              </w:rPr>
              <w:t>系列化策划：</w:t>
            </w:r>
            <w:r>
              <w:rPr>
                <w:rFonts w:ascii="仿宋_GB2312" w:hAnsi="仿宋_GB2312" w:cs="仿宋_GB2312" w:eastAsia="仿宋_GB2312"/>
                <w:sz w:val="28"/>
              </w:rPr>
              <w:t>34套海报如“重点人群守护系列”（学生、老人、农民、快递外卖员）、“高风险违法警示系列”、“季节交通安全提示系列”、“交警正能量形象系列”。</w:t>
            </w:r>
          </w:p>
          <w:p>
            <w:pPr>
              <w:pStyle w:val="null3"/>
              <w:ind w:firstLine="560"/>
              <w:jc w:val="both"/>
            </w:pPr>
            <w:r>
              <w:rPr>
                <w:rFonts w:ascii="仿宋_GB2312" w:hAnsi="仿宋_GB2312" w:cs="仿宋_GB2312" w:eastAsia="仿宋_GB2312"/>
                <w:sz w:val="28"/>
              </w:rPr>
              <w:t>设计风格：需符合政务新媒体严肃活泼的基调，视觉突出，文案精炼，适合在不同场景（户外大屏、社区宣传栏、网络平台）投放。</w:t>
            </w:r>
          </w:p>
          <w:p>
            <w:pPr>
              <w:pStyle w:val="null3"/>
              <w:ind w:firstLine="560"/>
              <w:jc w:val="both"/>
            </w:pPr>
            <w:r>
              <w:rPr>
                <w:rFonts w:ascii="仿宋_GB2312" w:hAnsi="仿宋_GB2312" w:cs="仿宋_GB2312" w:eastAsia="仿宋_GB2312"/>
                <w:sz w:val="28"/>
              </w:rPr>
              <w:t>格式要求：</w:t>
            </w:r>
            <w:r>
              <w:rPr>
                <w:rFonts w:ascii="仿宋_GB2312" w:hAnsi="仿宋_GB2312" w:cs="仿宋_GB2312" w:eastAsia="仿宋_GB2312"/>
                <w:sz w:val="21"/>
              </w:rPr>
              <w:t xml:space="preserve"> </w:t>
            </w:r>
            <w:r>
              <w:rPr>
                <w:rFonts w:ascii="仿宋_GB2312" w:hAnsi="仿宋_GB2312" w:cs="仿宋_GB2312" w:eastAsia="仿宋_GB2312"/>
                <w:sz w:val="28"/>
              </w:rPr>
              <w:t>提供适用于印刷和网络传播的不同尺寸和分辨率版本。</w:t>
            </w:r>
          </w:p>
          <w:p>
            <w:pPr>
              <w:pStyle w:val="null3"/>
              <w:ind w:firstLine="560"/>
              <w:jc w:val="both"/>
            </w:pPr>
            <w:r>
              <w:rPr>
                <w:rFonts w:ascii="仿宋_GB2312" w:hAnsi="仿宋_GB2312" w:cs="仿宋_GB2312" w:eastAsia="仿宋_GB2312"/>
                <w:sz w:val="28"/>
              </w:rPr>
              <w:t>5.交通安全歌曲创作与MV制作</w:t>
            </w:r>
          </w:p>
          <w:p>
            <w:pPr>
              <w:pStyle w:val="null3"/>
              <w:ind w:firstLine="560"/>
              <w:jc w:val="both"/>
            </w:pPr>
            <w:r>
              <w:rPr>
                <w:rFonts w:ascii="仿宋_GB2312" w:hAnsi="仿宋_GB2312" w:cs="仿宋_GB2312" w:eastAsia="仿宋_GB2312"/>
                <w:sz w:val="28"/>
              </w:rPr>
              <w:t>创作导向：</w:t>
            </w:r>
            <w:r>
              <w:rPr>
                <w:rFonts w:ascii="仿宋_GB2312" w:hAnsi="仿宋_GB2312" w:cs="仿宋_GB2312" w:eastAsia="仿宋_GB2312"/>
                <w:sz w:val="21"/>
              </w:rPr>
              <w:t xml:space="preserve"> </w:t>
            </w:r>
            <w:r>
              <w:rPr>
                <w:rFonts w:ascii="仿宋_GB2312" w:hAnsi="仿宋_GB2312" w:cs="仿宋_GB2312" w:eastAsia="仿宋_GB2312"/>
                <w:sz w:val="28"/>
              </w:rPr>
              <w:t>歌曲风格应积极向上、易于传唱，歌词紧扣交通安全主题，融入陕西地域文化元素。</w:t>
            </w:r>
            <w:r>
              <w:rPr>
                <w:rFonts w:ascii="仿宋_GB2312" w:hAnsi="仿宋_GB2312" w:cs="仿宋_GB2312" w:eastAsia="仿宋_GB2312"/>
                <w:sz w:val="28"/>
              </w:rPr>
              <w:t>MV拍摄需有剧情设计或精美画面，能够通过艺术感染力传递安全理念。</w:t>
            </w:r>
          </w:p>
          <w:p>
            <w:pPr>
              <w:pStyle w:val="null3"/>
              <w:ind w:firstLine="560"/>
              <w:jc w:val="both"/>
            </w:pPr>
            <w:r>
              <w:rPr>
                <w:rFonts w:ascii="仿宋_GB2312" w:hAnsi="仿宋_GB2312" w:cs="仿宋_GB2312" w:eastAsia="仿宋_GB2312"/>
                <w:sz w:val="28"/>
              </w:rPr>
              <w:t>传播规划：制定歌曲及</w:t>
            </w:r>
            <w:r>
              <w:rPr>
                <w:rFonts w:ascii="仿宋_GB2312" w:hAnsi="仿宋_GB2312" w:cs="仿宋_GB2312" w:eastAsia="仿宋_GB2312"/>
                <w:sz w:val="28"/>
              </w:rPr>
              <w:t>MV的线上线下推广计划，力争在本地媒体、音乐平台、短视频平台形成一定传播声量。</w:t>
            </w:r>
          </w:p>
          <w:p>
            <w:pPr>
              <w:pStyle w:val="null3"/>
              <w:ind w:firstLine="560"/>
              <w:jc w:val="both"/>
            </w:pPr>
            <w:r>
              <w:rPr>
                <w:rFonts w:ascii="仿宋_GB2312" w:hAnsi="仿宋_GB2312" w:cs="仿宋_GB2312" w:eastAsia="仿宋_GB2312"/>
                <w:sz w:val="28"/>
              </w:rPr>
              <w:t>6.新媒体作品奖励</w:t>
            </w:r>
          </w:p>
          <w:p>
            <w:pPr>
              <w:pStyle w:val="null3"/>
              <w:ind w:firstLine="560"/>
              <w:jc w:val="both"/>
            </w:pPr>
            <w:r>
              <w:rPr>
                <w:rFonts w:ascii="仿宋_GB2312" w:hAnsi="仿宋_GB2312" w:cs="仿宋_GB2312" w:eastAsia="仿宋_GB2312"/>
                <w:sz w:val="28"/>
              </w:rPr>
              <w:t>目的细化：旨在构建</w:t>
            </w:r>
            <w:r>
              <w:rPr>
                <w:rFonts w:ascii="仿宋_GB2312" w:hAnsi="仿宋_GB2312" w:cs="仿宋_GB2312" w:eastAsia="仿宋_GB2312"/>
                <w:sz w:val="28"/>
              </w:rPr>
              <w:t>“总队引领、全省共创”的内容生态，其不仅是对优秀作品的认可，更是激发全省宣传民警、辅警及社会力量参与创作积极性的重要杠杆。</w:t>
            </w:r>
          </w:p>
          <w:p>
            <w:pPr>
              <w:pStyle w:val="null3"/>
              <w:ind w:firstLine="560"/>
              <w:jc w:val="both"/>
            </w:pPr>
            <w:r>
              <w:rPr>
                <w:rFonts w:ascii="仿宋_GB2312" w:hAnsi="仿宋_GB2312" w:cs="仿宋_GB2312" w:eastAsia="仿宋_GB2312"/>
                <w:sz w:val="28"/>
              </w:rPr>
              <w:t>评选机制：制定公开、公平、公正的评选办法。</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技术参数</w:t>
            </w:r>
          </w:p>
          <w:tbl>
            <w:tblPr>
              <w:tblInd w:type="dxa" w:w="120"/>
              <w:tblBorders>
                <w:top w:val="none" w:color="000000" w:sz="4"/>
                <w:left w:val="none" w:color="000000" w:sz="4"/>
                <w:bottom w:val="none" w:color="000000" w:sz="4"/>
                <w:right w:val="none" w:color="000000" w:sz="4"/>
                <w:insideH w:val="none"/>
                <w:insideV w:val="none"/>
              </w:tblBorders>
            </w:tblPr>
            <w:tblGrid>
              <w:gridCol w:w="636"/>
              <w:gridCol w:w="494"/>
              <w:gridCol w:w="783"/>
              <w:gridCol w:w="641"/>
            </w:tblGrid>
            <w:tr>
              <w:tc>
                <w:tcPr>
                  <w:tcW w:type="dxa" w:w="255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新媒体账号内容制作技术参数</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类别</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内容</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篇</w:t>
                  </w:r>
                  <w:r>
                    <w:rPr>
                      <w:rFonts w:ascii="仿宋_GB2312" w:hAnsi="仿宋_GB2312" w:cs="仿宋_GB2312" w:eastAsia="仿宋_GB2312"/>
                      <w:sz w:val="24"/>
                      <w:b/>
                    </w:rPr>
                    <w:t>/条</w:t>
                  </w:r>
                </w:p>
              </w:tc>
            </w:tr>
            <w:tr>
              <w:tc>
                <w:tcPr>
                  <w:tcW w:type="dxa" w:w="6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视频类</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抖音</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内容策划、视频拍摄、剪辑、包装</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全年不低于</w:t>
                  </w:r>
                  <w:r>
                    <w:rPr>
                      <w:rFonts w:ascii="仿宋_GB2312" w:hAnsi="仿宋_GB2312" w:cs="仿宋_GB2312" w:eastAsia="仿宋_GB2312"/>
                      <w:sz w:val="24"/>
                    </w:rPr>
                    <w:t>450条内容</w:t>
                  </w:r>
                </w:p>
                <w:p>
                  <w:pPr>
                    <w:pStyle w:val="null3"/>
                    <w:jc w:val="left"/>
                  </w:pPr>
                </w:p>
              </w:tc>
            </w:tr>
            <w:tr>
              <w:tc>
                <w:tcPr>
                  <w:tcW w:type="dxa" w:w="636"/>
                  <w:vMerge/>
                  <w:tcBorders>
                    <w:top w:val="none" w:color="000000" w:sz="4"/>
                    <w:left w:val="single" w:color="000000" w:sz="4"/>
                    <w:bottom w:val="single" w:color="000000" w:sz="4"/>
                    <w:right w:val="single" w:color="000000" w:sz="4"/>
                  </w:tcBorders>
                </w:tcP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视频号</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内容策划、视频拍摄、剪辑、包装</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全年不低于</w:t>
                  </w:r>
                  <w:r>
                    <w:rPr>
                      <w:rFonts w:ascii="仿宋_GB2312" w:hAnsi="仿宋_GB2312" w:cs="仿宋_GB2312" w:eastAsia="仿宋_GB2312"/>
                      <w:sz w:val="24"/>
                    </w:rPr>
                    <w:t>480条内容</w:t>
                  </w:r>
                </w:p>
              </w:tc>
            </w:tr>
            <w:tr>
              <w:tc>
                <w:tcPr>
                  <w:tcW w:type="dxa" w:w="636"/>
                  <w:vMerge/>
                  <w:tcBorders>
                    <w:top w:val="none" w:color="000000" w:sz="4"/>
                    <w:left w:val="single" w:color="000000" w:sz="4"/>
                    <w:bottom w:val="single" w:color="000000" w:sz="4"/>
                    <w:right w:val="single" w:color="000000" w:sz="4"/>
                  </w:tcBorders>
                </w:tcP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央视频号</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内容策划</w:t>
                  </w:r>
                </w:p>
                <w:p>
                  <w:pPr>
                    <w:pStyle w:val="null3"/>
                    <w:jc w:val="center"/>
                  </w:pPr>
                  <w:r>
                    <w:rPr>
                      <w:rFonts w:ascii="仿宋_GB2312" w:hAnsi="仿宋_GB2312" w:cs="仿宋_GB2312" w:eastAsia="仿宋_GB2312"/>
                      <w:sz w:val="24"/>
                    </w:rPr>
                    <w:t>视频剪辑包装</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全年运营</w:t>
                  </w:r>
                </w:p>
                <w:p>
                  <w:pPr>
                    <w:pStyle w:val="null3"/>
                    <w:jc w:val="center"/>
                  </w:pPr>
                  <w:r>
                    <w:rPr>
                      <w:rFonts w:ascii="仿宋_GB2312" w:hAnsi="仿宋_GB2312" w:cs="仿宋_GB2312" w:eastAsia="仿宋_GB2312"/>
                      <w:sz w:val="24"/>
                    </w:rPr>
                    <w:t>保持更新</w:t>
                  </w:r>
                </w:p>
              </w:tc>
            </w:tr>
            <w:tr>
              <w:tc>
                <w:tcPr>
                  <w:tcW w:type="dxa" w:w="6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图文类</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微博</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视觉设计、内容生产、热搜推动、内容管理</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日更，每月原创不少于</w:t>
                  </w:r>
                  <w:r>
                    <w:rPr>
                      <w:rFonts w:ascii="仿宋_GB2312" w:hAnsi="仿宋_GB2312" w:cs="仿宋_GB2312" w:eastAsia="仿宋_GB2312"/>
                      <w:sz w:val="24"/>
                    </w:rPr>
                    <w:t>150条内容</w:t>
                  </w:r>
                </w:p>
              </w:tc>
            </w:tr>
            <w:tr>
              <w:tc>
                <w:tcPr>
                  <w:tcW w:type="dxa" w:w="636"/>
                  <w:vMerge/>
                  <w:tcBorders>
                    <w:top w:val="none" w:color="000000" w:sz="4"/>
                    <w:left w:val="single" w:color="000000" w:sz="4"/>
                    <w:bottom w:val="single" w:color="000000" w:sz="4"/>
                    <w:right w:val="single" w:color="000000" w:sz="4"/>
                  </w:tcBorders>
                </w:tcP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微信</w:t>
                  </w:r>
                </w:p>
                <w:p>
                  <w:pPr>
                    <w:pStyle w:val="null3"/>
                    <w:jc w:val="center"/>
                  </w:pPr>
                  <w:r>
                    <w:rPr>
                      <w:rFonts w:ascii="仿宋_GB2312" w:hAnsi="仿宋_GB2312" w:cs="仿宋_GB2312" w:eastAsia="仿宋_GB2312"/>
                      <w:sz w:val="24"/>
                    </w:rPr>
                    <w:t>公众号</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整体包装、原创稿件撰写、活动策划、日常审核推送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日更，每月不少于</w:t>
                  </w:r>
                  <w:r>
                    <w:rPr>
                      <w:rFonts w:ascii="仿宋_GB2312" w:hAnsi="仿宋_GB2312" w:cs="仿宋_GB2312" w:eastAsia="仿宋_GB2312"/>
                      <w:sz w:val="24"/>
                    </w:rPr>
                    <w:t>20次、40篇内容</w:t>
                  </w:r>
                </w:p>
              </w:tc>
            </w:tr>
            <w:tr>
              <w:tc>
                <w:tcPr>
                  <w:tcW w:type="dxa" w:w="636"/>
                  <w:vMerge/>
                  <w:tcBorders>
                    <w:top w:val="none" w:color="000000" w:sz="4"/>
                    <w:left w:val="single" w:color="000000" w:sz="4"/>
                    <w:bottom w:val="single" w:color="000000" w:sz="4"/>
                    <w:right w:val="single" w:color="000000" w:sz="4"/>
                  </w:tcBorders>
                </w:tcP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强国</w:t>
                  </w:r>
                </w:p>
                <w:p>
                  <w:pPr>
                    <w:pStyle w:val="null3"/>
                    <w:jc w:val="center"/>
                  </w:pPr>
                  <w:r>
                    <w:rPr>
                      <w:rFonts w:ascii="仿宋_GB2312" w:hAnsi="仿宋_GB2312" w:cs="仿宋_GB2312" w:eastAsia="仿宋_GB2312"/>
                      <w:sz w:val="24"/>
                    </w:rPr>
                    <w:t>链路</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原创稿件撰写、内容策划、日常审核、推送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全年运营</w:t>
                  </w:r>
                </w:p>
              </w:tc>
            </w:tr>
            <w:tr>
              <w:tc>
                <w:tcPr>
                  <w:tcW w:type="dxa" w:w="636"/>
                  <w:vMerge/>
                  <w:tcBorders>
                    <w:top w:val="none" w:color="000000" w:sz="4"/>
                    <w:left w:val="single" w:color="000000" w:sz="4"/>
                    <w:bottom w:val="single" w:color="000000" w:sz="4"/>
                    <w:right w:val="single" w:color="000000" w:sz="4"/>
                  </w:tcBorders>
                </w:tcP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今日头条号</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视觉设计、原创稿件撰写、内容策划、日常审核、推送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全年不低于</w:t>
                  </w:r>
                  <w:r>
                    <w:rPr>
                      <w:rFonts w:ascii="仿宋_GB2312" w:hAnsi="仿宋_GB2312" w:cs="仿宋_GB2312" w:eastAsia="仿宋_GB2312"/>
                      <w:sz w:val="24"/>
                    </w:rPr>
                    <w:t>450条内容</w:t>
                  </w:r>
                </w:p>
              </w:tc>
            </w:tr>
          </w:tbl>
          <w:tbl>
            <w:tblPr>
              <w:tblInd w:type="dxa" w:w="120"/>
              <w:tblBorders>
                <w:top w:val="none" w:color="000000" w:sz="4"/>
                <w:left w:val="none" w:color="000000" w:sz="4"/>
                <w:bottom w:val="none" w:color="000000" w:sz="4"/>
                <w:right w:val="none" w:color="000000" w:sz="4"/>
                <w:insideH w:val="none"/>
                <w:insideV w:val="none"/>
              </w:tblBorders>
            </w:tblPr>
            <w:tblGrid>
              <w:gridCol w:w="652"/>
              <w:gridCol w:w="843"/>
              <w:gridCol w:w="1058"/>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直播技术支持及推拉流服务技术参数</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内容</w:t>
                  </w:r>
                </w:p>
              </w:tc>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数量（场）</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融媒体直播推拉流服务</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直播策划、组织拍摄、</w:t>
                  </w:r>
                  <w:r>
                    <w:rPr>
                      <w:rFonts w:ascii="仿宋_GB2312" w:hAnsi="仿宋_GB2312" w:cs="仿宋_GB2312" w:eastAsia="仿宋_GB2312"/>
                      <w:sz w:val="24"/>
                    </w:rPr>
                    <w:t>直播流量</w:t>
                  </w:r>
                  <w:r>
                    <w:rPr>
                      <w:rFonts w:ascii="仿宋_GB2312" w:hAnsi="仿宋_GB2312" w:cs="仿宋_GB2312" w:eastAsia="仿宋_GB2312"/>
                      <w:sz w:val="24"/>
                    </w:rPr>
                    <w:t>(含</w:t>
                  </w:r>
                  <w:r>
                    <w:rPr>
                      <w:rFonts w:ascii="仿宋_GB2312" w:hAnsi="仿宋_GB2312" w:cs="仿宋_GB2312" w:eastAsia="仿宋_GB2312"/>
                      <w:sz w:val="24"/>
                    </w:rPr>
                    <w:t>手机网络流量</w:t>
                  </w:r>
                  <w:r>
                    <w:rPr>
                      <w:rFonts w:ascii="仿宋_GB2312" w:hAnsi="仿宋_GB2312" w:cs="仿宋_GB2312" w:eastAsia="仿宋_GB2312"/>
                      <w:sz w:val="24"/>
                    </w:rPr>
                    <w:t>)</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bl>
          <w:tbl>
            <w:tblPr>
              <w:tblInd w:type="dxa" w:w="120"/>
              <w:tblBorders>
                <w:top w:val="none" w:color="000000" w:sz="4"/>
                <w:left w:val="none" w:color="000000" w:sz="4"/>
                <w:bottom w:val="none" w:color="000000" w:sz="4"/>
                <w:right w:val="none" w:color="000000" w:sz="4"/>
                <w:insideH w:val="none"/>
                <w:insideV w:val="none"/>
              </w:tblBorders>
            </w:tblPr>
            <w:tblGrid>
              <w:gridCol w:w="635"/>
              <w:gridCol w:w="693"/>
              <w:gridCol w:w="386"/>
              <w:gridCol w:w="840"/>
            </w:tblGrid>
            <w:tr>
              <w:tc>
                <w:tcPr>
                  <w:tcW w:type="dxa" w:w="255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警示教育宣传片制作技术参数</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center"/>
                  </w:pPr>
                  <w:r>
                    <w:rPr>
                      <w:rFonts w:ascii="仿宋_GB2312" w:hAnsi="仿宋_GB2312" w:cs="仿宋_GB2312" w:eastAsia="仿宋_GB2312"/>
                      <w:sz w:val="24"/>
                      <w:b/>
                    </w:rPr>
                    <w:t>项目</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内</w:t>
                  </w:r>
                  <w:r>
                    <w:rPr>
                      <w:rFonts w:ascii="仿宋_GB2312" w:hAnsi="仿宋_GB2312" w:cs="仿宋_GB2312" w:eastAsia="仿宋_GB2312"/>
                      <w:sz w:val="24"/>
                      <w:b/>
                    </w:rPr>
                    <w:t>容</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数量（部）</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时长</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宣传教育</w:t>
                  </w:r>
                </w:p>
                <w:p>
                  <w:pPr>
                    <w:pStyle w:val="null3"/>
                    <w:jc w:val="center"/>
                  </w:pPr>
                  <w:r>
                    <w:rPr>
                      <w:rFonts w:ascii="仿宋_GB2312" w:hAnsi="仿宋_GB2312" w:cs="仿宋_GB2312" w:eastAsia="仿宋_GB2312"/>
                      <w:sz w:val="24"/>
                    </w:rPr>
                    <w:t>警示宣传片</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撰稿拍摄制作</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每部时长</w:t>
                  </w:r>
                  <w:r>
                    <w:rPr>
                      <w:rFonts w:ascii="仿宋_GB2312" w:hAnsi="仿宋_GB2312" w:cs="仿宋_GB2312" w:eastAsia="仿宋_GB2312"/>
                      <w:sz w:val="24"/>
                    </w:rPr>
                    <w:t>3到10分钟</w:t>
                  </w:r>
                </w:p>
              </w:tc>
            </w:tr>
          </w:tbl>
          <w:tbl>
            <w:tblPr>
              <w:tblInd w:type="dxa" w:w="120"/>
              <w:tblBorders>
                <w:top w:val="none" w:color="000000" w:sz="4"/>
                <w:left w:val="none" w:color="000000" w:sz="4"/>
                <w:bottom w:val="none" w:color="000000" w:sz="4"/>
                <w:right w:val="none" w:color="000000" w:sz="4"/>
                <w:insideH w:val="none"/>
                <w:insideV w:val="none"/>
              </w:tblBorders>
            </w:tblPr>
            <w:tblGrid>
              <w:gridCol w:w="452"/>
              <w:gridCol w:w="457"/>
              <w:gridCol w:w="365"/>
              <w:gridCol w:w="1279"/>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海报制作</w:t>
                  </w:r>
                  <w:r>
                    <w:rPr>
                      <w:rFonts w:ascii="仿宋_GB2312" w:hAnsi="仿宋_GB2312" w:cs="仿宋_GB2312" w:eastAsia="仿宋_GB2312"/>
                      <w:sz w:val="24"/>
                      <w:b/>
                    </w:rPr>
                    <w:t>技术参数</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w:t>
                  </w:r>
                  <w:r>
                    <w:rPr>
                      <w:rFonts w:ascii="仿宋_GB2312" w:hAnsi="仿宋_GB2312" w:cs="仿宋_GB2312" w:eastAsia="仿宋_GB2312"/>
                      <w:sz w:val="24"/>
                      <w:b/>
                    </w:rPr>
                    <w:t>目</w:t>
                  </w:r>
                </w:p>
              </w:tc>
              <w:tc>
                <w:tcPr>
                  <w:tcW w:type="dxa" w:w="82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内</w:t>
                  </w:r>
                  <w:r>
                    <w:rPr>
                      <w:rFonts w:ascii="仿宋_GB2312" w:hAnsi="仿宋_GB2312" w:cs="仿宋_GB2312" w:eastAsia="仿宋_GB2312"/>
                      <w:sz w:val="24"/>
                      <w:b/>
                    </w:rPr>
                    <w:t>容</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数量（张）</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海报制作</w:t>
                  </w:r>
                </w:p>
              </w:tc>
              <w:tc>
                <w:tcPr>
                  <w:tcW w:type="dxa" w:w="8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内容文案策划</w:t>
                  </w:r>
                </w:p>
                <w:p>
                  <w:pPr>
                    <w:pStyle w:val="null3"/>
                    <w:jc w:val="center"/>
                  </w:pPr>
                  <w:r>
                    <w:rPr>
                      <w:rFonts w:ascii="仿宋_GB2312" w:hAnsi="仿宋_GB2312" w:cs="仿宋_GB2312" w:eastAsia="仿宋_GB2312"/>
                      <w:sz w:val="24"/>
                    </w:rPr>
                    <w:t>设计排版</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交通安全歌曲创作</w:t>
                  </w:r>
                  <w:r>
                    <w:rPr>
                      <w:rFonts w:ascii="仿宋_GB2312" w:hAnsi="仿宋_GB2312" w:cs="仿宋_GB2312" w:eastAsia="仿宋_GB2312"/>
                      <w:sz w:val="24"/>
                      <w:b/>
                    </w:rPr>
                    <w:t>及</w:t>
                  </w:r>
                  <w:r>
                    <w:rPr>
                      <w:rFonts w:ascii="仿宋_GB2312" w:hAnsi="仿宋_GB2312" w:cs="仿宋_GB2312" w:eastAsia="仿宋_GB2312"/>
                      <w:sz w:val="24"/>
                      <w:b/>
                    </w:rPr>
                    <w:t>MV制作</w:t>
                  </w:r>
                  <w:r>
                    <w:rPr>
                      <w:rFonts w:ascii="仿宋_GB2312" w:hAnsi="仿宋_GB2312" w:cs="仿宋_GB2312" w:eastAsia="仿宋_GB2312"/>
                      <w:sz w:val="24"/>
                      <w:b/>
                    </w:rPr>
                    <w:t>技术参数</w:t>
                  </w:r>
                </w:p>
              </w:tc>
            </w:tr>
            <w:tr>
              <w:tc>
                <w:tcPr>
                  <w:tcW w:type="dxa" w:w="90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内</w:t>
                  </w:r>
                  <w:r>
                    <w:rPr>
                      <w:rFonts w:ascii="仿宋_GB2312" w:hAnsi="仿宋_GB2312" w:cs="仿宋_GB2312" w:eastAsia="仿宋_GB2312"/>
                      <w:sz w:val="24"/>
                      <w:b/>
                    </w:rPr>
                    <w:t>容</w:t>
                  </w:r>
                </w:p>
              </w:tc>
              <w:tc>
                <w:tcPr>
                  <w:tcW w:type="dxa" w:w="16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数量（首）</w:t>
                  </w:r>
                </w:p>
              </w:tc>
            </w:tr>
            <w:tr>
              <w:tc>
                <w:tcPr>
                  <w:tcW w:type="dxa" w:w="90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歌词创作、谱曲、编曲、拍摄、制作</w:t>
                  </w:r>
                </w:p>
              </w:tc>
              <w:tc>
                <w:tcPr>
                  <w:tcW w:type="dxa" w:w="16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新媒体作品奖励</w:t>
                  </w:r>
                  <w:r>
                    <w:rPr>
                      <w:rFonts w:ascii="仿宋_GB2312" w:hAnsi="仿宋_GB2312" w:cs="仿宋_GB2312" w:eastAsia="仿宋_GB2312"/>
                      <w:sz w:val="24"/>
                      <w:b/>
                    </w:rPr>
                    <w:t>技术参数</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内容</w:t>
                  </w:r>
                </w:p>
              </w:tc>
              <w:tc>
                <w:tcPr>
                  <w:tcW w:type="dxa" w:w="16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数量（条）</w:t>
                  </w:r>
                </w:p>
              </w:tc>
            </w:tr>
            <w:tr>
              <w:tc>
                <w:tcPr>
                  <w:tcW w:type="dxa" w:w="4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融媒作品年度奖励（图文</w:t>
                  </w:r>
                  <w:r>
                    <w:rPr>
                      <w:rFonts w:ascii="仿宋_GB2312" w:hAnsi="仿宋_GB2312" w:cs="仿宋_GB2312" w:eastAsia="仿宋_GB2312"/>
                      <w:sz w:val="24"/>
                    </w:rPr>
                    <w:t>/视频/</w:t>
                  </w:r>
                </w:p>
                <w:p>
                  <w:pPr>
                    <w:pStyle w:val="null3"/>
                    <w:jc w:val="center"/>
                  </w:pPr>
                  <w:r>
                    <w:rPr>
                      <w:rFonts w:ascii="仿宋_GB2312" w:hAnsi="仿宋_GB2312" w:cs="仿宋_GB2312" w:eastAsia="仿宋_GB2312"/>
                      <w:sz w:val="24"/>
                    </w:rPr>
                    <w:t>直播）</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一等奖</w:t>
                  </w:r>
                </w:p>
              </w:tc>
              <w:tc>
                <w:tcPr>
                  <w:tcW w:type="dxa" w:w="16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452"/>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二等奖</w:t>
                  </w:r>
                </w:p>
              </w:tc>
              <w:tc>
                <w:tcPr>
                  <w:tcW w:type="dxa" w:w="16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452"/>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三等奖</w:t>
                  </w:r>
                </w:p>
              </w:tc>
              <w:tc>
                <w:tcPr>
                  <w:tcW w:type="dxa" w:w="16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452"/>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激励奖</w:t>
                  </w:r>
                </w:p>
              </w:tc>
              <w:tc>
                <w:tcPr>
                  <w:tcW w:type="dxa" w:w="16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108</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标的名称：情景剧与微电影专项摄制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560"/>
              <w:jc w:val="both"/>
            </w:pPr>
            <w:r>
              <w:rPr>
                <w:rFonts w:ascii="仿宋_GB2312" w:hAnsi="仿宋_GB2312" w:cs="仿宋_GB2312" w:eastAsia="仿宋_GB2312"/>
                <w:sz w:val="32"/>
              </w:rPr>
              <w:t>采购需求</w:t>
            </w:r>
          </w:p>
          <w:p>
            <w:pPr>
              <w:pStyle w:val="null3"/>
              <w:ind w:firstLine="560"/>
              <w:jc w:val="both"/>
            </w:pPr>
            <w:r>
              <w:rPr>
                <w:rFonts w:ascii="仿宋_GB2312" w:hAnsi="仿宋_GB2312" w:cs="仿宋_GB2312" w:eastAsia="仿宋_GB2312"/>
                <w:sz w:val="28"/>
              </w:rPr>
              <w:t>1.创作拍摄20集文明交通主题情景剧，每集时长不少于3分钟。</w:t>
            </w:r>
          </w:p>
          <w:p>
            <w:pPr>
              <w:pStyle w:val="null3"/>
              <w:ind w:firstLine="560"/>
              <w:jc w:val="both"/>
            </w:pPr>
            <w:r>
              <w:rPr>
                <w:rFonts w:ascii="仿宋_GB2312" w:hAnsi="仿宋_GB2312" w:cs="仿宋_GB2312" w:eastAsia="仿宋_GB2312"/>
                <w:sz w:val="28"/>
              </w:rPr>
              <w:t>情景剧定位：</w:t>
            </w:r>
            <w:r>
              <w:rPr>
                <w:rFonts w:ascii="仿宋_GB2312" w:hAnsi="仿宋_GB2312" w:cs="仿宋_GB2312" w:eastAsia="仿宋_GB2312"/>
                <w:sz w:val="21"/>
              </w:rPr>
              <w:t xml:space="preserve"> </w:t>
            </w:r>
            <w:r>
              <w:rPr>
                <w:rFonts w:ascii="仿宋_GB2312" w:hAnsi="仿宋_GB2312" w:cs="仿宋_GB2312" w:eastAsia="仿宋_GB2312"/>
                <w:sz w:val="28"/>
              </w:rPr>
              <w:t>轻量化、系列化、生活化。每集围绕一个具体的交通安全知识点或常见交通陋习展开，通过幽默、反转、温情等戏剧手法，让观众在会心一笑中接受教育。</w:t>
            </w:r>
          </w:p>
          <w:p>
            <w:pPr>
              <w:pStyle w:val="null3"/>
              <w:ind w:firstLine="560"/>
              <w:jc w:val="both"/>
            </w:pPr>
            <w:r>
              <w:rPr>
                <w:rFonts w:ascii="仿宋_GB2312" w:hAnsi="仿宋_GB2312" w:cs="仿宋_GB2312" w:eastAsia="仿宋_GB2312"/>
                <w:sz w:val="28"/>
              </w:rPr>
              <w:t>制作标准：</w:t>
            </w:r>
            <w:r>
              <w:rPr>
                <w:rFonts w:ascii="仿宋_GB2312" w:hAnsi="仿宋_GB2312" w:cs="仿宋_GB2312" w:eastAsia="仿宋_GB2312"/>
                <w:sz w:val="21"/>
              </w:rPr>
              <w:t xml:space="preserve"> </w:t>
            </w:r>
            <w:r>
              <w:rPr>
                <w:rFonts w:ascii="仿宋_GB2312" w:hAnsi="仿宋_GB2312" w:cs="仿宋_GB2312" w:eastAsia="仿宋_GB2312"/>
                <w:sz w:val="28"/>
              </w:rPr>
              <w:t>虽为情景剧，但制作需精良，演员表演自然，服化道贴合生活，避免粗制滥造。可考虑打造固定交警或市民角色，形成品牌辨识度。</w:t>
            </w:r>
          </w:p>
          <w:p>
            <w:pPr>
              <w:pStyle w:val="null3"/>
              <w:ind w:firstLine="560"/>
              <w:jc w:val="both"/>
            </w:pPr>
            <w:r>
              <w:rPr>
                <w:rFonts w:ascii="仿宋_GB2312" w:hAnsi="仿宋_GB2312" w:cs="仿宋_GB2312" w:eastAsia="仿宋_GB2312"/>
                <w:sz w:val="28"/>
              </w:rPr>
              <w:t>2.创作拍摄5部文明交通主题微电影，每部时长10至30分钟。通过剧情化、艺术化手段，生动演绎交通法规、安全知识及交警故事，提升宣传的感染力和传播力。</w:t>
            </w:r>
          </w:p>
          <w:p>
            <w:pPr>
              <w:pStyle w:val="null3"/>
              <w:ind w:firstLine="560"/>
              <w:jc w:val="both"/>
            </w:pPr>
            <w:r>
              <w:rPr>
                <w:rFonts w:ascii="仿宋_GB2312" w:hAnsi="仿宋_GB2312" w:cs="仿宋_GB2312" w:eastAsia="仿宋_GB2312"/>
                <w:sz w:val="28"/>
              </w:rPr>
              <w:t>微电影定位：</w:t>
            </w:r>
            <w:r>
              <w:rPr>
                <w:rFonts w:ascii="仿宋_GB2312" w:hAnsi="仿宋_GB2312" w:cs="仿宋_GB2312" w:eastAsia="仿宋_GB2312"/>
                <w:sz w:val="21"/>
              </w:rPr>
              <w:t xml:space="preserve"> </w:t>
            </w:r>
            <w:r>
              <w:rPr>
                <w:rFonts w:ascii="仿宋_GB2312" w:hAnsi="仿宋_GB2312" w:cs="仿宋_GB2312" w:eastAsia="仿宋_GB2312"/>
                <w:sz w:val="28"/>
              </w:rPr>
              <w:t>精品化、深度化、情感化。侧重讲述交警与群众之间的感人故事，深度剖析交通事故对个人、家庭、社会造成的深远影响，引发深刻思考。</w:t>
            </w:r>
          </w:p>
          <w:p>
            <w:pPr>
              <w:pStyle w:val="null3"/>
              <w:ind w:firstLine="560"/>
              <w:jc w:val="both"/>
            </w:pPr>
            <w:r>
              <w:rPr>
                <w:rFonts w:ascii="仿宋_GB2312" w:hAnsi="仿宋_GB2312" w:cs="仿宋_GB2312" w:eastAsia="仿宋_GB2312"/>
                <w:sz w:val="28"/>
              </w:rPr>
              <w:t>制作要求：需有完整的剧本创作、专业的导演和拍摄团队、符合电影感的镜头语言和后期制作。成片应达到参加行业影展或在高标准平台展播的水平。</w:t>
            </w:r>
          </w:p>
          <w:p>
            <w:pPr>
              <w:pStyle w:val="null3"/>
              <w:ind w:firstLine="280"/>
              <w:jc w:val="both"/>
            </w:pPr>
            <w:r>
              <w:rPr>
                <w:rFonts w:ascii="仿宋_GB2312" w:hAnsi="仿宋_GB2312" w:cs="仿宋_GB2312" w:eastAsia="仿宋_GB2312"/>
                <w:sz w:val="28"/>
              </w:rPr>
              <w:t>3.</w:t>
            </w:r>
            <w:r>
              <w:rPr>
                <w:rFonts w:ascii="仿宋_GB2312" w:hAnsi="仿宋_GB2312" w:cs="仿宋_GB2312" w:eastAsia="仿宋_GB2312"/>
                <w:sz w:val="28"/>
              </w:rPr>
              <w:t>技术参数</w:t>
            </w:r>
          </w:p>
          <w:p>
            <w:pPr>
              <w:pStyle w:val="null3"/>
              <w:jc w:val="both"/>
            </w:pPr>
            <w:r>
              <w:rPr>
                <w:rFonts w:ascii="仿宋_GB2312" w:hAnsi="仿宋_GB2312" w:cs="仿宋_GB2312" w:eastAsia="仿宋_GB2312"/>
                <w:sz w:val="21"/>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636"/>
              <w:gridCol w:w="636"/>
              <w:gridCol w:w="641"/>
              <w:gridCol w:w="641"/>
            </w:tblGrid>
            <w:tr>
              <w:tc>
                <w:tcPr>
                  <w:tcW w:type="dxa" w:w="255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情景剧拍摄制作技术参数</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内</w:t>
                  </w:r>
                  <w:r>
                    <w:rPr>
                      <w:rFonts w:ascii="仿宋_GB2312" w:hAnsi="仿宋_GB2312" w:cs="仿宋_GB2312" w:eastAsia="仿宋_GB2312"/>
                      <w:sz w:val="24"/>
                      <w:b/>
                    </w:rPr>
                    <w:t>容</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数量（部）</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时长</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文明交通情景剧</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拍摄、制作</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每集时长不少于</w:t>
                  </w:r>
                  <w:r>
                    <w:rPr>
                      <w:rFonts w:ascii="仿宋_GB2312" w:hAnsi="仿宋_GB2312" w:cs="仿宋_GB2312" w:eastAsia="仿宋_GB2312"/>
                      <w:sz w:val="24"/>
                    </w:rPr>
                    <w:t>3分钟</w:t>
                  </w:r>
                </w:p>
              </w:tc>
            </w:tr>
            <w:tr>
              <w:tc>
                <w:tcPr>
                  <w:tcW w:type="dxa" w:w="25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微电影拍摄制作技术参数</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内</w:t>
                  </w:r>
                  <w:r>
                    <w:rPr>
                      <w:rFonts w:ascii="仿宋_GB2312" w:hAnsi="仿宋_GB2312" w:cs="仿宋_GB2312" w:eastAsia="仿宋_GB2312"/>
                      <w:sz w:val="24"/>
                      <w:b/>
                    </w:rPr>
                    <w:t>容</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数量（部）</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时长</w:t>
                  </w:r>
                </w:p>
              </w:tc>
            </w:tr>
            <w:tr>
              <w:tc>
                <w:tcPr>
                  <w:tcW w:type="dxa" w:w="6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文明交通微电影</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策划、拍摄、制作</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每集时长</w:t>
                  </w:r>
                  <w:r>
                    <w:rPr>
                      <w:rFonts w:ascii="仿宋_GB2312" w:hAnsi="仿宋_GB2312" w:cs="仿宋_GB2312" w:eastAsia="仿宋_GB2312"/>
                      <w:sz w:val="24"/>
                    </w:rPr>
                    <w:t>10至30分钟</w:t>
                  </w:r>
                </w:p>
              </w:tc>
            </w:tr>
            <w:tr>
              <w:tc>
                <w:tcPr>
                  <w:tcW w:type="dxa" w:w="636"/>
                  <w:vMerge/>
                  <w:tcBorders>
                    <w:top w:val="non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道具</w:t>
                  </w:r>
                </w:p>
              </w:tc>
              <w:tc>
                <w:tcPr>
                  <w:tcW w:type="dxa" w:w="12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满足采购人采购需求要求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满足采购人采购需求要求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满足本项目所有要求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满足本项目所有要求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2026年12月1日至2027年11月30日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2026年12月1日至2027年11月30日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合同文本、合同附件、招标文件、投标文件国内相应的标准、规范。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合同文本、合同附件、招标文件、投标文件国内相应的标准、规范。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进度款，剩余合同总额的20％，待项目验收合格后一次性无息支付，达到付款条件起30个工作日内，支付合同总金额的20.0%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进度款，剩余合同总额的20％，待项目验收合格后一次性无息支付，达到付款条件起30个工作日内，支付合同总金额的20.0%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2.本合同签订后甲乙双方不得单方终止合同，如乙方违约，应退还预付款，并赔偿给甲方实际造成的损失；如甲方违约，乙方收取的预付款不予退还。 3.如因乙方存在以下行为，甲方有权终止合同，依法向乙方进行经济索赔，并报请政府采购监督管理机关进行相应的行政处罚。 ① 存在弄虚作假、传递虚假信息等违法违规行为； ② 网络或媒体报道存在不规范操作行为； ③ 未全面履行合同义务或者发生违约。 4.甲方违约的，应当赔偿给乙方造成的直接经济损失。 5.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 1.在执行本合同中发生的或与本合同有关的争端，双方应通过友 好协商解决，经协商在30天内不能达成协议时，则采取以下第 1 种方式解决争议： (1）向甲方所在地有管辖权的人民法院提起诉讼； (2）向仲裁委员会按其仲裁规则申请仲裁。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1.甲乙双方必须遵守本合同并执行合同中的各项规定，保证本合同的正常履行。 2.本合同签订后甲乙双方不得单方终止合同，如乙方违约，应退还预付款，并赔偿给甲方实际造成的损失；如甲方违约，乙方收取的预付款不予退还。 3.如因乙方存在以下行为，甲方有权终止合同，依法向乙方进行经济索赔，并报请政府采购监督管理机关进行相应的行政处罚。 ① 存在弄虚作假、传递虚假信息等违法违规行为； ② 网络或媒体报道存在不规范操作行为； ③ 未全面履行合同义务或者发生违约。 4.甲方违约的，应当赔偿给乙方造成的直接经济损失。 5.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 1.在执行本合同中发生的或与本合同有关的争端，双方应通过友 好协商解决，经协商在30天内不能达成协议时，则采取以下第 1 种方式解决争议： (1）向甲方所在地有管辖权的人民法院提起诉讼； (2）向仲裁委员会按其仲裁规则申请仲裁。</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 采购包2：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开标一览表.docx 开标一览表 业绩.docx 人员配置表.docx 中小企业声明函 商务应答表 服务内容及服务要求应答表 分项报价表.docx 投标函 残疾人福利性单位声明函 保证金交纳凭证.docx 服务方案 标的清单 投标人资格证明文件.docx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投标人资格证明文件.docx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供应商的投标报价未超出采购预算或最高限价。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投标有效期符合招标文件要求的（提交投标文件的截止之日起不少于90天）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是否满足招标文件要求</w:t>
            </w:r>
          </w:p>
        </w:tc>
        <w:tc>
          <w:tcPr>
            <w:tcW w:type="dxa" w:w="1661"/>
          </w:tcPr>
          <w:p>
            <w:pPr>
              <w:pStyle w:val="null3"/>
            </w:pPr>
            <w:r>
              <w:rPr>
                <w:rFonts w:ascii="仿宋_GB2312" w:hAnsi="仿宋_GB2312" w:cs="仿宋_GB2312" w:eastAsia="仿宋_GB2312"/>
              </w:rPr>
              <w:t>保证金交纳凭证.docx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开标一览表.docx 开标一览表 业绩.docx 人员配置表.docx 中小企业声明函 商务应答表 服务内容及服务要求应答表 分项报价表.docx 投标函 残疾人福利性单位声明函 保证金交纳凭证.docx 服务方案 标的清单 投标人资格证明文件.docx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投标人资格证明文件.docx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供应商的投标报价未超出采购预算或最高限价。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投标有效期符合招标文件要求的（提交投标文件的截止之日起不少于90天）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是否满足招标文件要求</w:t>
            </w:r>
          </w:p>
        </w:tc>
        <w:tc>
          <w:tcPr>
            <w:tcW w:type="dxa" w:w="1661"/>
          </w:tcPr>
          <w:p>
            <w:pPr>
              <w:pStyle w:val="null3"/>
            </w:pPr>
            <w:r>
              <w:rPr>
                <w:rFonts w:ascii="仿宋_GB2312" w:hAnsi="仿宋_GB2312" w:cs="仿宋_GB2312" w:eastAsia="仿宋_GB2312"/>
              </w:rPr>
              <w:t>保证金交纳凭证.docx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完善的服务方案，方案内容包括：①项目整体技术方案及主要技术措施；②整体服务计划；③项目推进、运行及开展的方案；④工作计划及工作节点安排；⑤拟投入设备（包括拍摄、制作、剪辑等专业设备，提供清单，并体现设备名称、用途及性能说明）； 以上5点的方案内容全面、详细，完全满足项目需求且有利于项目实施的，得10.0分。每有一项内容缺失的扣2.0分，每有一项存在缺陷扣1.0分，扣完为止。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根据供应商针对本项目提供运行与推广实施方案进行评审，方案内容至少包括：①运行保障；②宣传推广；③质量保障；④、安全保障；⑤舆论防控。以上5点的方案内容全面、详细，完全满足项目需求且有利于项目实施的，得10.0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供应商针对本项目提供完善的管理制度，内容包括：①有完善的管理本项目服务的规章制度；②有明确的项目管理职责与分工。 以上2点的方案内容全面、详细，完全满足项目需求且有利于项目实施的，得4.0分。每有一项内容缺失的扣2.0分，每有一项存在缺陷扣1.0分，扣完为止。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供应商针对本项目提供应急方案，包括：①接到突发任务或不定时紧急任务的响应能力；②突发事件应急措施；③突发事件防范措施；④突发事件应急处理小组及人员分工。 以上4点的方案内容全面、详细，完全满足项目需求且有利于项目实施的，得8.0分。每有一项内容缺失的扣2.0分，每有一项存在缺陷扣1.0分，扣完为止。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供应商针对本项目提供具体可行的售后服务方案，包括：①售后服务要求范围；②售后服务期限及响应时间；③应急处理措施、故障处理及补救措施；④服务承诺。 以上4点的方案内容全面、详细，完全满足项目需求且有利于项目实施的，得8.0分。每有一项内容缺失的扣2.0分，每有一项存在缺陷扣1.0分，扣完为止。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接到采购⼈临时任务时，承诺能组织团队在4⼩时内到达并开展服务的可得5分，承诺能组织团队在6⼩时内到达并开展服务的 可得4分，承诺能组织团队在8⼩时内到达并开展服务的可得3分，⽆承诺不得分。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针对本项目的特点提出科学、合理、严谨、具有可行性的合理化建议得3分；未提供不得分。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1.项目负责人：具有10年（含10年）以上相关工作经历得2分，具有5年（含5年）以上相关工作经历得1分。 2.其他团队人员：文字编辑（记者）1人，视频摄像师1人，视频后期包装师1人，平面设计师（视觉传达） 1人，新媒体运营专员2人，以上团队人员每提供1人得1分，最高得6分。 3.团队人员持有新闻采编培训合格证明或记者从业相关培训证书或相关专业中级以上职称证书:每1人得2分，最高得4分。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供应商提供2023年1月1日至今（以合同签订日期为准）类似项目业绩合同，每份计3分，满分15分。 注：需同时提供合同复印件加盖公章为准。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供应商提供针对本项目提供可行实施方案，方案内容至少包括①总体项目规划；②视频的分集简介、创意、风格、表现形式；③项目实施准备及实施进度计划；④质量控制方案；⑤风险应急预案及应对措施。 以上5点的方案内容全面、详细，完全满足项目需求且有利于项目实施的，得10.0分。每有一项内容缺失的扣2.0分，每有一项存在缺陷扣1.0分，扣完为止。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视频制作实施方案</w:t>
            </w:r>
          </w:p>
        </w:tc>
        <w:tc>
          <w:tcPr>
            <w:tcW w:type="dxa" w:w="2492"/>
          </w:tcPr>
          <w:p>
            <w:pPr>
              <w:pStyle w:val="null3"/>
            </w:pPr>
            <w:r>
              <w:rPr>
                <w:rFonts w:ascii="仿宋_GB2312" w:hAnsi="仿宋_GB2312" w:cs="仿宋_GB2312" w:eastAsia="仿宋_GB2312"/>
              </w:rPr>
              <w:t>供应商提供针对本项目提供可行实施方案，方案内容至少包括①现场拍摄；②视频剪辑；③后期制作；④软件应用不涉及侵犯第三方知识产权。 以上4点的方案内容全面、详细，完全满足项目需求且有利于项目实施的，得8.0分。每有一项内容缺失的扣2.0分，每有一项存在缺陷扣1.0分，扣完为止。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供应商提供对本项目的项目理解，内容至少包括 ①项目背景分析；②项目目标分析；③项目重点、难点分析。 以上3点的方案内容全面、详细，完全满足项目需求且有利于项目实施的，得6.0分。每有一项内容缺失的扣2.0分，每有一项存在缺陷扣1.0分，扣完为止。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服务进度及保障措施</w:t>
            </w:r>
          </w:p>
        </w:tc>
        <w:tc>
          <w:tcPr>
            <w:tcW w:type="dxa" w:w="2492"/>
          </w:tcPr>
          <w:p>
            <w:pPr>
              <w:pStyle w:val="null3"/>
            </w:pPr>
            <w:r>
              <w:rPr>
                <w:rFonts w:ascii="仿宋_GB2312" w:hAnsi="仿宋_GB2312" w:cs="仿宋_GB2312" w:eastAsia="仿宋_GB2312"/>
              </w:rPr>
              <w:t>供应商提供对本项目的服务进度及保障措施，内容至少包括 ①服务进度安排； ②各环节工作程序衔接与安排； ③各环节保障措施及备选方案； ④处罚措施。 以上4点的方案内容全面、详细，完全满足项目需求且有利于项目实施的，得8.0分。每有一项内容缺失的扣2.0分，每有一项存在缺陷扣1.0分，扣完为止。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供应商提供对本项目的服务能力，内容至少包括 ①有完善的售后服务体系及方案； ②售后应急保障措施； ③售后服务管理制度及售后人力资源配置； ④响应方式及响应时间等。 以上4点的方案内容全面、详细，完全满足项目需求且有利于项目实施的，得8.0分。每有一项内容缺失的扣2.0分，每有一项存在缺陷扣1.0分，扣完为止。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接到采购⼈临时任务时，承诺能组织团队在4⼩时内到达并开展服务的可得5分，承诺能组织团队在6⼩时内到达并开展服务的 可得4分，承诺能组织团队在8⼩时内到达并开展服务的可得3分，⽆承诺不得分。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针对本项目的特点提出科学、合理、严谨、具有可行性的合理化建议得3分；未提供不得分。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1.项目负责人：具有10年（含10年）以上相关工作经历得2分，具有5年（含5年）以上相关工作经历得1分。 2.其他团队人员：包括拍摄1人、制作1人、演员1人，以上团队人员每提供1人得2分，最高得6分。 3.团队人员持有新闻采编培训合格证明或记者从业相关培训证书或相关专业中级以上职称证书:每1人得2分，最高得4分。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供应商提供2023年1月1日至今（以合同签订日期为准）类似项目业绩合同，每份计3分，满分15分。 注：需同时提供合同复印件加盖公章为准。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详见附件：人员配置表.docx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详见附件：人员配置表.docx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