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60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600"/>
        <w:gridCol w:w="963"/>
        <w:gridCol w:w="7399"/>
      </w:tblGrid>
      <w:tr w14:paraId="4E6C81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  <w:vAlign w:val="center"/>
          </w:tcPr>
          <w:p w14:paraId="71C40419">
            <w:pPr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Hans" w:bidi="ar-SA"/>
              </w:rPr>
              <w:t>参数性质</w:t>
            </w:r>
          </w:p>
        </w:tc>
        <w:tc>
          <w:tcPr>
            <w:tcW w:w="600" w:type="dxa"/>
            <w:vAlign w:val="center"/>
          </w:tcPr>
          <w:p w14:paraId="3160BC0E">
            <w:pPr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Hans" w:bidi="ar-SA"/>
              </w:rPr>
              <w:t>序号</w:t>
            </w:r>
          </w:p>
        </w:tc>
        <w:tc>
          <w:tcPr>
            <w:tcW w:w="963" w:type="dxa"/>
            <w:vAlign w:val="center"/>
          </w:tcPr>
          <w:p w14:paraId="6F628E74">
            <w:pPr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Hans" w:bidi="ar-SA"/>
              </w:rPr>
              <w:t>技术要求名称</w:t>
            </w:r>
          </w:p>
        </w:tc>
        <w:tc>
          <w:tcPr>
            <w:tcW w:w="7399" w:type="dxa"/>
            <w:vAlign w:val="center"/>
          </w:tcPr>
          <w:p w14:paraId="5AC0379A">
            <w:pPr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Hans" w:bidi="ar-SA"/>
              </w:rPr>
              <w:t>技术参数与性能指标</w:t>
            </w:r>
          </w:p>
        </w:tc>
      </w:tr>
      <w:tr w14:paraId="3F71BF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  <w:vAlign w:val="center"/>
          </w:tcPr>
          <w:p w14:paraId="695D489E">
            <w:pPr>
              <w:snapToGrid w:val="0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600" w:type="dxa"/>
            <w:vAlign w:val="center"/>
          </w:tcPr>
          <w:p w14:paraId="60D0EBD2">
            <w:pPr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Hans" w:bidi="ar-SA"/>
              </w:rPr>
              <w:t>1</w:t>
            </w:r>
          </w:p>
        </w:tc>
        <w:tc>
          <w:tcPr>
            <w:tcW w:w="963" w:type="dxa"/>
            <w:vAlign w:val="center"/>
          </w:tcPr>
          <w:p w14:paraId="0CCAB731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lang w:eastAsia="zh-CN"/>
              </w:rPr>
            </w:pPr>
          </w:p>
          <w:p w14:paraId="0A6FFD4A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lang w:val="en-US" w:eastAsia="zh-CN"/>
              </w:rPr>
              <w:t>2026年西安市综合交通信息服务平台业务运行保障运维项目</w:t>
            </w:r>
          </w:p>
        </w:tc>
        <w:tc>
          <w:tcPr>
            <w:tcW w:w="7399" w:type="dxa"/>
            <w:vAlign w:val="center"/>
          </w:tcPr>
          <w:p w14:paraId="407AEAF6">
            <w:pPr>
              <w:adjustRightInd w:val="0"/>
              <w:snapToGrid w:val="0"/>
              <w:spacing w:line="360" w:lineRule="auto"/>
              <w:ind w:firstLine="402" w:firstLineChars="200"/>
              <w:jc w:val="center"/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  <w:t>采购内容：</w:t>
            </w:r>
          </w:p>
          <w:p w14:paraId="0B8A286A">
            <w:pPr>
              <w:adjustRightInd w:val="0"/>
              <w:snapToGrid w:val="0"/>
              <w:spacing w:line="360" w:lineRule="auto"/>
              <w:ind w:firstLine="402" w:firstLineChars="200"/>
              <w:jc w:val="both"/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lang w:val="en-US" w:eastAsia="zh-CN"/>
              </w:rPr>
              <w:t>1.</w:t>
            </w:r>
            <w:r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  <w:t>交通路况数据采购需求</w:t>
            </w:r>
          </w:p>
          <w:tbl>
            <w:tblPr>
              <w:tblStyle w:val="2"/>
              <w:tblW w:w="7028" w:type="dxa"/>
              <w:tblInd w:w="15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81"/>
              <w:gridCol w:w="1079"/>
              <w:gridCol w:w="5368"/>
            </w:tblGrid>
            <w:tr w14:paraId="763F98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8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BB1FE6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序号</w:t>
                  </w:r>
                </w:p>
              </w:tc>
              <w:tc>
                <w:tcPr>
                  <w:tcW w:w="10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AF9540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服务名称</w:t>
                  </w:r>
                </w:p>
              </w:tc>
              <w:tc>
                <w:tcPr>
                  <w:tcW w:w="536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C34213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firstLine="400" w:firstLineChars="200"/>
                    <w:jc w:val="center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服务内容</w:t>
                  </w:r>
                </w:p>
              </w:tc>
            </w:tr>
            <w:tr w14:paraId="435C9A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8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4DBE5D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33317D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交通路况</w:t>
                  </w:r>
                </w:p>
              </w:tc>
              <w:tc>
                <w:tcPr>
                  <w:tcW w:w="53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4B234D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1.提供西安市（含西咸新区）城市实时路况信息数据；</w:t>
                  </w:r>
                </w:p>
                <w:p w14:paraId="25700F5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2.要求提供基于道路路链的路况状态发布，包括路况状态（畅通/缓行/拥堵等）、平均速度、平均通过时间等信息；</w:t>
                  </w:r>
                </w:p>
                <w:p w14:paraId="7AAD31B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3.要求1分钟更新一次数据。</w:t>
                  </w:r>
                </w:p>
              </w:tc>
            </w:tr>
            <w:tr w14:paraId="164B6C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8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9587A4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B49514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交通事件</w:t>
                  </w:r>
                </w:p>
              </w:tc>
              <w:tc>
                <w:tcPr>
                  <w:tcW w:w="53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660B10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1.提供西安市（含西咸新区）生效中的实时交通事件数据；</w:t>
                  </w:r>
                </w:p>
                <w:p w14:paraId="41AC770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2.数据来源包括互联网数据、权威机构发布及用户上报数据等；</w:t>
                  </w:r>
                </w:p>
                <w:p w14:paraId="6837A7B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3.要求2分钟更新一次数据。</w:t>
                  </w:r>
                </w:p>
              </w:tc>
            </w:tr>
            <w:tr w14:paraId="0A4873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8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D1EBA7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D5D03A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center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西安市全国交通健康指数排名</w:t>
                  </w:r>
                </w:p>
              </w:tc>
              <w:tc>
                <w:tcPr>
                  <w:tcW w:w="53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8C8D26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1.提供西安市全国交通健康指数排名数据；</w:t>
                  </w:r>
                </w:p>
                <w:p w14:paraId="4FE87A3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根据互联网交通大数据，计算区域时间、空间、效率等维度的6项交通评价指标（路网高延时运行时间占比、路网高峰行程延时指数、路网高峰拥堵路段里程比、常发拥堵路段里程比、高峰平均速度、道路运行速度偏差率），再由6项指标得出区域交通健康指数；</w:t>
                  </w:r>
                </w:p>
                <w:p w14:paraId="2E4B40E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3.要求10分钟更新一次数据。</w:t>
                  </w:r>
                </w:p>
              </w:tc>
            </w:tr>
            <w:tr w14:paraId="00B018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8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1FB59C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B4828E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技术支持及运维服务</w:t>
                  </w:r>
                </w:p>
              </w:tc>
              <w:tc>
                <w:tcPr>
                  <w:tcW w:w="53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869A0F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乙方应提供以下技术支持服务：</w:t>
                  </w:r>
                </w:p>
                <w:p w14:paraId="383F2F8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1.原始数据的收集与加工。</w:t>
                  </w:r>
                </w:p>
                <w:p w14:paraId="2EABB72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2.数据接口的开发。</w:t>
                  </w:r>
                </w:p>
                <w:p w14:paraId="780A65C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3.根据采购路况数据，对西安市高速公路、国省干线、城市道路构建拥堵预测模型</w:t>
                  </w:r>
                  <w:r>
                    <w:rPr>
                      <w:rFonts w:hint="eastAsia"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  <w:lang w:eastAsia="zh-CN"/>
                    </w:rPr>
                    <w:t>完善优化</w:t>
                  </w: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。</w:t>
                  </w:r>
                </w:p>
                <w:p w14:paraId="05CC997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4.安排专人负责传输数据的更新及维护。</w:t>
                  </w:r>
                </w:p>
                <w:p w14:paraId="7F026E8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5.安排专人向甲方技术人员提供相应技术支持服务。</w:t>
                  </w:r>
                </w:p>
              </w:tc>
            </w:tr>
          </w:tbl>
          <w:p w14:paraId="4145E2F7">
            <w:pPr>
              <w:adjustRightInd w:val="0"/>
              <w:snapToGrid w:val="0"/>
              <w:spacing w:line="360" w:lineRule="auto"/>
              <w:ind w:firstLine="402" w:firstLineChars="200"/>
              <w:jc w:val="both"/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0"/>
                <w:szCs w:val="20"/>
                <w:lang w:val="en-US" w:eastAsia="zh-CN"/>
              </w:rPr>
              <w:t>2.</w:t>
            </w:r>
            <w:r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  <w:t>区域客流数据采购需求</w:t>
            </w:r>
          </w:p>
          <w:tbl>
            <w:tblPr>
              <w:tblStyle w:val="2"/>
              <w:tblW w:w="7028" w:type="dxa"/>
              <w:tblInd w:w="15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98"/>
              <w:gridCol w:w="1073"/>
              <w:gridCol w:w="3920"/>
              <w:gridCol w:w="1437"/>
            </w:tblGrid>
            <w:tr w14:paraId="27699F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FF26B3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序号</w:t>
                  </w:r>
                </w:p>
              </w:tc>
              <w:tc>
                <w:tcPr>
                  <w:tcW w:w="107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4AB57F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服务名称</w:t>
                  </w:r>
                </w:p>
              </w:tc>
              <w:tc>
                <w:tcPr>
                  <w:tcW w:w="39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88C855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服务内容</w:t>
                  </w:r>
                </w:p>
              </w:tc>
              <w:tc>
                <w:tcPr>
                  <w:tcW w:w="143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19645A8">
                  <w:pPr>
                    <w:adjustRightInd w:val="0"/>
                    <w:snapToGrid w:val="0"/>
                    <w:spacing w:line="360" w:lineRule="auto"/>
                    <w:ind w:firstLine="400" w:firstLineChars="200"/>
                    <w:jc w:val="center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备注</w:t>
                  </w:r>
                </w:p>
              </w:tc>
            </w:tr>
            <w:tr w14:paraId="0598F5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A4CBCF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9E97CC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区域实时人数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7F42C0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1.提供西安市重点区域实时人数数据。</w:t>
                  </w:r>
                </w:p>
                <w:p w14:paraId="0279099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2.要求：实时监测，每5分钟更新一次数据。</w:t>
                  </w:r>
                </w:p>
              </w:tc>
              <w:tc>
                <w:tcPr>
                  <w:tcW w:w="143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5C1657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（1）根据采购方业务需求，提供西安市10个重点区域数据资源。</w:t>
                  </w:r>
                </w:p>
                <w:p w14:paraId="26DED87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（2）区域面积大小在0.02～9平方公里之间。</w:t>
                  </w:r>
                </w:p>
                <w:p w14:paraId="50A31C6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（3）提供API数据接口和接口说明文档。</w:t>
                  </w:r>
                </w:p>
              </w:tc>
            </w:tr>
            <w:tr w14:paraId="6A9CA9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D85F4D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48FDEA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区域实时人流（流入）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65752D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1.提供西安市重点区域实时流入人次数据。</w:t>
                  </w:r>
                </w:p>
                <w:p w14:paraId="5544F3F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2.要求：实时监测，每5分钟更新一次数据。</w:t>
                  </w:r>
                </w:p>
              </w:tc>
              <w:tc>
                <w:tcPr>
                  <w:tcW w:w="143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E21C2C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</w:p>
              </w:tc>
            </w:tr>
            <w:tr w14:paraId="062CD1C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20FE94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5F1A26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区域实时人流（流出）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542ECE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1.提供西安市重点区域实时流出人次数据。</w:t>
                  </w:r>
                </w:p>
                <w:p w14:paraId="3AD8227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2.要求：实时监测，每5分钟更新一次数据。</w:t>
                  </w:r>
                </w:p>
              </w:tc>
              <w:tc>
                <w:tcPr>
                  <w:tcW w:w="143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978326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</w:p>
              </w:tc>
            </w:tr>
            <w:tr w14:paraId="3A5F23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EF34C6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8338F4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区域实时累计人流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E6EEB3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1.提供西安市重点区域内人员流入</w:t>
                  </w:r>
                  <w:r>
                    <w:rPr>
                      <w:rFonts w:hint="eastAsia"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  <w:lang w:eastAsia="zh-CN"/>
                    </w:rPr>
                    <w:t>、</w:t>
                  </w: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流出总人次累计数据。</w:t>
                  </w:r>
                </w:p>
                <w:p w14:paraId="6B8D348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2.要求：每60分钟更新一次数据。</w:t>
                  </w:r>
                </w:p>
                <w:p w14:paraId="64029F0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3.该数据需每天统计去重后的人数。</w:t>
                  </w:r>
                </w:p>
              </w:tc>
              <w:tc>
                <w:tcPr>
                  <w:tcW w:w="143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32CD23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</w:p>
              </w:tc>
            </w:tr>
            <w:tr w14:paraId="1F6248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3E0F4E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EEAA2F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区域实时人口画像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6D5A78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1.提供西安市重点区域的人群画像分布数据，画像内容包括：性别，年龄，学历，交通方式，全国城市来源，本市内各行政区来源。</w:t>
                  </w:r>
                </w:p>
                <w:p w14:paraId="5DCA99D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2.要求：每60分钟更新一次数据。</w:t>
                  </w:r>
                </w:p>
              </w:tc>
              <w:tc>
                <w:tcPr>
                  <w:tcW w:w="143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95ABDE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</w:p>
              </w:tc>
            </w:tr>
            <w:tr w14:paraId="2BAAF0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7454D2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9D5455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区域实时人口画像(时间段累计)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30AFC9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1.按时间段累计提供西安市重点区域的人群画像分布数据，画像内容包括：性别，年龄，学历，交通方式，全国城市来源，本市内各行政区来源。</w:t>
                  </w:r>
                </w:p>
                <w:p w14:paraId="38D3A16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2.要求：每60分钟更新一次数据。</w:t>
                  </w:r>
                </w:p>
              </w:tc>
              <w:tc>
                <w:tcPr>
                  <w:tcW w:w="143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0CD84E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</w:p>
              </w:tc>
            </w:tr>
            <w:tr w14:paraId="3D2B6F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5B9B8D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3A7197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区域实时人口热力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4A6132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1.提供西安市重点区域内实时人口热力图数据。</w:t>
                  </w:r>
                </w:p>
                <w:p w14:paraId="62B80F4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2.要求：以10×10米的网格区分交通枢纽内人员聚集的分布情况，每5分钟更新一次数据。</w:t>
                  </w:r>
                </w:p>
              </w:tc>
              <w:tc>
                <w:tcPr>
                  <w:tcW w:w="143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CEA92D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</w:p>
              </w:tc>
            </w:tr>
            <w:tr w14:paraId="0970D9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7DE1D5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E57326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实时区域信息查询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463400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提供西安市重点区域基础信息，围栏坐标等数据。根据提供的区域，获取区域的中心点、名称、边界、面积等信息。</w:t>
                  </w:r>
                </w:p>
              </w:tc>
              <w:tc>
                <w:tcPr>
                  <w:tcW w:w="143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98F457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</w:p>
              </w:tc>
            </w:tr>
            <w:tr w14:paraId="4580C6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EB921D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585759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区划迁徙总览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AE4F95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提供指定日期内的西安市与全国各地市（港澳台除外）之间的迁入、迁出人数及人群画像。</w:t>
                  </w:r>
                </w:p>
              </w:tc>
              <w:tc>
                <w:tcPr>
                  <w:tcW w:w="14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A60F0B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提供API数据接口和接口说明文档</w:t>
                  </w:r>
                </w:p>
              </w:tc>
            </w:tr>
            <w:tr w14:paraId="513B53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412303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16FBFB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技术支持及运维服务</w:t>
                  </w:r>
                </w:p>
              </w:tc>
              <w:tc>
                <w:tcPr>
                  <w:tcW w:w="39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7E1A89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乙方应提供以下技术支持服务：</w:t>
                  </w:r>
                </w:p>
                <w:p w14:paraId="42EC18B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1.原始数据的收集与加工。</w:t>
                  </w:r>
                </w:p>
                <w:p w14:paraId="6F3CE9A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2.数据接口的开发。</w:t>
                  </w:r>
                </w:p>
                <w:p w14:paraId="2CF7917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3.根据采购客流数据，结合西安市综合交通信息服务平台汇聚数据，对全市市域、重点交通枢纽场站（西安北站、西安站、</w:t>
                  </w:r>
                  <w:r>
                    <w:rPr>
                      <w:rFonts w:hint="eastAsia"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  <w:lang w:eastAsia="zh-CN"/>
                    </w:rPr>
                    <w:t>西安东站、</w:t>
                  </w: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咸阳国际机场</w:t>
                  </w:r>
                  <w:r>
                    <w:rPr>
                      <w:rFonts w:hint="eastAsia"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  <w:lang w:eastAsia="zh-CN"/>
                    </w:rPr>
                    <w:t>等</w:t>
                  </w: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）及热点区域（钟楼、大雁塔、大唐芙蓉园、秦始皇兵马俑博物馆、华清池等）客流预测模型</w:t>
                  </w:r>
                  <w:r>
                    <w:rPr>
                      <w:rFonts w:hint="eastAsia"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  <w:lang w:eastAsia="zh-CN"/>
                    </w:rPr>
                    <w:t>完善优化</w:t>
                  </w: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。</w:t>
                  </w:r>
                </w:p>
                <w:p w14:paraId="5D08F03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4.安排专人负责传输数据的更新及维护。</w:t>
                  </w:r>
                </w:p>
                <w:p w14:paraId="2C0B8A4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jc w:val="both"/>
                    <w:textAlignment w:val="auto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  <w:t>5.安排专人向甲方技术人员提供相应技术支持服务。</w:t>
                  </w:r>
                </w:p>
              </w:tc>
              <w:tc>
                <w:tcPr>
                  <w:tcW w:w="14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1A918DC">
                  <w:pPr>
                    <w:adjustRightInd w:val="0"/>
                    <w:snapToGrid w:val="0"/>
                    <w:spacing w:line="360" w:lineRule="auto"/>
                    <w:ind w:firstLine="400" w:firstLineChars="200"/>
                    <w:jc w:val="center"/>
                    <w:rPr>
                      <w:rFonts w:ascii="仿宋" w:hAnsi="仿宋" w:eastAsia="仿宋" w:cs="仿宋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EF81B20">
            <w:pPr>
              <w:adjustRightInd w:val="0"/>
              <w:snapToGrid w:val="0"/>
              <w:spacing w:line="360" w:lineRule="auto"/>
              <w:ind w:firstLine="402" w:firstLineChars="200"/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  <w:t>服务要求：</w:t>
            </w:r>
          </w:p>
          <w:p w14:paraId="599CC7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ascii="仿宋" w:hAnsi="仿宋" w:eastAsia="仿宋" w:cs="仿宋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仿宋" w:hAnsi="仿宋" w:eastAsia="仿宋" w:cs="仿宋"/>
                <w:b w:val="0"/>
                <w:bCs w:val="0"/>
                <w:color w:val="auto"/>
                <w:sz w:val="20"/>
                <w:szCs w:val="20"/>
              </w:rPr>
              <w:t>1、</w:t>
            </w:r>
            <w:r>
              <w:rPr>
                <w:rFonts w:ascii="仿宋_GB2312" w:hAnsi="仿宋_GB2312" w:eastAsia="仿宋_GB2312" w:cs="仿宋_GB2312"/>
                <w:color w:val="auto"/>
              </w:rPr>
              <w:t>供应商需提供7×24小时紧急技术支持及运维服务，2小时内响应一般问题，4小时内解决紧急故障。</w:t>
            </w:r>
            <w:r>
              <w:rPr>
                <w:rFonts w:hint="eastAsia" w:ascii="仿宋_GB2312" w:hAnsi="仿宋_GB2312" w:eastAsia="仿宋_GB2312" w:cs="仿宋_GB2312"/>
                <w:color w:val="auto"/>
                <w:lang w:eastAsia="zh-CN"/>
              </w:rPr>
              <w:t>乙方未按约定时间响应或解决的，每发生一次按合同总金额0.1%向甲方支付违约金；因乙方原因导致故障扩大、平台服务中断或数据丢失的，甲方有权要求乙方限期整改并承担由此造成的损失，整改后仍不合格的，甲方有权扣减相应合同款项或依合同约定解除合同</w:t>
            </w:r>
            <w:r>
              <w:rPr>
                <w:rFonts w:ascii="仿宋" w:hAnsi="仿宋" w:eastAsia="仿宋" w:cs="仿宋"/>
                <w:b w:val="0"/>
                <w:bCs w:val="0"/>
                <w:color w:val="auto"/>
                <w:sz w:val="20"/>
                <w:szCs w:val="20"/>
              </w:rPr>
              <w:t>。</w:t>
            </w:r>
          </w:p>
          <w:p w14:paraId="0874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ascii="仿宋" w:hAnsi="仿宋" w:eastAsia="仿宋" w:cs="仿宋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仿宋" w:hAnsi="仿宋" w:eastAsia="仿宋" w:cs="仿宋"/>
                <w:b w:val="0"/>
                <w:bCs w:val="0"/>
                <w:color w:val="auto"/>
                <w:sz w:val="20"/>
                <w:szCs w:val="20"/>
              </w:rPr>
              <w:t>2、基于构建的拥堵及客流预测模型，协助甲方生成法定节假日交通出行预测报告。</w:t>
            </w:r>
          </w:p>
          <w:p w14:paraId="6DD10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ascii="仿宋" w:hAnsi="仿宋" w:eastAsia="仿宋" w:cs="仿宋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仿宋" w:hAnsi="仿宋" w:eastAsia="仿宋" w:cs="仿宋"/>
                <w:b w:val="0"/>
                <w:bCs w:val="0"/>
                <w:color w:val="auto"/>
                <w:sz w:val="20"/>
                <w:szCs w:val="20"/>
              </w:rPr>
              <w:t>3、服务期为合同签订后一年。</w:t>
            </w:r>
          </w:p>
        </w:tc>
      </w:tr>
    </w:tbl>
    <w:p w14:paraId="0E38717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853948"/>
    <w:rsid w:val="5EB7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next w:val="1"/>
    <w:qFormat/>
    <w:uiPriority w:val="0"/>
    <w:pPr>
      <w:keepNext/>
      <w:keepLines/>
      <w:spacing w:before="260" w:beforeLines="0" w:after="260" w:afterLines="0" w:line="413" w:lineRule="auto"/>
      <w:jc w:val="center"/>
      <w:outlineLvl w:val="1"/>
    </w:pPr>
    <w:rPr>
      <w:rFonts w:ascii="Arial" w:hAnsi="Arial" w:eastAsia="黑体" w:cs="Arial"/>
      <w:b/>
      <w:snapToGrid w:val="0"/>
      <w:color w:val="000000"/>
      <w:kern w:val="0"/>
      <w:sz w:val="32"/>
      <w:szCs w:val="21"/>
      <w:lang w:eastAsia="en-US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2026-03-23T03:17:00Z</dcterms:created>
  <dc:creator>34819</dc:creator>
  <cp:lastModifiedBy>心静如水</cp:lastModifiedBy>
  <dcterms:modified xsi:type="dcterms:W3CDTF">2026-10-26T01:35:31Z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F7A16F4B812B4437B83386305F4CA7D6_12</vt:lpwstr>
  </property>
  <property fmtid="{D5CDD505-2E9C-101B-9397-08002B2CF9AE}" pid="4" name="KSOTemplateDocerSaveRecord">
    <vt:lpwstr>eyJoZGlkIjoiZDU1ZjVkMzExYjNmNDkwYmIwMTQxMDM0OWM2NTcyMjciLCJ1c2VySWQiOiIyMzkzNjg4MzcifQ==</vt:lpwstr>
  </property>
</Properties>
</file>