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版本号：ZZX2026-CS-ZC00520260525001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未央区特殊困难老年人关爱服务项目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ZZX2026-CS-ZC005</w:t>
      </w:r>
      <w:r>
        <w:br/>
      </w:r>
      <w:r>
        <w:br/>
      </w:r>
      <w:r>
        <w:br/>
      </w:r>
    </w:p>
    <w:p>
      <w:pPr>
        <w:pStyle w:val="null3"/>
        <w:jc w:val="center"/>
        <w:outlineLvl w:val="2"/>
      </w:pPr>
      <w:r>
        <w:rPr>
          <w:rFonts w:ascii="仿宋_GB2312" w:hAnsi="仿宋_GB2312" w:cs="仿宋_GB2312" w:eastAsia="仿宋_GB2312"/>
          <w:sz w:val="28"/>
          <w:b/>
        </w:rPr>
        <w:t>西安市未央区老龄工作发展服务中心</w:t>
      </w:r>
    </w:p>
    <w:p>
      <w:pPr>
        <w:pStyle w:val="null3"/>
        <w:jc w:val="center"/>
        <w:outlineLvl w:val="2"/>
      </w:pPr>
      <w:r>
        <w:rPr>
          <w:rFonts w:ascii="仿宋_GB2312" w:hAnsi="仿宋_GB2312" w:cs="仿宋_GB2312" w:eastAsia="仿宋_GB2312"/>
          <w:sz w:val="28"/>
          <w:b/>
        </w:rPr>
        <w:t>正泽兴（陕西）项目管理有限公司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正泽兴（陕西）项目管理有限公司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西安市未央区老龄工作发展服务中心</w:t>
      </w:r>
      <w:r>
        <w:rPr>
          <w:rFonts w:ascii="仿宋_GB2312" w:hAnsi="仿宋_GB2312" w:cs="仿宋_GB2312" w:eastAsia="仿宋_GB2312"/>
        </w:rPr>
        <w:t>委托，拟对</w:t>
      </w:r>
      <w:r>
        <w:rPr>
          <w:rFonts w:ascii="仿宋_GB2312" w:hAnsi="仿宋_GB2312" w:cs="仿宋_GB2312" w:eastAsia="仿宋_GB2312"/>
        </w:rPr>
        <w:t>未央区特殊困难老年人关爱服务项目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ZZX2026-CS-ZC005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未央区特殊困难老年人关爱服务项目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未央区特殊困难老年人关爱服务项目。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采购包1（未央区特殊困难老年人关爱服务项目）：属于专门面向中小企业采购。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及其身份证扫描件。法定代表人授权他人参加磋商的，须出具法定代表人授权书（附法定代表人、被授权人身份证扫描件；其中被授权人需提供在本单位近6个月内任意一个月的社保缴纳证明材料）</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现场信用记录查询结果为准）</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西安市未央区老龄工作发展服务中心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11111</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029-86335215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正泽兴（陕西）项目管理有限公司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西安市经济技术开发区凤城八路风景御园20号楼4层403室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刘阿丹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029-86676832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采购包1：194,100.00元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成交单位在领取成交通知书前，须向采购代理机构一次性支付招标代理服务费。 服务费账号： 户名：正泽兴（陕西）项目管理有限公司 开户行名称：招商银行股份有限公司西安文景路支行 开户行账号：129916457410001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西安市未央区老龄工作发展服务中心</w:t>
      </w:r>
      <w:r>
        <w:rPr>
          <w:rFonts w:ascii="仿宋_GB2312" w:hAnsi="仿宋_GB2312" w:cs="仿宋_GB2312" w:eastAsia="仿宋_GB2312"/>
        </w:rPr>
        <w:t>和</w:t>
      </w:r>
      <w:r>
        <w:rPr>
          <w:rFonts w:ascii="仿宋_GB2312" w:hAnsi="仿宋_GB2312" w:cs="仿宋_GB2312" w:eastAsia="仿宋_GB2312"/>
        </w:rPr>
        <w:t>正泽兴（陕西）项目管理有限公司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西安市未央区老龄工作发展服务中心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正泽兴（陕西）项目管理有限公司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西安市未央区老龄工作发展服务中心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正泽兴（陕西）项目管理有限公司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正泽兴（陕西）项目管理有限公司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正泽兴（陕西）项目管理有限公司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正泽兴（陕西）项目管理有限公司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联系人：刘阿丹</w:t>
      </w:r>
    </w:p>
    <w:p>
      <w:pPr>
        <w:pStyle w:val="null3"/>
      </w:pPr>
      <w:r>
        <w:rPr>
          <w:rFonts w:ascii="仿宋_GB2312" w:hAnsi="仿宋_GB2312" w:cs="仿宋_GB2312" w:eastAsia="仿宋_GB2312"/>
        </w:rPr>
        <w:t>联系电话：029-86676832</w:t>
      </w:r>
    </w:p>
    <w:p>
      <w:pPr>
        <w:pStyle w:val="null3"/>
      </w:pPr>
      <w:r>
        <w:rPr>
          <w:rFonts w:ascii="仿宋_GB2312" w:hAnsi="仿宋_GB2312" w:cs="仿宋_GB2312" w:eastAsia="仿宋_GB2312"/>
        </w:rPr>
        <w:t>地址：西安市经济技术开发区凤城八路风景御园20号楼4层403室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未央区特殊困难老年人关爱服务项目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194,100.00</w:t>
      </w:r>
    </w:p>
    <w:p>
      <w:pPr>
        <w:pStyle w:val="null3"/>
      </w:pPr>
      <w:r>
        <w:rPr>
          <w:rFonts w:ascii="仿宋_GB2312" w:hAnsi="仿宋_GB2312" w:cs="仿宋_GB2312" w:eastAsia="仿宋_GB2312"/>
        </w:rPr>
        <w:t>采购包最高限价（元）: 194,100.00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未央区特殊困难老年人关爱服务项目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194,100.00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标的名称：未央区特殊困难老年人关爱服务项目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17"/>
              <w:gridCol w:w="1836"/>
            </w:tblGrid>
            <w:tr>
              <w:tc>
                <w:tcPr>
                  <w:tcW w:type="dxa" w:w="255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服务内容及数量要求</w:t>
                  </w:r>
                </w:p>
                <w:p>
                  <w:pPr>
                    <w:pStyle w:val="null3"/>
                    <w:jc w:val="both"/>
                  </w:pPr>
                  <w:r>
                    <w:rPr>
                      <w:rFonts w:ascii="仿宋_GB2312" w:hAnsi="仿宋_GB2312" w:cs="仿宋_GB2312" w:eastAsia="仿宋_GB2312"/>
                      <w:sz w:val="20"/>
                    </w:rPr>
                    <w:t>供应商须按以下要求完成全部服务项目，具体工作量不得减少：</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服务模块</w:t>
                  </w:r>
                </w:p>
              </w:tc>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具体工作内容及数量要求</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数据初筛与比对</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对全区约</w:t>
                  </w:r>
                  <w:r>
                    <w:rPr>
                      <w:rFonts w:ascii="仿宋_GB2312" w:hAnsi="仿宋_GB2312" w:cs="仿宋_GB2312" w:eastAsia="仿宋_GB2312"/>
                      <w:sz w:val="20"/>
                    </w:rPr>
                    <w:t>1.7万组</w:t>
                  </w:r>
                  <w:r>
                    <w:rPr>
                      <w:rFonts w:ascii="仿宋_GB2312" w:hAnsi="仿宋_GB2312" w:cs="仿宋_GB2312" w:eastAsia="仿宋_GB2312"/>
                      <w:sz w:val="20"/>
                    </w:rPr>
                    <w:t>特殊困难老年人基础数据进行交叉比对与清洗，锁定重点核查名单。</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入户需求评估</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对筛选出的高风险对象进行面对面评估，完成</w:t>
                  </w:r>
                  <w:r>
                    <w:rPr>
                      <w:rFonts w:ascii="仿宋_GB2312" w:hAnsi="仿宋_GB2312" w:cs="仿宋_GB2312" w:eastAsia="仿宋_GB2312"/>
                      <w:sz w:val="20"/>
                    </w:rPr>
                    <w:t>200人</w:t>
                  </w:r>
                  <w:r>
                    <w:rPr>
                      <w:rFonts w:ascii="仿宋_GB2312" w:hAnsi="仿宋_GB2312" w:cs="仿宋_GB2312" w:eastAsia="仿宋_GB2312"/>
                      <w:sz w:val="20"/>
                    </w:rPr>
                    <w:t>左右的入户需求评估。</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重点对象月度探访</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确定</w:t>
                  </w:r>
                  <w:r>
                    <w:rPr>
                      <w:rFonts w:ascii="仿宋_GB2312" w:hAnsi="仿宋_GB2312" w:cs="仿宋_GB2312" w:eastAsia="仿宋_GB2312"/>
                      <w:sz w:val="20"/>
                    </w:rPr>
                    <w:t>100人</w:t>
                  </w:r>
                  <w:r>
                    <w:rPr>
                      <w:rFonts w:ascii="仿宋_GB2312" w:hAnsi="仿宋_GB2312" w:cs="仿宋_GB2312" w:eastAsia="仿宋_GB2312"/>
                      <w:sz w:val="20"/>
                    </w:rPr>
                    <w:t>左右的重点服务对象，提供为期</w:t>
                  </w:r>
                  <w:r>
                    <w:rPr>
                      <w:rFonts w:ascii="仿宋_GB2312" w:hAnsi="仿宋_GB2312" w:cs="仿宋_GB2312" w:eastAsia="仿宋_GB2312"/>
                      <w:sz w:val="20"/>
                    </w:rPr>
                    <w:t>7个月的月度深度入户探访（每人每月1次）。</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深度个案管理服务</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在上述重点对象中，选取</w:t>
                  </w:r>
                  <w:r>
                    <w:rPr>
                      <w:rFonts w:ascii="仿宋_GB2312" w:hAnsi="仿宋_GB2312" w:cs="仿宋_GB2312" w:eastAsia="仿宋_GB2312"/>
                      <w:sz w:val="20"/>
                    </w:rPr>
                    <w:t>20人</w:t>
                  </w:r>
                  <w:r>
                    <w:rPr>
                      <w:rFonts w:ascii="仿宋_GB2312" w:hAnsi="仿宋_GB2312" w:cs="仿宋_GB2312" w:eastAsia="仿宋_GB2312"/>
                      <w:sz w:val="20"/>
                    </w:rPr>
                    <w:t>提供深度个案管理服务，每人服务不少于</w:t>
                  </w:r>
                  <w:r>
                    <w:rPr>
                      <w:rFonts w:ascii="仿宋_GB2312" w:hAnsi="仿宋_GB2312" w:cs="仿宋_GB2312" w:eastAsia="仿宋_GB2312"/>
                      <w:sz w:val="20"/>
                    </w:rPr>
                    <w:t>10次，并建立完整个案档案。</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抽样核查与数据预警</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作为独立第三方，对社区探访工作进行抽样核查，全年累计完成</w:t>
                  </w:r>
                  <w:r>
                    <w:rPr>
                      <w:rFonts w:ascii="仿宋_GB2312" w:hAnsi="仿宋_GB2312" w:cs="仿宋_GB2312" w:eastAsia="仿宋_GB2312"/>
                      <w:sz w:val="20"/>
                    </w:rPr>
                    <w:t xml:space="preserve"> </w:t>
                  </w:r>
                  <w:r>
                    <w:rPr>
                      <w:rFonts w:ascii="仿宋_GB2312" w:hAnsi="仿宋_GB2312" w:cs="仿宋_GB2312" w:eastAsia="仿宋_GB2312"/>
                      <w:sz w:val="20"/>
                    </w:rPr>
                    <w:t>600人次</w:t>
                  </w:r>
                  <w:r>
                    <w:rPr>
                      <w:rFonts w:ascii="仿宋_GB2312" w:hAnsi="仿宋_GB2312" w:cs="仿宋_GB2312" w:eastAsia="仿宋_GB2312"/>
                      <w:sz w:val="20"/>
                    </w:rPr>
                    <w:t>。每季度形成数据预警分析报告。</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资源链接与宣传</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链接不少于</w:t>
                  </w:r>
                  <w:r>
                    <w:rPr>
                      <w:rFonts w:ascii="仿宋_GB2312" w:hAnsi="仿宋_GB2312" w:cs="仿宋_GB2312" w:eastAsia="仿宋_GB2312"/>
                      <w:sz w:val="20"/>
                    </w:rPr>
                    <w:t>20家爱心企业</w:t>
                  </w:r>
                  <w:r>
                    <w:rPr>
                      <w:rFonts w:ascii="仿宋_GB2312" w:hAnsi="仿宋_GB2312" w:cs="仿宋_GB2312" w:eastAsia="仿宋_GB2312"/>
                      <w:sz w:val="20"/>
                    </w:rPr>
                    <w:t>及爱心人士</w:t>
                  </w:r>
                  <w:r>
                    <w:rPr>
                      <w:rFonts w:ascii="仿宋_GB2312" w:hAnsi="仿宋_GB2312" w:cs="仿宋_GB2312" w:eastAsia="仿宋_GB2312"/>
                      <w:sz w:val="20"/>
                    </w:rPr>
                    <w:t>；完成</w:t>
                  </w:r>
                  <w:r>
                    <w:rPr>
                      <w:rFonts w:ascii="仿宋_GB2312" w:hAnsi="仿宋_GB2312" w:cs="仿宋_GB2312" w:eastAsia="仿宋_GB2312"/>
                      <w:sz w:val="20"/>
                    </w:rPr>
                    <w:t>20个个案案例视频拍摄及1部项目总结片。</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二、服务人员配置要求</w:t>
                  </w:r>
                </w:p>
                <w:p>
                  <w:pPr>
                    <w:pStyle w:val="null3"/>
                    <w:ind w:firstLine="400"/>
                    <w:jc w:val="both"/>
                  </w:pPr>
                  <w:r>
                    <w:rPr>
                      <w:rFonts w:ascii="仿宋_GB2312" w:hAnsi="仿宋_GB2312" w:cs="仿宋_GB2312" w:eastAsia="仿宋_GB2312"/>
                      <w:sz w:val="20"/>
                    </w:rPr>
                    <w:t>1、供应商须组建专门的项目团队，且所有人员均需身体健</w:t>
                  </w:r>
                  <w:r>
                    <w:rPr>
                      <w:rFonts w:ascii="仿宋_GB2312" w:hAnsi="仿宋_GB2312" w:cs="仿宋_GB2312" w:eastAsia="仿宋_GB2312"/>
                      <w:sz w:val="20"/>
                    </w:rPr>
                    <w:t>康，无犯罪记录，并购买人身意外伤害保险。</w:t>
                  </w:r>
                </w:p>
                <w:p>
                  <w:pPr>
                    <w:pStyle w:val="null3"/>
                    <w:ind w:firstLine="400"/>
                    <w:jc w:val="both"/>
                  </w:pPr>
                  <w:r>
                    <w:rPr>
                      <w:rFonts w:ascii="仿宋_GB2312" w:hAnsi="仿宋_GB2312" w:cs="仿宋_GB2312" w:eastAsia="仿宋_GB2312"/>
                      <w:sz w:val="20"/>
                    </w:rPr>
                    <w:t>2、项目负责人：具有本科及以上学历，具备良好的沟通协调能力，须持有社工</w:t>
                  </w:r>
                  <w:r>
                    <w:rPr>
                      <w:rFonts w:ascii="仿宋_GB2312" w:hAnsi="仿宋_GB2312" w:cs="仿宋_GB2312" w:eastAsia="仿宋_GB2312"/>
                      <w:sz w:val="20"/>
                    </w:rPr>
                    <w:t>师证，具有相关项目管理经验。</w:t>
                  </w:r>
                </w:p>
                <w:p>
                  <w:pPr>
                    <w:pStyle w:val="null3"/>
                    <w:ind w:firstLine="400"/>
                    <w:jc w:val="both"/>
                  </w:pPr>
                  <w:r>
                    <w:rPr>
                      <w:rFonts w:ascii="仿宋_GB2312" w:hAnsi="仿宋_GB2312" w:cs="仿宋_GB2312" w:eastAsia="仿宋_GB2312"/>
                      <w:sz w:val="20"/>
                    </w:rPr>
                    <w:t>3、专家顾问（外聘）：须提供聘书或合作协议。资质要求为：持有中级及以上社工师证书，或具有5年以上养老服务领域从业经历的专业人士。</w:t>
                  </w:r>
                </w:p>
                <w:p>
                  <w:pPr>
                    <w:pStyle w:val="null3"/>
                    <w:ind w:firstLine="400"/>
                    <w:jc w:val="both"/>
                  </w:pPr>
                  <w:r>
                    <w:rPr>
                      <w:rFonts w:ascii="仿宋_GB2312" w:hAnsi="仿宋_GB2312" w:cs="仿宋_GB2312" w:eastAsia="仿宋_GB2312"/>
                      <w:sz w:val="20"/>
                    </w:rPr>
                    <w:t>4、其他人员：供应商需配备足够的辅助人员（含志愿者），以保障项目人力需求。</w:t>
                  </w:r>
                </w:p>
                <w:p>
                  <w:pPr>
                    <w:pStyle w:val="null3"/>
                    <w:jc w:val="both"/>
                  </w:pPr>
                  <w:r>
                    <w:rPr>
                      <w:rFonts w:ascii="仿宋_GB2312" w:hAnsi="仿宋_GB2312" w:cs="仿宋_GB2312" w:eastAsia="仿宋_GB2312"/>
                      <w:sz w:val="20"/>
                      <w:b/>
                    </w:rPr>
                    <w:t>三、服务标准与规范</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入户探访时长标准</w:t>
                  </w:r>
                  <w:r>
                    <w:rPr>
                      <w:rFonts w:ascii="仿宋_GB2312" w:hAnsi="仿宋_GB2312" w:cs="仿宋_GB2312" w:eastAsia="仿宋_GB2312"/>
                      <w:sz w:val="20"/>
                    </w:rPr>
                    <w:t>：</w:t>
                  </w:r>
                  <w:r>
                    <w:rPr>
                      <w:rFonts w:ascii="仿宋_GB2312" w:hAnsi="仿宋_GB2312" w:cs="仿宋_GB2312" w:eastAsia="仿宋_GB2312"/>
                      <w:sz w:val="20"/>
                    </w:rPr>
                    <w:t>针对重点服务对象的月度探访，单次入户服务时长不得少于</w:t>
                  </w:r>
                  <w:r>
                    <w:rPr>
                      <w:rFonts w:ascii="仿宋_GB2312" w:hAnsi="仿宋_GB2312" w:cs="仿宋_GB2312" w:eastAsia="仿宋_GB2312"/>
                      <w:sz w:val="20"/>
                    </w:rPr>
                    <w:t>45分钟。服务记录表中须如实填写起止时间，并以此作为核查依据。</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服务过程标准（</w:t>
                  </w:r>
                  <w:r>
                    <w:rPr>
                      <w:rFonts w:ascii="仿宋_GB2312" w:hAnsi="仿宋_GB2312" w:cs="仿宋_GB2312" w:eastAsia="仿宋_GB2312"/>
                      <w:sz w:val="20"/>
                    </w:rPr>
                    <w:t>SOP）：每次入户探访须执行“五必问、三必看”：</w:t>
                  </w:r>
                </w:p>
                <w:p>
                  <w:pPr>
                    <w:pStyle w:val="null3"/>
                    <w:ind w:firstLine="400"/>
                    <w:jc w:val="both"/>
                  </w:pPr>
                  <w:r>
                    <w:rPr>
                      <w:rFonts w:ascii="仿宋_GB2312" w:hAnsi="仿宋_GB2312" w:cs="仿宋_GB2312" w:eastAsia="仿宋_GB2312"/>
                      <w:sz w:val="20"/>
                    </w:rPr>
                    <w:t>三必看：看居住环境安全（水电气、地面防滑）、看社区探访记录是否完整、看老人精神状态。</w:t>
                  </w:r>
                </w:p>
                <w:p>
                  <w:pPr>
                    <w:pStyle w:val="null3"/>
                    <w:ind w:firstLine="400"/>
                    <w:jc w:val="both"/>
                  </w:pPr>
                  <w:r>
                    <w:rPr>
                      <w:rFonts w:ascii="仿宋_GB2312" w:hAnsi="仿宋_GB2312" w:cs="仿宋_GB2312" w:eastAsia="仿宋_GB2312"/>
                      <w:sz w:val="20"/>
                    </w:rPr>
                    <w:t>五必问：问近期身体状况及用药、问就医情况、问生活困难、问社区干部是否来过、问有无新诉求。</w:t>
                  </w:r>
                </w:p>
                <w:p>
                  <w:pPr>
                    <w:pStyle w:val="null3"/>
                    <w:ind w:firstLine="400"/>
                    <w:jc w:val="both"/>
                  </w:pPr>
                  <w:r>
                    <w:rPr>
                      <w:rFonts w:ascii="仿宋_GB2312" w:hAnsi="仿宋_GB2312" w:cs="仿宋_GB2312" w:eastAsia="仿宋_GB2312"/>
                      <w:sz w:val="20"/>
                    </w:rPr>
                    <w:t>探访结束后，须留下联系方式并告知紧急求助途径。</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数据核查标准：抽样核查须采用</w:t>
                  </w:r>
                  <w:r>
                    <w:rPr>
                      <w:rFonts w:ascii="仿宋_GB2312" w:hAnsi="仿宋_GB2312" w:cs="仿宋_GB2312" w:eastAsia="仿宋_GB2312"/>
                      <w:sz w:val="20"/>
                    </w:rPr>
                    <w:t>“电话核查+实地复核”双结合方式。</w:t>
                  </w:r>
                </w:p>
                <w:p>
                  <w:pPr>
                    <w:pStyle w:val="null3"/>
                    <w:ind w:firstLine="400"/>
                    <w:jc w:val="both"/>
                  </w:pPr>
                  <w:r>
                    <w:rPr>
                      <w:rFonts w:ascii="仿宋_GB2312" w:hAnsi="仿宋_GB2312" w:cs="仿宋_GB2312" w:eastAsia="仿宋_GB2312"/>
                      <w:sz w:val="20"/>
                    </w:rPr>
                    <w:t>核查重点为服务真实性、记录规范性。每发现</w:t>
                  </w:r>
                  <w:r>
                    <w:rPr>
                      <w:rFonts w:ascii="仿宋_GB2312" w:hAnsi="仿宋_GB2312" w:cs="仿宋_GB2312" w:eastAsia="仿宋_GB2312"/>
                      <w:sz w:val="20"/>
                    </w:rPr>
                    <w:t>1例“虚假探访”或“电话不通/空号”需详细记录在案。</w:t>
                  </w:r>
                </w:p>
                <w:p>
                  <w:pPr>
                    <w:pStyle w:val="null3"/>
                    <w:jc w:val="both"/>
                  </w:pPr>
                  <w:r>
                    <w:rPr>
                      <w:rFonts w:ascii="仿宋_GB2312" w:hAnsi="仿宋_GB2312" w:cs="仿宋_GB2312" w:eastAsia="仿宋_GB2312"/>
                      <w:sz w:val="20"/>
                      <w:b/>
                    </w:rPr>
                    <w:t>四、交付成果及验收</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交付物清单：</w:t>
                  </w:r>
                </w:p>
                <w:p>
                  <w:pPr>
                    <w:pStyle w:val="null3"/>
                    <w:ind w:firstLine="400"/>
                    <w:jc w:val="both"/>
                  </w:pPr>
                  <w:r>
                    <w:rPr>
                      <w:rFonts w:ascii="仿宋_GB2312" w:hAnsi="仿宋_GB2312" w:cs="仿宋_GB2312" w:eastAsia="仿宋_GB2312"/>
                      <w:sz w:val="20"/>
                    </w:rPr>
                    <w:t>《重点守护对象动态管理档案》（</w:t>
                  </w:r>
                  <w:r>
                    <w:rPr>
                      <w:rFonts w:ascii="仿宋_GB2312" w:hAnsi="仿宋_GB2312" w:cs="仿宋_GB2312" w:eastAsia="仿宋_GB2312"/>
                      <w:sz w:val="20"/>
                    </w:rPr>
                    <w:t>100份）；</w:t>
                  </w:r>
                </w:p>
                <w:p>
                  <w:pPr>
                    <w:pStyle w:val="null3"/>
                    <w:ind w:firstLine="400"/>
                    <w:jc w:val="both"/>
                  </w:pPr>
                  <w:r>
                    <w:rPr>
                      <w:rFonts w:ascii="仿宋_GB2312" w:hAnsi="仿宋_GB2312" w:cs="仿宋_GB2312" w:eastAsia="仿宋_GB2312"/>
                      <w:sz w:val="20"/>
                    </w:rPr>
                    <w:t>《深度个案管理服务报告》（</w:t>
                  </w:r>
                  <w:r>
                    <w:rPr>
                      <w:rFonts w:ascii="仿宋_GB2312" w:hAnsi="仿宋_GB2312" w:cs="仿宋_GB2312" w:eastAsia="仿宋_GB2312"/>
                      <w:sz w:val="20"/>
                    </w:rPr>
                    <w:t>20份）；</w:t>
                  </w:r>
                </w:p>
                <w:p>
                  <w:pPr>
                    <w:pStyle w:val="null3"/>
                    <w:ind w:firstLine="400"/>
                    <w:jc w:val="both"/>
                  </w:pPr>
                  <w:r>
                    <w:rPr>
                      <w:rFonts w:ascii="仿宋_GB2312" w:hAnsi="仿宋_GB2312" w:cs="仿宋_GB2312" w:eastAsia="仿宋_GB2312"/>
                      <w:sz w:val="20"/>
                    </w:rPr>
                    <w:t>《探访服务质量季度反馈报告》（</w:t>
                  </w:r>
                  <w:r>
                    <w:rPr>
                      <w:rFonts w:ascii="仿宋_GB2312" w:hAnsi="仿宋_GB2312" w:cs="仿宋_GB2312" w:eastAsia="仿宋_GB2312"/>
                      <w:sz w:val="20"/>
                    </w:rPr>
                    <w:t>3份）；</w:t>
                  </w:r>
                </w:p>
                <w:p>
                  <w:pPr>
                    <w:pStyle w:val="null3"/>
                    <w:ind w:firstLine="400"/>
                    <w:jc w:val="both"/>
                  </w:pPr>
                  <w:r>
                    <w:rPr>
                      <w:rFonts w:ascii="仿宋_GB2312" w:hAnsi="仿宋_GB2312" w:cs="仿宋_GB2312" w:eastAsia="仿宋_GB2312"/>
                      <w:sz w:val="20"/>
                    </w:rPr>
                    <w:t>个案服务纪实视频（</w:t>
                  </w:r>
                  <w:r>
                    <w:rPr>
                      <w:rFonts w:ascii="仿宋_GB2312" w:hAnsi="仿宋_GB2312" w:cs="仿宋_GB2312" w:eastAsia="仿宋_GB2312"/>
                      <w:sz w:val="20"/>
                    </w:rPr>
                    <w:t>20个）；</w:t>
                  </w:r>
                </w:p>
                <w:p>
                  <w:pPr>
                    <w:pStyle w:val="null3"/>
                    <w:ind w:firstLine="400"/>
                    <w:jc w:val="both"/>
                  </w:pPr>
                  <w:r>
                    <w:rPr>
                      <w:rFonts w:ascii="仿宋_GB2312" w:hAnsi="仿宋_GB2312" w:cs="仿宋_GB2312" w:eastAsia="仿宋_GB2312"/>
                      <w:sz w:val="20"/>
                    </w:rPr>
                    <w:t>项目总结汇报片（</w:t>
                  </w:r>
                  <w:r>
                    <w:rPr>
                      <w:rFonts w:ascii="仿宋_GB2312" w:hAnsi="仿宋_GB2312" w:cs="仿宋_GB2312" w:eastAsia="仿宋_GB2312"/>
                      <w:sz w:val="20"/>
                    </w:rPr>
                    <w:t>1部）。</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验收考核指标：</w:t>
                  </w:r>
                </w:p>
                <w:p>
                  <w:pPr>
                    <w:pStyle w:val="null3"/>
                    <w:ind w:firstLine="400"/>
                    <w:jc w:val="both"/>
                  </w:pPr>
                  <w:r>
                    <w:rPr>
                      <w:rFonts w:ascii="仿宋_GB2312" w:hAnsi="仿宋_GB2312" w:cs="仿宋_GB2312" w:eastAsia="仿宋_GB2312"/>
                      <w:sz w:val="20"/>
                    </w:rPr>
                    <w:t>数量指标：各项服务人次</w:t>
                  </w:r>
                  <w:r>
                    <w:rPr>
                      <w:rFonts w:ascii="仿宋_GB2312" w:hAnsi="仿宋_GB2312" w:cs="仿宋_GB2312" w:eastAsia="仿宋_GB2312"/>
                      <w:sz w:val="20"/>
                    </w:rPr>
                    <w:t>/户数达到合同约定数量的100%。</w:t>
                  </w:r>
                </w:p>
                <w:p>
                  <w:pPr>
                    <w:pStyle w:val="null3"/>
                    <w:ind w:firstLine="400"/>
                    <w:jc w:val="both"/>
                  </w:pPr>
                  <w:r>
                    <w:rPr>
                      <w:rFonts w:ascii="仿宋_GB2312" w:hAnsi="仿宋_GB2312" w:cs="仿宋_GB2312" w:eastAsia="仿宋_GB2312"/>
                      <w:sz w:val="20"/>
                    </w:rPr>
                    <w:t>质量指标：服务记录完整率</w:t>
                  </w:r>
                  <w:r>
                    <w:rPr>
                      <w:rFonts w:ascii="仿宋_GB2312" w:hAnsi="仿宋_GB2312" w:cs="仿宋_GB2312" w:eastAsia="仿宋_GB2312"/>
                      <w:sz w:val="20"/>
                    </w:rPr>
                    <w:t>100%，服务对象抽样满意度≥90%，所有交付文档符合采购人要求的格式规范。</w:t>
                  </w:r>
                </w:p>
                <w:p>
                  <w:pPr>
                    <w:pStyle w:val="null3"/>
                    <w:ind w:firstLine="400"/>
                    <w:jc w:val="both"/>
                  </w:pPr>
                  <w:r>
                    <w:rPr>
                      <w:rFonts w:ascii="仿宋_GB2312" w:hAnsi="仿宋_GB2312" w:cs="仿宋_GB2312" w:eastAsia="仿宋_GB2312"/>
                      <w:sz w:val="20"/>
                    </w:rPr>
                    <w:t>时效指标：各项报告按时提交，无延误。</w:t>
                  </w:r>
                </w:p>
                <w:p>
                  <w:pPr>
                    <w:pStyle w:val="null3"/>
                    <w:jc w:val="both"/>
                  </w:pPr>
                  <w:r>
                    <w:rPr>
                      <w:rFonts w:ascii="仿宋_GB2312" w:hAnsi="仿宋_GB2312" w:cs="仿宋_GB2312" w:eastAsia="仿宋_GB2312"/>
                      <w:sz w:val="20"/>
                      <w:b/>
                    </w:rPr>
                    <w:t>五、</w:t>
                  </w:r>
                  <w:r>
                    <w:rPr>
                      <w:rFonts w:ascii="仿宋_GB2312" w:hAnsi="仿宋_GB2312" w:cs="仿宋_GB2312" w:eastAsia="仿宋_GB2312"/>
                      <w:sz w:val="20"/>
                      <w:b/>
                    </w:rPr>
                    <w:t>违约责任</w:t>
                  </w:r>
                </w:p>
                <w:p>
                  <w:pPr>
                    <w:pStyle w:val="null3"/>
                    <w:ind w:firstLine="400"/>
                    <w:jc w:val="both"/>
                  </w:pPr>
                  <w:r>
                    <w:rPr>
                      <w:rFonts w:ascii="仿宋_GB2312" w:hAnsi="仿宋_GB2312" w:cs="仿宋_GB2312" w:eastAsia="仿宋_GB2312"/>
                      <w:sz w:val="20"/>
                    </w:rPr>
                    <w:t>在项目实施过程中，如发现以下任一情形，采购人有权立即终止合同，并追究违约责任：</w:t>
                  </w:r>
                </w:p>
                <w:p>
                  <w:pPr>
                    <w:pStyle w:val="null3"/>
                    <w:ind w:firstLine="400"/>
                    <w:jc w:val="both"/>
                  </w:pPr>
                  <w:r>
                    <w:rPr>
                      <w:rFonts w:ascii="仿宋_GB2312" w:hAnsi="仿宋_GB2312" w:cs="仿宋_GB2312" w:eastAsia="仿宋_GB2312"/>
                      <w:sz w:val="20"/>
                    </w:rPr>
                    <w:t>1.存在弄虚作假行为，如虚构服务记录、伪造老人签名或照片；</w:t>
                  </w:r>
                </w:p>
                <w:p>
                  <w:pPr>
                    <w:pStyle w:val="null3"/>
                    <w:ind w:firstLine="400"/>
                    <w:jc w:val="both"/>
                  </w:pPr>
                  <w:r>
                    <w:rPr>
                      <w:rFonts w:ascii="仿宋_GB2312" w:hAnsi="仿宋_GB2312" w:cs="仿宋_GB2312" w:eastAsia="仿宋_GB2312"/>
                      <w:sz w:val="20"/>
                    </w:rPr>
                    <w:t>2.发生重大安全责任事故且负主要责任。</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自合同签订之日起至2027年06月30日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预付款，在签订合同后，采购人在收到乙方开具的发票后，达到付款条件起30个工作日内，支付合同总金额的40.0%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进度款，双方合作期满后，甲方对全部合作成果组织最终验收。验收合格的，乙方验收合向甲方开具合法有效的全额发票。甲方收到发票后，达到付款条件起30个工作日内，支付合同总金额的60.0%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 采购结果公告发布后5日内，成交供应商须向代理机构提供纸质版响应文件3份（文件必须与电子化交易平台上传的文件一致），纸质响应文件须胶装并在文件首页盖鲜章。递交地址：陕西省西安市经济技术开发区凤城八路风景御园20号楼4层403室，联系人及电话见文件。 3.4.2 根据《陕西省财政厅关于在全省开展电子化投诉工作有关事项的通知》(陕财办采函(2022)15号)，政府采购供应商可登录"陕西省政府采购综合管理平台"系统进行线上投诉。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供应商需在项目电子化交易系统中按要求填写《投标函》完成承诺并进行电子签章。（格式详见附件）。 未提供《基本资格条件承诺函》的供应商需提交如下资格证明文件： ①提供合格有效的法人或者其他组织的营业执照等证明文件，自然人的身份证明；供应商是法人或其他组织的应提供营业执照等证明文件，供应商是自然人的应提供有效的自然人身份证明。 ②财务状况报告：提供具有审计资质单位出具并赋码的2024年度或2025年度财务报告（包括“ 四表一注” 即《资产负债表》《利润表》《现金流量表》《所有者权益变动表》及其附注），成立时间至提交磋商响应文件截止时间不足一年的可提供成立后任意时段的资产负债表；或提交磋商响应文件截止时间前三个月内其基本存款账户开户银行出具的资信证明及基本存款账户信息。（以上两种形式的资料提供任何一种即可）； ③提供具有履行合同所必需的设备和专业技术能力的承诺； ④提供开标时间前6个月内任意时段的纳税证明或完税证明（除印花税外任意税种），纳税证明或完税证明上应有代收机构或税务机关的公章或业务专用章。依法免税的供应商应提供相关文件证明； ⑤提供开标时间前6个月内任意时段的社会保障资金缴存单据或社保机构开具的社会保险参保缴费情况证明，依法不需要缴纳社会保障资金的单位应提供相关证明材料； ⑥参加政府采购活动前3年内，在经营活动中没有重大违法记录的书面声明。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供应商需在项目电子化交易系统中按要求上传相应证明文件并进行电子签章。（格式详见附件）。 未提供《基本资格条件承诺函》的供应商需提交如下资格证明文件： 财务状况报告：提供具有审计资质单位出具并赋码的2024年度或2025年度财务报告（包括“ 四表一注” 即《资产负债表》《利润表》《现金流量表》《所有者权益变动表》及其附注），成立时间至提交磋商响应文件截止时间不足一年的可提供成立后任意时段的资产负债表；或提交磋商响应文件截止时间前三个月内其基本存款账户开户银行出具的资信证明及基本存款账户信息。（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供应商需在项目电子化交易系统中按要求填写《投标函》完成承诺并进行电子签章。1、单位负责人为同一人或者存在直接控股、管理关系的供应商，不得参加同一合同下的政府采购活动； 2、为本项目提供过整体设计、规范编制或者项目管理、监理、检测等服务的供应商，不得再参加本项目采购活动。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其身份证扫描件。法定代表人授权他人参加磋商的，须出具法定代表人授权书（附法定代表人、被授权人身份证扫描件；其中被授权人需提供在本单位近6个月内任意一个月的社保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磋商方案说明书.docx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标的清单 报价表 磋商方案说明书.docx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 磋商方案说明书.docx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磋商方案说明书.docx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磋商方案说明书.docx 响应函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磋商方案说明书.docx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包含但不限于①入户走访②收集资料及建立档案③关怀及看护④情况汇总及汇报。 评审标准： 1.完整性：针对本项目的服务方案内容完整、要素齐全； 2.可实施性：结合本项目实际情况，措施清晰、合理可行； 3.针对性：方案紧扣项目实际，科学合理。 评分细则： （1）评审内容全面详细、阐述条理清晰详尽、符合本项目服务需求得12分； （2）评审内容每缺少一项内容扣3分；（3）评审内容完全缺失则不得分，每有一处内容存在缺陷或不足的根据实际情况扣0.5-1.5分；扣完为止。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重点探访 执行方案</w:t>
            </w:r>
          </w:p>
        </w:tc>
        <w:tc>
          <w:tcPr>
            <w:tcW w:type="dxa" w:w="2492"/>
          </w:tcPr>
          <w:p>
            <w:pPr>
              <w:pStyle w:val="null3"/>
            </w:pPr>
            <w:r>
              <w:rPr>
                <w:rFonts w:ascii="仿宋_GB2312" w:hAnsi="仿宋_GB2312" w:cs="仿宋_GB2312" w:eastAsia="仿宋_GB2312"/>
              </w:rPr>
              <w:t>评审内容：包含但不限于①健康情况②安全情况③家庭情况④困难帮扶⑤需求情况⑥特殊情况。 评审标准： 1、完整性：理赔服务方案内容完整； 2、可实施性：流程清晰、操作简便、适合老年群体； 3、针对性：贴合本项目实际需求。 评分细则： （1）评审内容全面详细、阐述条理清晰详尽、符合本项目服务需求得18分； （2）评审内容每缺少一项内容扣3分； （3）评审内容完全缺失则不得分，每有一处内容存在缺陷或不足的根据实际情况扣0.5-1.5分；扣完为止。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服务流程</w:t>
            </w:r>
          </w:p>
        </w:tc>
        <w:tc>
          <w:tcPr>
            <w:tcW w:type="dxa" w:w="2492"/>
          </w:tcPr>
          <w:p>
            <w:pPr>
              <w:pStyle w:val="null3"/>
            </w:pPr>
            <w:r>
              <w:rPr>
                <w:rFonts w:ascii="仿宋_GB2312" w:hAnsi="仿宋_GB2312" w:cs="仿宋_GB2312" w:eastAsia="仿宋_GB2312"/>
              </w:rPr>
              <w:t>评审内容：包含但不限于①人员培训②服务规范③记录档案 评审标准： 1.完整性：针对本项目的服务流程完整、要素齐全； 2.可实施性：结合本项目实际情况，提出步骤清晰、合理的措施； 3.针对性：服务流程能够紧扣项目实际情况，内容科学合理。 评分细则：（1）评审内容全面详细、阐述条理清晰详尽、符合本项目服务需求得9分；（2）评审内容每缺少一项内容扣3分；（3）评审内容完全缺失则不得分，每有一处内容存在缺陷或不足的根据实际情况扣0.5-1.5分；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评审内容：包含但不限于①人员组织架构②人员数量及配置③人员管理制度 评审标准：1、完整性：项目人员配置齐全、岗位职责清晰、制度完整；2、合理性：人员配置能够满足项目服务需求；3、针对性：人员安排符合本项目服务特点。 评分细则：（1）评审内容全面详细、阐述条理清晰详尽、符合本项目服务需求得9分； （2）评审内容每缺少一项内容扣3分； （3）评审内容完全缺失则不得分，每有一处内容存在缺陷或不足根据实际情况扣0.5-1.5分，该项分值扣完为止。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评审内容：包含但不限于①紧急救援②应对措施。 评审标准：1、完整性：针对本项目的应急预案、应对措施，有详细描述； 2、可实施性：结合本项目实际情况，提出步骤清晰、合理的措施。 3、针对性：方案能够紧扣项目实际情况，内容科学合理； 评分细则：（1）评审内容全面详细、阐述条理清晰详尽、符合本项目服务需求得6分；(2)评审内容每缺少一项内容扣3分； (3)评审内容完全缺失则不得分，每有一处内容存在缺陷或不足的根据实际情况扣0.5-1.5分，该项分值扣完为止。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工作进度安排方案</w:t>
            </w:r>
          </w:p>
        </w:tc>
        <w:tc>
          <w:tcPr>
            <w:tcW w:type="dxa" w:w="2492"/>
          </w:tcPr>
          <w:p>
            <w:pPr>
              <w:pStyle w:val="null3"/>
            </w:pPr>
            <w:r>
              <w:rPr>
                <w:rFonts w:ascii="仿宋_GB2312" w:hAnsi="仿宋_GB2312" w:cs="仿宋_GB2312" w:eastAsia="仿宋_GB2312"/>
              </w:rPr>
              <w:t>评审内容：包含但不限于①工作流程②工作进度及时间安排。 评审标准： 1.完整性：针对本项目的工作流程、工作进度及时间安排等内容完整、要素齐全； 2.可实施性：结合本项目实际情况，提出清晰的工作流程、合理的工作进度及时间； 3.针对性：方案能够紧扣项目实际情况，内容科学合理。 评分细则： （1）评审内容全面详细、阐述条理清晰详尽、符合本项目服务需求得3分；（2）评审内容每缺少一项内容扣1.5分； （3）评审内容完全缺失则不得分，每有一处内容存在缺陷或不足的根据实际情况扣0.5-1.0分，该项分值扣完为止。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评审内容：包含但不限于①服务质量保障②服务承诺 评审标准： 1.完整性：针对本项目的服务承诺内容完整、要素齐全； 2.可实施性：结合本项目实际情况，提出步骤清晰、合理的措施； 3.针对性：方案能够紧扣项目实际情况，内容科学合理。 评分细则： （1）评审内容全面详细、阐述条理清晰详尽、符合本项目服务需求得3分； （2）评审内容每缺少一项内容扣1.5分； （3）评审内容完全缺失则不得分，每有一处内容存在缺陷或不足的根据实际情况扣0.5-1.0分，该项分值扣完为止。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供应商需提供近年来（2023年1月1日起至今）类似业绩证明材料。业绩证明材料以合同为准，每提供一项有效合同，赋2分，最高10分。备注：响应文件中提供合同复印件加盖公章。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价格分采用低价优先法计算，即满足磋商文件要求且磋商价格最低的磋商报价为评审基准价，其价格分为满分。其他供应商的价格分统一按照下列公式计算： 磋商报价得分=（评标基准价/磋商评审价）×价格分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