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18D09">
      <w:pPr>
        <w:spacing w:line="360" w:lineRule="auto"/>
        <w:jc w:val="both"/>
        <w:rPr>
          <w:rStyle w:val="24"/>
          <w:rFonts w:hint="eastAsia" w:ascii="宋体" w:hAnsi="宋体" w:eastAsia="宋体" w:cs="宋体"/>
          <w:b/>
          <w:bCs/>
          <w:color w:val="auto"/>
          <w:sz w:val="28"/>
          <w:szCs w:val="28"/>
          <w:highlight w:val="none"/>
          <w:lang w:val="en-US" w:eastAsia="zh-CN"/>
        </w:rPr>
      </w:pPr>
      <w:r>
        <w:rPr>
          <w:rFonts w:hint="eastAsia" w:ascii="宋体" w:hAnsi="宋体" w:eastAsia="宋体" w:cs="宋体"/>
          <w:b/>
          <w:color w:val="auto"/>
          <w:sz w:val="72"/>
          <w:szCs w:val="72"/>
        </w:rPr>
        <w:drawing>
          <wp:anchor distT="0" distB="0" distL="114300" distR="114300" simplePos="0" relativeHeight="251664384" behindDoc="0" locked="0" layoutInCell="1" allowOverlap="1">
            <wp:simplePos x="0" y="0"/>
            <wp:positionH relativeFrom="column">
              <wp:posOffset>4848860</wp:posOffset>
            </wp:positionH>
            <wp:positionV relativeFrom="paragraph">
              <wp:posOffset>-27305</wp:posOffset>
            </wp:positionV>
            <wp:extent cx="1141730" cy="1047115"/>
            <wp:effectExtent l="0" t="0" r="0" b="0"/>
            <wp:wrapNone/>
            <wp:docPr id="6" name="图片 1" descr="9f552dd3d36ee532f037825e3cf1c0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9f552dd3d36ee532f037825e3cf1c0c"/>
                    <pic:cNvPicPr>
                      <a:picLocks noChangeAspect="1"/>
                    </pic:cNvPicPr>
                  </pic:nvPicPr>
                  <pic:blipFill>
                    <a:blip r:embed="rId12"/>
                    <a:stretch>
                      <a:fillRect/>
                    </a:stretch>
                  </pic:blipFill>
                  <pic:spPr>
                    <a:xfrm>
                      <a:off x="0" y="0"/>
                      <a:ext cx="1141730" cy="1047115"/>
                    </a:xfrm>
                    <a:prstGeom prst="rect">
                      <a:avLst/>
                    </a:prstGeom>
                    <a:noFill/>
                    <a:ln>
                      <a:noFill/>
                    </a:ln>
                  </pic:spPr>
                </pic:pic>
              </a:graphicData>
            </a:graphic>
          </wp:anchor>
        </w:drawing>
      </w:r>
    </w:p>
    <w:p w14:paraId="789A2DC9">
      <w:pPr>
        <w:spacing w:line="800" w:lineRule="exact"/>
        <w:rPr>
          <w:rStyle w:val="24"/>
          <w:rFonts w:hint="eastAsia" w:ascii="宋体" w:hAnsi="宋体" w:eastAsia="宋体" w:cs="宋体"/>
          <w:b/>
          <w:color w:val="auto"/>
          <w:kern w:val="0"/>
          <w:sz w:val="48"/>
          <w:szCs w:val="48"/>
          <w:highlight w:val="none"/>
        </w:rPr>
      </w:pPr>
      <w:r>
        <w:rPr>
          <w:rStyle w:val="24"/>
          <w:rFonts w:hint="eastAsia" w:ascii="宋体" w:hAnsi="宋体" w:eastAsia="宋体" w:cs="宋体"/>
          <w:b/>
          <w:bCs/>
          <w:color w:val="auto"/>
          <w:sz w:val="28"/>
          <w:szCs w:val="28"/>
          <w:highlight w:val="none"/>
          <w:lang w:val="en-US" w:eastAsia="zh-CN"/>
        </w:rPr>
        <w:t>项目编号</w:t>
      </w:r>
      <w:r>
        <w:rPr>
          <w:rStyle w:val="24"/>
          <w:rFonts w:hint="eastAsia" w:ascii="宋体" w:hAnsi="宋体" w:eastAsia="宋体" w:cs="宋体"/>
          <w:b/>
          <w:bCs/>
          <w:color w:val="auto"/>
          <w:sz w:val="28"/>
          <w:szCs w:val="28"/>
          <w:highlight w:val="none"/>
          <w:lang w:eastAsia="zh-CN"/>
        </w:rPr>
        <w:t>：</w:t>
      </w:r>
      <w:r>
        <w:rPr>
          <w:rFonts w:hint="eastAsia" w:ascii="宋体" w:hAnsi="宋体" w:eastAsia="宋体" w:cs="宋体"/>
          <w:color w:val="auto"/>
          <w:highlight w:val="none"/>
        </w:rPr>
        <mc:AlternateContent>
          <mc:Choice Requires="wps">
            <w:drawing>
              <wp:anchor distT="0" distB="0" distL="114300" distR="114300" simplePos="0" relativeHeight="251663360" behindDoc="0" locked="0" layoutInCell="1" hidden="1" allowOverlap="1">
                <wp:simplePos x="0" y="0"/>
                <wp:positionH relativeFrom="column">
                  <wp:posOffset>0</wp:posOffset>
                </wp:positionH>
                <wp:positionV relativeFrom="paragraph">
                  <wp:posOffset>0</wp:posOffset>
                </wp:positionV>
                <wp:extent cx="635000" cy="635000"/>
                <wp:effectExtent l="0" t="0" r="0" b="0"/>
                <wp:wrapNone/>
                <wp:docPr id="1" name="自选图形 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wps:cNvSpPr>
                      <wps:spPr>
                        <a:xfrm>
                          <a:off x="0" y="0"/>
                          <a:ext cx="635000" cy="635000"/>
                        </a:xfrm>
                        <a:custGeom>
                          <a:avLst/>
                          <a:gdLst/>
                          <a:ahLst/>
                          <a:cxnLst/>
                          <a:pathLst/>
                        </a:custGeom>
                        <a:noFill/>
                        <a:ln>
                          <a:noFill/>
                        </a:ln>
                      </wps:spPr>
                      <wps:bodyPr upright="1"/>
                    </wps:wsp>
                  </a:graphicData>
                </a:graphic>
              </wp:anchor>
            </w:drawing>
          </mc:Choice>
          <mc:Fallback>
            <w:pict>
              <v:shape id="自选图形 2" o:spid="_x0000_s1026" o:spt="100" style="position:absolute;left:0pt;margin-left:0pt;margin-top:0pt;height:50pt;width:50pt;visibility:hidden;z-index:251663360;mso-width-relative:page;mso-height-relative:page;" filled="f" stroked="f" coordsize="635000,635000" o:gfxdata="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KY/denPAAAABQEAAA8AAAAAAAAAAQAgAAAAIgAAAGRycy9kb3ducmV2LnhtbFBLAQIUABQA&#10;AAAIAIdO4kD3H7wLwAEAAIsDAAAOAAAAAAAAAAEAIAAAAB4BAABkcnMvZTJvRG9jLnhtbFBLBQYA&#10;AAAABgAGAFkBAABQBQAAAAA=&#10;">
                <v:fill on="f" focussize="0,0"/>
                <v:stroke on="f"/>
                <v:imagedata o:title=""/>
                <o:lock v:ext="edit" selection="t" aspectratio="f"/>
              </v:shape>
            </w:pict>
          </mc:Fallback>
        </mc:AlternateContent>
      </w:r>
      <w:r>
        <w:rPr>
          <w:rStyle w:val="24"/>
          <w:rFonts w:hint="eastAsia" w:ascii="宋体" w:hAnsi="宋体" w:eastAsia="宋体" w:cs="宋体"/>
          <w:b/>
          <w:bCs/>
          <w:color w:val="auto"/>
          <w:sz w:val="28"/>
          <w:szCs w:val="28"/>
          <w:highlight w:val="none"/>
          <w:lang w:eastAsia="zh-CN"/>
        </w:rPr>
        <w:t>HHZY-2026-10</w:t>
      </w:r>
    </w:p>
    <w:p w14:paraId="52C6F3A0">
      <w:pPr>
        <w:spacing w:line="360" w:lineRule="auto"/>
        <w:jc w:val="center"/>
        <w:rPr>
          <w:rStyle w:val="24"/>
          <w:rFonts w:hint="eastAsia" w:ascii="宋体" w:hAnsi="宋体" w:eastAsia="宋体" w:cs="宋体"/>
          <w:b/>
          <w:color w:val="auto"/>
          <w:sz w:val="48"/>
          <w:szCs w:val="48"/>
          <w:highlight w:val="none"/>
        </w:rPr>
      </w:pPr>
    </w:p>
    <w:p w14:paraId="7F8A5A2A">
      <w:pPr>
        <w:spacing w:line="360" w:lineRule="auto"/>
        <w:jc w:val="center"/>
        <w:rPr>
          <w:rStyle w:val="24"/>
          <w:rFonts w:hint="eastAsia" w:ascii="宋体" w:hAnsi="宋体" w:eastAsia="宋体" w:cs="宋体"/>
          <w:b/>
          <w:color w:val="auto"/>
          <w:sz w:val="52"/>
          <w:szCs w:val="52"/>
          <w:highlight w:val="none"/>
          <w:lang w:eastAsia="zh-CN"/>
        </w:rPr>
      </w:pPr>
    </w:p>
    <w:p w14:paraId="23CEC33F">
      <w:pPr>
        <w:spacing w:line="360" w:lineRule="auto"/>
        <w:jc w:val="center"/>
        <w:rPr>
          <w:rStyle w:val="24"/>
          <w:rFonts w:hint="eastAsia" w:ascii="宋体" w:hAnsi="宋体" w:eastAsia="宋体" w:cs="宋体"/>
          <w:b/>
          <w:color w:val="auto"/>
          <w:sz w:val="52"/>
          <w:szCs w:val="52"/>
          <w:highlight w:val="none"/>
        </w:rPr>
      </w:pPr>
      <w:r>
        <w:rPr>
          <w:rStyle w:val="24"/>
          <w:rFonts w:hint="eastAsia" w:ascii="宋体" w:hAnsi="宋体" w:eastAsia="宋体" w:cs="宋体"/>
          <w:b/>
          <w:color w:val="auto"/>
          <w:sz w:val="52"/>
          <w:szCs w:val="52"/>
          <w:highlight w:val="none"/>
          <w:lang w:eastAsia="zh-CN"/>
        </w:rPr>
        <w:t>重症医学科专科服务能力提升项目设备</w:t>
      </w:r>
    </w:p>
    <w:p w14:paraId="55E8E289">
      <w:pPr>
        <w:spacing w:line="360" w:lineRule="auto"/>
        <w:jc w:val="center"/>
        <w:rPr>
          <w:rStyle w:val="24"/>
          <w:rFonts w:hint="eastAsia" w:ascii="宋体" w:hAnsi="宋体" w:eastAsia="宋体" w:cs="宋体"/>
          <w:b/>
          <w:color w:val="auto"/>
          <w:sz w:val="72"/>
          <w:szCs w:val="72"/>
          <w:highlight w:val="none"/>
        </w:rPr>
      </w:pPr>
    </w:p>
    <w:p w14:paraId="0C6CF6A1">
      <w:pPr>
        <w:spacing w:line="360" w:lineRule="auto"/>
        <w:jc w:val="center"/>
        <w:rPr>
          <w:rStyle w:val="24"/>
          <w:rFonts w:hint="eastAsia" w:ascii="宋体" w:hAnsi="宋体" w:eastAsia="宋体" w:cs="宋体"/>
          <w:b/>
          <w:color w:val="auto"/>
          <w:sz w:val="72"/>
          <w:szCs w:val="72"/>
          <w:highlight w:val="none"/>
        </w:rPr>
      </w:pPr>
      <w:r>
        <w:rPr>
          <w:rStyle w:val="24"/>
          <w:rFonts w:hint="eastAsia" w:ascii="宋体" w:hAnsi="宋体" w:eastAsia="宋体" w:cs="宋体"/>
          <w:b/>
          <w:color w:val="auto"/>
          <w:sz w:val="72"/>
          <w:szCs w:val="72"/>
          <w:highlight w:val="none"/>
        </w:rPr>
        <w:t>招标文件</w:t>
      </w:r>
    </w:p>
    <w:p w14:paraId="1366FE25">
      <w:pPr>
        <w:spacing w:line="360" w:lineRule="auto"/>
        <w:rPr>
          <w:rStyle w:val="24"/>
          <w:rFonts w:hint="eastAsia" w:ascii="宋体" w:hAnsi="宋体" w:eastAsia="宋体" w:cs="宋体"/>
          <w:b/>
          <w:color w:val="auto"/>
          <w:sz w:val="44"/>
          <w:szCs w:val="44"/>
          <w:highlight w:val="none"/>
        </w:rPr>
      </w:pPr>
    </w:p>
    <w:p w14:paraId="73DCF88E">
      <w:pPr>
        <w:spacing w:line="360" w:lineRule="auto"/>
        <w:jc w:val="left"/>
        <w:rPr>
          <w:rStyle w:val="24"/>
          <w:rFonts w:hint="eastAsia" w:ascii="宋体" w:hAnsi="宋体" w:eastAsia="宋体" w:cs="宋体"/>
          <w:b/>
          <w:color w:val="auto"/>
          <w:sz w:val="32"/>
          <w:szCs w:val="32"/>
          <w:highlight w:val="none"/>
        </w:rPr>
      </w:pPr>
    </w:p>
    <w:p w14:paraId="3E119DBC">
      <w:pPr>
        <w:spacing w:line="360" w:lineRule="auto"/>
        <w:jc w:val="left"/>
        <w:rPr>
          <w:rStyle w:val="24"/>
          <w:rFonts w:hint="eastAsia" w:ascii="宋体" w:hAnsi="宋体" w:eastAsia="宋体" w:cs="宋体"/>
          <w:b/>
          <w:color w:val="auto"/>
          <w:sz w:val="32"/>
          <w:szCs w:val="32"/>
          <w:highlight w:val="none"/>
        </w:rPr>
      </w:pPr>
    </w:p>
    <w:p w14:paraId="209611CC">
      <w:pPr>
        <w:rPr>
          <w:rStyle w:val="24"/>
          <w:rFonts w:hint="eastAsia" w:ascii="宋体" w:hAnsi="宋体" w:eastAsia="宋体" w:cs="宋体"/>
          <w:b/>
          <w:color w:val="auto"/>
          <w:sz w:val="32"/>
          <w:szCs w:val="32"/>
          <w:highlight w:val="none"/>
        </w:rPr>
      </w:pPr>
    </w:p>
    <w:p w14:paraId="5569E181">
      <w:pPr>
        <w:pStyle w:val="22"/>
        <w:rPr>
          <w:rFonts w:hint="eastAsia" w:ascii="宋体" w:hAnsi="宋体" w:eastAsia="宋体" w:cs="宋体"/>
          <w:color w:val="auto"/>
        </w:rPr>
      </w:pPr>
    </w:p>
    <w:p w14:paraId="475B8145">
      <w:pPr>
        <w:ind w:leftChars="400"/>
        <w:rPr>
          <w:rStyle w:val="24"/>
          <w:rFonts w:hint="eastAsia" w:ascii="宋体" w:hAnsi="宋体" w:eastAsia="宋体" w:cs="宋体"/>
          <w:b/>
          <w:color w:val="auto"/>
          <w:sz w:val="32"/>
          <w:szCs w:val="32"/>
          <w:highlight w:val="none"/>
        </w:rPr>
      </w:pPr>
    </w:p>
    <w:p w14:paraId="561176B4">
      <w:pPr>
        <w:ind w:leftChars="400"/>
        <w:rPr>
          <w:rStyle w:val="24"/>
          <w:rFonts w:hint="eastAsia" w:ascii="宋体" w:hAnsi="宋体" w:eastAsia="宋体" w:cs="宋体"/>
          <w:b/>
          <w:color w:val="auto"/>
          <w:sz w:val="32"/>
          <w:szCs w:val="32"/>
          <w:highlight w:val="none"/>
        </w:rPr>
      </w:pPr>
    </w:p>
    <w:p w14:paraId="7FD14427">
      <w:pPr>
        <w:spacing w:line="480" w:lineRule="auto"/>
        <w:ind w:leftChars="400"/>
        <w:jc w:val="both"/>
        <w:rPr>
          <w:rStyle w:val="24"/>
          <w:rFonts w:hint="eastAsia" w:ascii="宋体" w:hAnsi="宋体" w:eastAsia="宋体" w:cs="宋体"/>
          <w:b/>
          <w:color w:val="auto"/>
          <w:sz w:val="32"/>
          <w:szCs w:val="32"/>
          <w:highlight w:val="none"/>
          <w:lang w:eastAsia="zh-CN"/>
        </w:rPr>
      </w:pPr>
      <w:r>
        <w:rPr>
          <w:rStyle w:val="24"/>
          <w:rFonts w:hint="eastAsia" w:ascii="宋体" w:hAnsi="宋体" w:eastAsia="宋体" w:cs="宋体"/>
          <w:b/>
          <w:color w:val="auto"/>
          <w:sz w:val="32"/>
          <w:szCs w:val="32"/>
          <w:highlight w:val="none"/>
        </w:rPr>
        <w:t>采</w:t>
      </w:r>
      <w:r>
        <w:rPr>
          <w:rStyle w:val="24"/>
          <w:rFonts w:hint="eastAsia" w:ascii="宋体" w:hAnsi="宋体" w:eastAsia="宋体" w:cs="宋体"/>
          <w:b/>
          <w:color w:val="auto"/>
          <w:sz w:val="32"/>
          <w:szCs w:val="32"/>
          <w:highlight w:val="none"/>
          <w:lang w:val="en-US" w:eastAsia="zh-CN"/>
        </w:rPr>
        <w:t xml:space="preserve"> </w:t>
      </w:r>
      <w:r>
        <w:rPr>
          <w:rStyle w:val="24"/>
          <w:rFonts w:hint="eastAsia" w:ascii="宋体" w:hAnsi="宋体" w:eastAsia="宋体" w:cs="宋体"/>
          <w:b/>
          <w:color w:val="auto"/>
          <w:sz w:val="32"/>
          <w:szCs w:val="32"/>
          <w:highlight w:val="none"/>
        </w:rPr>
        <w:t>购</w:t>
      </w:r>
      <w:r>
        <w:rPr>
          <w:rStyle w:val="24"/>
          <w:rFonts w:hint="eastAsia" w:ascii="宋体" w:hAnsi="宋体" w:eastAsia="宋体" w:cs="宋体"/>
          <w:b/>
          <w:color w:val="auto"/>
          <w:sz w:val="32"/>
          <w:szCs w:val="32"/>
          <w:highlight w:val="none"/>
          <w:lang w:val="en-US" w:eastAsia="zh-CN"/>
        </w:rPr>
        <w:t xml:space="preserve"> </w:t>
      </w:r>
      <w:r>
        <w:rPr>
          <w:rStyle w:val="24"/>
          <w:rFonts w:hint="eastAsia" w:ascii="宋体" w:hAnsi="宋体" w:eastAsia="宋体" w:cs="宋体"/>
          <w:b/>
          <w:color w:val="auto"/>
          <w:sz w:val="32"/>
          <w:szCs w:val="32"/>
          <w:highlight w:val="none"/>
        </w:rPr>
        <w:t>单</w:t>
      </w:r>
      <w:r>
        <w:rPr>
          <w:rStyle w:val="24"/>
          <w:rFonts w:hint="eastAsia" w:ascii="宋体" w:hAnsi="宋体" w:eastAsia="宋体" w:cs="宋体"/>
          <w:b/>
          <w:color w:val="auto"/>
          <w:sz w:val="32"/>
          <w:szCs w:val="32"/>
          <w:highlight w:val="none"/>
          <w:lang w:val="en-US" w:eastAsia="zh-CN"/>
        </w:rPr>
        <w:t xml:space="preserve"> </w:t>
      </w:r>
      <w:r>
        <w:rPr>
          <w:rStyle w:val="24"/>
          <w:rFonts w:hint="eastAsia" w:ascii="宋体" w:hAnsi="宋体" w:eastAsia="宋体" w:cs="宋体"/>
          <w:b/>
          <w:color w:val="auto"/>
          <w:sz w:val="32"/>
          <w:szCs w:val="32"/>
          <w:highlight w:val="none"/>
        </w:rPr>
        <w:t>位：</w:t>
      </w:r>
      <w:r>
        <w:rPr>
          <w:rStyle w:val="24"/>
          <w:rFonts w:hint="eastAsia" w:ascii="宋体" w:hAnsi="宋体" w:eastAsia="宋体" w:cs="宋体"/>
          <w:b/>
          <w:color w:val="auto"/>
          <w:sz w:val="32"/>
          <w:szCs w:val="32"/>
          <w:highlight w:val="none"/>
          <w:lang w:eastAsia="zh-CN"/>
        </w:rPr>
        <w:t>白河县人民医院</w:t>
      </w:r>
    </w:p>
    <w:p w14:paraId="40A1FA58">
      <w:pPr>
        <w:spacing w:line="480" w:lineRule="auto"/>
        <w:ind w:leftChars="400"/>
        <w:jc w:val="both"/>
        <w:rPr>
          <w:rStyle w:val="24"/>
          <w:rFonts w:hint="eastAsia" w:ascii="宋体" w:hAnsi="宋体" w:eastAsia="宋体" w:cs="宋体"/>
          <w:b/>
          <w:color w:val="auto"/>
          <w:sz w:val="32"/>
          <w:szCs w:val="32"/>
          <w:highlight w:val="none"/>
          <w:lang w:eastAsia="zh-CN"/>
        </w:rPr>
      </w:pPr>
      <w:r>
        <w:rPr>
          <w:rStyle w:val="24"/>
          <w:rFonts w:hint="eastAsia" w:ascii="宋体" w:hAnsi="宋体" w:eastAsia="宋体" w:cs="宋体"/>
          <w:b/>
          <w:color w:val="auto"/>
          <w:sz w:val="32"/>
          <w:szCs w:val="32"/>
          <w:highlight w:val="none"/>
        </w:rPr>
        <w:t>采购代理机构：</w:t>
      </w:r>
      <w:r>
        <w:rPr>
          <w:rStyle w:val="24"/>
          <w:rFonts w:hint="eastAsia" w:ascii="宋体" w:hAnsi="宋体" w:eastAsia="宋体" w:cs="宋体"/>
          <w:b/>
          <w:color w:val="auto"/>
          <w:sz w:val="32"/>
          <w:szCs w:val="32"/>
          <w:highlight w:val="none"/>
          <w:lang w:eastAsia="zh-CN"/>
        </w:rPr>
        <w:t>安康华昊智远项目管理有限公司</w:t>
      </w:r>
    </w:p>
    <w:p w14:paraId="0FE79002">
      <w:pPr>
        <w:spacing w:line="480" w:lineRule="auto"/>
        <w:jc w:val="center"/>
        <w:rPr>
          <w:rStyle w:val="24"/>
          <w:rFonts w:hint="eastAsia" w:ascii="宋体" w:hAnsi="宋体" w:eastAsia="宋体" w:cs="宋体"/>
          <w:b/>
          <w:color w:val="auto"/>
          <w:sz w:val="48"/>
          <w:szCs w:val="48"/>
          <w:highlight w:val="none"/>
        </w:rPr>
      </w:pPr>
      <w:r>
        <w:rPr>
          <w:rStyle w:val="24"/>
          <w:rFonts w:hint="eastAsia" w:ascii="宋体" w:hAnsi="宋体" w:cs="宋体"/>
          <w:b/>
          <w:color w:val="auto"/>
          <w:sz w:val="32"/>
          <w:szCs w:val="32"/>
          <w:highlight w:val="none"/>
          <w:lang w:eastAsia="zh-CN"/>
        </w:rPr>
        <w:t>二〇二六</w:t>
      </w:r>
      <w:r>
        <w:rPr>
          <w:rStyle w:val="24"/>
          <w:rFonts w:hint="eastAsia" w:ascii="宋体" w:hAnsi="宋体" w:eastAsia="宋体" w:cs="宋体"/>
          <w:b/>
          <w:color w:val="auto"/>
          <w:sz w:val="32"/>
          <w:szCs w:val="32"/>
          <w:highlight w:val="none"/>
        </w:rPr>
        <w:t>年</w:t>
      </w:r>
      <w:r>
        <w:rPr>
          <w:rStyle w:val="24"/>
          <w:rFonts w:hint="eastAsia" w:ascii="宋体" w:hAnsi="宋体" w:cs="宋体"/>
          <w:b/>
          <w:color w:val="auto"/>
          <w:sz w:val="32"/>
          <w:szCs w:val="32"/>
          <w:highlight w:val="none"/>
          <w:lang w:val="en-US" w:eastAsia="zh-CN"/>
        </w:rPr>
        <w:t>九</w:t>
      </w:r>
      <w:r>
        <w:rPr>
          <w:rStyle w:val="24"/>
          <w:rFonts w:hint="eastAsia" w:ascii="宋体" w:hAnsi="宋体" w:eastAsia="宋体" w:cs="宋体"/>
          <w:b/>
          <w:color w:val="auto"/>
          <w:sz w:val="32"/>
          <w:szCs w:val="32"/>
          <w:highlight w:val="none"/>
        </w:rPr>
        <w:t>月</w:t>
      </w:r>
    </w:p>
    <w:p w14:paraId="1F5EF1E1">
      <w:pPr>
        <w:spacing w:line="360" w:lineRule="auto"/>
        <w:jc w:val="center"/>
        <w:rPr>
          <w:rFonts w:hint="eastAsia" w:ascii="宋体" w:hAnsi="宋体" w:eastAsia="宋体" w:cs="宋体"/>
          <w:b/>
          <w:bCs/>
          <w:color w:val="auto"/>
          <w:sz w:val="44"/>
          <w:szCs w:val="44"/>
          <w:highlight w:val="none"/>
        </w:rPr>
        <w:sectPr>
          <w:headerReference r:id="rId3" w:type="default"/>
          <w:footerReference r:id="rId4" w:type="default"/>
          <w:pgSz w:w="11905" w:h="16840"/>
          <w:pgMar w:top="1385" w:right="1361" w:bottom="1361" w:left="1474" w:header="0" w:footer="850" w:gutter="0"/>
          <w:pgBorders>
            <w:top w:val="none" w:sz="0" w:space="0"/>
            <w:left w:val="none" w:sz="0" w:space="0"/>
            <w:bottom w:val="none" w:sz="0" w:space="0"/>
            <w:right w:val="none" w:sz="0" w:space="0"/>
          </w:pgBorders>
          <w:pgNumType w:fmt="numberInDash"/>
          <w:cols w:space="720" w:num="1"/>
        </w:sectPr>
      </w:pPr>
    </w:p>
    <w:p w14:paraId="5D41D802">
      <w:pPr>
        <w:pStyle w:val="10"/>
        <w:rPr>
          <w:rFonts w:hint="eastAsia" w:ascii="宋体" w:hAnsi="宋体" w:eastAsia="宋体" w:cs="宋体"/>
          <w:color w:val="auto"/>
        </w:rPr>
      </w:pPr>
    </w:p>
    <w:p w14:paraId="11B0161E">
      <w:pPr>
        <w:spacing w:line="360" w:lineRule="auto"/>
        <w:jc w:val="center"/>
        <w:rPr>
          <w:rFonts w:hint="eastAsia" w:ascii="宋体" w:hAnsi="宋体" w:eastAsia="宋体" w:cs="宋体"/>
          <w:b/>
          <w:bCs/>
          <w:color w:val="auto"/>
          <w:sz w:val="44"/>
          <w:szCs w:val="44"/>
          <w:highlight w:val="none"/>
        </w:rPr>
      </w:pPr>
    </w:p>
    <w:p w14:paraId="0440E5FC">
      <w:pPr>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目   录</w:t>
      </w:r>
    </w:p>
    <w:p w14:paraId="659F9652">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p>
    <w:p w14:paraId="3C331BD6">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p>
    <w:p w14:paraId="25E1D0C8">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第一部分    招标公告</w:t>
      </w:r>
    </w:p>
    <w:p w14:paraId="4A98E564">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1060" w:leftChars="0" w:firstLine="0" w:firstLineChars="0"/>
        <w:textAlignment w:val="auto"/>
        <w:rPr>
          <w:rFonts w:hint="eastAsia" w:ascii="宋体" w:hAnsi="宋体" w:eastAsia="宋体" w:cs="宋体"/>
          <w:b/>
          <w:bCs/>
          <w:color w:val="auto"/>
          <w:sz w:val="32"/>
          <w:szCs w:val="32"/>
          <w:highlight w:val="none"/>
        </w:rPr>
      </w:pPr>
      <w:r>
        <w:rPr>
          <w:rFonts w:hint="eastAsia" w:ascii="宋体" w:hAnsi="宋体" w:eastAsia="宋体" w:cs="宋体"/>
          <w:b/>
          <w:color w:val="auto"/>
          <w:kern w:val="2"/>
          <w:sz w:val="32"/>
          <w:szCs w:val="32"/>
          <w:lang w:val="en-US" w:eastAsia="zh-CN" w:bidi="ar-SA"/>
        </w:rPr>
        <w:t>第二部分</w:t>
      </w:r>
      <w:r>
        <w:rPr>
          <w:rFonts w:hint="eastAsia" w:ascii="宋体" w:hAnsi="宋体" w:eastAsia="宋体" w:cs="宋体"/>
          <w:b/>
          <w:color w:val="auto"/>
          <w:sz w:val="32"/>
          <w:szCs w:val="32"/>
          <w:highlight w:val="none"/>
        </w:rPr>
        <w:t xml:space="preserve">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bCs/>
          <w:color w:val="auto"/>
          <w:sz w:val="32"/>
          <w:szCs w:val="32"/>
          <w:highlight w:val="none"/>
        </w:rPr>
        <w:t>投标须知前附表</w:t>
      </w:r>
    </w:p>
    <w:p w14:paraId="6653AF1C">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1060" w:leftChars="0" w:firstLine="0" w:firstLineChars="0"/>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第三部分    投标须知</w:t>
      </w:r>
    </w:p>
    <w:p w14:paraId="350D285C">
      <w:pPr>
        <w:keepNext w:val="0"/>
        <w:keepLines w:val="0"/>
        <w:pageBreakBefore w:val="0"/>
        <w:widowControl w:val="0"/>
        <w:kinsoku/>
        <w:wordWrap/>
        <w:overflowPunct/>
        <w:topLinePunct w:val="0"/>
        <w:autoSpaceDE/>
        <w:autoSpaceDN/>
        <w:bidi w:val="0"/>
        <w:adjustRightInd w:val="0"/>
        <w:snapToGrid w:val="0"/>
        <w:spacing w:line="360" w:lineRule="auto"/>
        <w:ind w:firstLine="1063" w:firstLineChars="331"/>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第四部分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采购内容及要求</w:t>
      </w:r>
    </w:p>
    <w:p w14:paraId="7DA20D02">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第五部分    合同主要条款</w:t>
      </w:r>
    </w:p>
    <w:p w14:paraId="4FB9DE1D">
      <w:pPr>
        <w:keepNext w:val="0"/>
        <w:keepLines w:val="0"/>
        <w:pageBreakBefore w:val="0"/>
        <w:widowControl w:val="0"/>
        <w:kinsoku/>
        <w:wordWrap/>
        <w:overflowPunct/>
        <w:topLinePunct w:val="0"/>
        <w:autoSpaceDE/>
        <w:autoSpaceDN/>
        <w:bidi w:val="0"/>
        <w:adjustRightInd w:val="0"/>
        <w:snapToGrid w:val="0"/>
        <w:spacing w:line="360" w:lineRule="auto"/>
        <w:ind w:left="420" w:leftChars="200" w:firstLine="643" w:firstLineChars="200"/>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w:t>
      </w:r>
      <w:r>
        <w:rPr>
          <w:rFonts w:hint="eastAsia" w:ascii="宋体" w:hAnsi="宋体" w:eastAsia="宋体" w:cs="宋体"/>
          <w:b/>
          <w:color w:val="auto"/>
          <w:sz w:val="32"/>
          <w:szCs w:val="32"/>
          <w:highlight w:val="none"/>
          <w:lang w:val="en-US" w:eastAsia="zh-CN"/>
        </w:rPr>
        <w:t>六</w:t>
      </w:r>
      <w:r>
        <w:rPr>
          <w:rFonts w:hint="eastAsia" w:ascii="宋体" w:hAnsi="宋体" w:eastAsia="宋体" w:cs="宋体"/>
          <w:b/>
          <w:color w:val="auto"/>
          <w:sz w:val="32"/>
          <w:szCs w:val="32"/>
          <w:highlight w:val="none"/>
        </w:rPr>
        <w:t>部分    投标文件格式</w:t>
      </w:r>
    </w:p>
    <w:p w14:paraId="4168BC55">
      <w:pPr>
        <w:rPr>
          <w:rFonts w:hint="eastAsia" w:ascii="宋体" w:hAnsi="宋体" w:eastAsia="宋体" w:cs="宋体"/>
          <w:color w:val="auto"/>
          <w:highlight w:val="none"/>
        </w:rPr>
      </w:pPr>
      <w:r>
        <w:rPr>
          <w:rFonts w:hint="eastAsia" w:ascii="宋体" w:hAnsi="宋体" w:eastAsia="宋体" w:cs="宋体"/>
          <w:b/>
          <w:bCs/>
          <w:color w:val="auto"/>
          <w:sz w:val="32"/>
          <w:szCs w:val="32"/>
          <w:highlight w:val="none"/>
        </w:rPr>
        <w:br w:type="page"/>
      </w:r>
    </w:p>
    <w:p w14:paraId="047A63BD">
      <w:pPr>
        <w:pStyle w:val="2"/>
        <w:bidi w:val="0"/>
        <w:spacing w:line="240" w:lineRule="auto"/>
        <w:jc w:val="cente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t>第一部分  招标公告</w:t>
      </w:r>
    </w:p>
    <w:p w14:paraId="7CB1BCC9">
      <w:pPr>
        <w:bidi w:val="0"/>
        <w:rPr>
          <w:rFonts w:hint="eastAsia" w:ascii="宋体" w:hAnsi="宋体" w:eastAsia="宋体" w:cs="宋体"/>
          <w:b w:val="0"/>
          <w:bCs w:val="0"/>
          <w:color w:val="auto"/>
          <w:sz w:val="24"/>
          <w:szCs w:val="24"/>
        </w:rPr>
      </w:pPr>
      <w:r>
        <w:rPr>
          <w:rStyle w:val="18"/>
          <w:rFonts w:hint="eastAsia" w:ascii="宋体" w:hAnsi="宋体" w:eastAsia="宋体" w:cs="宋体"/>
          <w:b/>
          <w:bCs/>
          <w:i w:val="0"/>
          <w:iCs w:val="0"/>
          <w:caps w:val="0"/>
          <w:color w:val="auto"/>
          <w:spacing w:val="0"/>
          <w:sz w:val="24"/>
          <w:szCs w:val="24"/>
          <w:shd w:val="clear" w:color="auto" w:fill="FFFFFF"/>
        </w:rPr>
        <w:t>项目概况</w:t>
      </w:r>
    </w:p>
    <w:p w14:paraId="6B62038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重症医学科专科服务能力提升项目设备招标项目的潜在投标人应在全国公共资源交易中心平台 （陕西省.安康市）获取招标文件，并于 2026年09月29日 16时00分 （北京时间）前递交投标文件。</w:t>
      </w:r>
    </w:p>
    <w:p w14:paraId="652D27C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一、项目基本情况</w:t>
      </w:r>
    </w:p>
    <w:p w14:paraId="056C276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项目编号：</w:t>
      </w:r>
      <w:r>
        <w:rPr>
          <w:rFonts w:hint="eastAsia" w:ascii="宋体" w:hAnsi="宋体" w:eastAsia="宋体" w:cs="宋体"/>
          <w:i w:val="0"/>
          <w:iCs w:val="0"/>
          <w:caps w:val="0"/>
          <w:color w:val="auto"/>
          <w:spacing w:val="0"/>
          <w:sz w:val="24"/>
          <w:szCs w:val="24"/>
          <w:shd w:val="clear" w:color="auto" w:fill="FFFFFF"/>
          <w:lang w:eastAsia="zh-CN"/>
        </w:rPr>
        <w:t>HHZY-2026-10</w:t>
      </w:r>
    </w:p>
    <w:p w14:paraId="31D4984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项目名称：</w:t>
      </w:r>
      <w:r>
        <w:rPr>
          <w:rFonts w:hint="eastAsia" w:ascii="宋体" w:hAnsi="宋体" w:eastAsia="宋体" w:cs="宋体"/>
          <w:i w:val="0"/>
          <w:iCs w:val="0"/>
          <w:caps w:val="0"/>
          <w:color w:val="auto"/>
          <w:spacing w:val="0"/>
          <w:sz w:val="24"/>
          <w:szCs w:val="24"/>
          <w:shd w:val="clear" w:color="auto" w:fill="FFFFFF"/>
          <w:lang w:eastAsia="zh-CN"/>
        </w:rPr>
        <w:t>重症医学科专科服务能力提升项目设备</w:t>
      </w:r>
    </w:p>
    <w:p w14:paraId="0873DB51">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采购方式：公开招标</w:t>
      </w:r>
    </w:p>
    <w:p w14:paraId="3701C76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预算金额：</w:t>
      </w:r>
      <w:r>
        <w:rPr>
          <w:rFonts w:hint="eastAsia" w:ascii="宋体" w:hAnsi="宋体" w:eastAsia="宋体" w:cs="宋体"/>
          <w:i w:val="0"/>
          <w:iCs w:val="0"/>
          <w:caps w:val="0"/>
          <w:color w:val="auto"/>
          <w:spacing w:val="0"/>
          <w:sz w:val="24"/>
          <w:szCs w:val="24"/>
          <w:shd w:val="clear" w:color="auto" w:fill="FFFFFF"/>
          <w:lang w:val="en-US" w:eastAsia="zh-CN"/>
        </w:rPr>
        <w:t>3000000.00</w:t>
      </w:r>
      <w:r>
        <w:rPr>
          <w:rFonts w:hint="eastAsia" w:ascii="宋体" w:hAnsi="宋体" w:eastAsia="宋体" w:cs="宋体"/>
          <w:i w:val="0"/>
          <w:iCs w:val="0"/>
          <w:caps w:val="0"/>
          <w:color w:val="auto"/>
          <w:spacing w:val="0"/>
          <w:sz w:val="24"/>
          <w:szCs w:val="24"/>
          <w:shd w:val="clear" w:color="auto" w:fill="FFFFFF"/>
        </w:rPr>
        <w:t>元</w:t>
      </w:r>
    </w:p>
    <w:p w14:paraId="4D2297B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采购需求：</w:t>
      </w:r>
    </w:p>
    <w:p w14:paraId="575E0A4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合同包1(重症医学科专科服务能力提升项目设备):</w:t>
      </w:r>
    </w:p>
    <w:p w14:paraId="51D4E63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合同包预算金额：3,000,000.00元</w:t>
      </w:r>
    </w:p>
    <w:p w14:paraId="0C5AA2A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合同包最高限价：2,280,000.00元</w:t>
      </w:r>
    </w:p>
    <w:tbl>
      <w:tblPr>
        <w:tblStyle w:val="15"/>
        <w:tblW w:w="935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674"/>
        <w:gridCol w:w="1701"/>
        <w:gridCol w:w="2616"/>
        <w:gridCol w:w="1290"/>
        <w:gridCol w:w="1445"/>
        <w:gridCol w:w="1632"/>
      </w:tblGrid>
      <w:tr w14:paraId="682D07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839" w:hRule="atLeast"/>
          <w:tblHeader/>
        </w:trPr>
        <w:tc>
          <w:tcPr>
            <w:tcW w:w="674"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527E5460">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lang w:val="en-US" w:eastAsia="zh-CN" w:bidi="ar"/>
              </w:rPr>
              <w:t>品目号</w:t>
            </w:r>
          </w:p>
        </w:tc>
        <w:tc>
          <w:tcPr>
            <w:tcW w:w="1701"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2A489358">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lang w:val="en-US" w:eastAsia="zh-CN" w:bidi="ar"/>
              </w:rPr>
              <w:t>品目名称</w:t>
            </w:r>
          </w:p>
        </w:tc>
        <w:tc>
          <w:tcPr>
            <w:tcW w:w="2616"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C270B94">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lang w:val="en-US" w:eastAsia="zh-CN" w:bidi="ar"/>
              </w:rPr>
              <w:t>采购标的</w:t>
            </w:r>
          </w:p>
        </w:tc>
        <w:tc>
          <w:tcPr>
            <w:tcW w:w="1290"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6F105314">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lang w:val="en-US" w:eastAsia="zh-CN" w:bidi="ar"/>
              </w:rPr>
              <w:t>数量（单位）</w:t>
            </w:r>
          </w:p>
        </w:tc>
        <w:tc>
          <w:tcPr>
            <w:tcW w:w="1445"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6797FF4F">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lang w:val="en-US" w:eastAsia="zh-CN" w:bidi="ar"/>
              </w:rPr>
              <w:t>技术规格、参数及要求</w:t>
            </w:r>
          </w:p>
        </w:tc>
        <w:tc>
          <w:tcPr>
            <w:tcW w:w="1632"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590F203F">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kern w:val="0"/>
                <w:sz w:val="21"/>
                <w:szCs w:val="21"/>
                <w:lang w:val="en-US" w:eastAsia="zh-CN" w:bidi="ar"/>
              </w:rPr>
              <w:t>品目预算</w:t>
            </w:r>
            <w:r>
              <w:rPr>
                <w:rFonts w:hint="eastAsia" w:ascii="宋体" w:hAnsi="宋体" w:cs="宋体"/>
                <w:b/>
                <w:bCs/>
                <w:i w:val="0"/>
                <w:iCs w:val="0"/>
                <w:caps w:val="0"/>
                <w:color w:val="auto"/>
                <w:spacing w:val="0"/>
                <w:kern w:val="0"/>
                <w:sz w:val="21"/>
                <w:szCs w:val="21"/>
                <w:lang w:val="en-US" w:eastAsia="zh-CN" w:bidi="ar"/>
              </w:rPr>
              <w:t>（</w:t>
            </w:r>
            <w:r>
              <w:rPr>
                <w:rFonts w:hint="eastAsia" w:ascii="宋体" w:hAnsi="宋体" w:eastAsia="宋体" w:cs="宋体"/>
                <w:b/>
                <w:bCs/>
                <w:i w:val="0"/>
                <w:iCs w:val="0"/>
                <w:caps w:val="0"/>
                <w:color w:val="auto"/>
                <w:spacing w:val="0"/>
                <w:kern w:val="0"/>
                <w:sz w:val="21"/>
                <w:szCs w:val="21"/>
                <w:lang w:val="en-US" w:eastAsia="zh-CN" w:bidi="ar"/>
              </w:rPr>
              <w:t>元</w:t>
            </w:r>
            <w:r>
              <w:rPr>
                <w:rFonts w:hint="eastAsia" w:ascii="宋体" w:hAnsi="宋体" w:cs="宋体"/>
                <w:b/>
                <w:bCs/>
                <w:i w:val="0"/>
                <w:iCs w:val="0"/>
                <w:caps w:val="0"/>
                <w:color w:val="auto"/>
                <w:spacing w:val="0"/>
                <w:kern w:val="0"/>
                <w:sz w:val="21"/>
                <w:szCs w:val="21"/>
                <w:lang w:val="en-US" w:eastAsia="zh-CN" w:bidi="ar"/>
              </w:rPr>
              <w:t>）</w:t>
            </w:r>
          </w:p>
        </w:tc>
      </w:tr>
      <w:tr w14:paraId="66B7558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0" w:type="auto"/>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FAE28B9">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kern w:val="0"/>
                <w:sz w:val="21"/>
                <w:szCs w:val="21"/>
                <w:lang w:val="en-US" w:eastAsia="zh-CN" w:bidi="ar"/>
              </w:rPr>
              <w:t>1-1</w:t>
            </w:r>
          </w:p>
        </w:tc>
        <w:tc>
          <w:tcPr>
            <w:tcW w:w="1701"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2EC9E21E">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急救和生命支持设备</w:t>
            </w:r>
          </w:p>
        </w:tc>
        <w:tc>
          <w:tcPr>
            <w:tcW w:w="2616"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0AE8552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240" w:lineRule="auto"/>
              <w:ind w:right="0"/>
              <w:jc w:val="both"/>
              <w:textAlignment w:val="auto"/>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重症医学科专科服务能力提升设备</w:t>
            </w:r>
          </w:p>
        </w:tc>
        <w:tc>
          <w:tcPr>
            <w:tcW w:w="1290"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28449D15">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1</w:t>
            </w:r>
            <w:r>
              <w:rPr>
                <w:rFonts w:hint="eastAsia" w:ascii="宋体" w:hAnsi="宋体" w:cs="宋体"/>
                <w:i w:val="0"/>
                <w:iCs w:val="0"/>
                <w:caps w:val="0"/>
                <w:color w:val="auto"/>
                <w:spacing w:val="0"/>
                <w:kern w:val="0"/>
                <w:sz w:val="24"/>
                <w:szCs w:val="24"/>
                <w:shd w:val="clear" w:color="auto" w:fill="FFFFFF"/>
                <w:lang w:val="en-US" w:eastAsia="zh-CN" w:bidi="ar-SA"/>
              </w:rPr>
              <w:t>（</w:t>
            </w:r>
            <w:r>
              <w:rPr>
                <w:rFonts w:hint="eastAsia" w:ascii="宋体" w:hAnsi="宋体" w:eastAsia="宋体" w:cs="宋体"/>
                <w:i w:val="0"/>
                <w:iCs w:val="0"/>
                <w:caps w:val="0"/>
                <w:color w:val="auto"/>
                <w:spacing w:val="0"/>
                <w:kern w:val="0"/>
                <w:sz w:val="24"/>
                <w:szCs w:val="24"/>
                <w:shd w:val="clear" w:color="auto" w:fill="FFFFFF"/>
                <w:lang w:val="en-US" w:eastAsia="zh-CN" w:bidi="ar-SA"/>
              </w:rPr>
              <w:t>批</w:t>
            </w:r>
            <w:r>
              <w:rPr>
                <w:rFonts w:hint="eastAsia" w:ascii="宋体" w:hAnsi="宋体" w:cs="宋体"/>
                <w:i w:val="0"/>
                <w:iCs w:val="0"/>
                <w:caps w:val="0"/>
                <w:color w:val="auto"/>
                <w:spacing w:val="0"/>
                <w:kern w:val="0"/>
                <w:sz w:val="24"/>
                <w:szCs w:val="24"/>
                <w:shd w:val="clear" w:color="auto" w:fill="FFFFFF"/>
                <w:lang w:val="en-US" w:eastAsia="zh-CN" w:bidi="ar-SA"/>
              </w:rPr>
              <w:t>）</w:t>
            </w:r>
          </w:p>
        </w:tc>
        <w:tc>
          <w:tcPr>
            <w:tcW w:w="1445"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4D9B4D75">
            <w:pPr>
              <w:keepNext w:val="0"/>
              <w:keepLines w:val="0"/>
              <w:widowControl/>
              <w:suppressLineNumbers w:val="0"/>
              <w:wordWrap w:val="0"/>
              <w:spacing w:before="0" w:beforeAutospacing="0" w:after="0" w:afterAutospacing="0" w:line="288" w:lineRule="atLeast"/>
              <w:ind w:left="0" w:right="0"/>
              <w:jc w:val="center"/>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详见采购文件</w:t>
            </w:r>
          </w:p>
        </w:tc>
        <w:tc>
          <w:tcPr>
            <w:tcW w:w="1632" w:type="dxa"/>
            <w:tcBorders>
              <w:top w:val="single" w:color="333333" w:sz="4" w:space="0"/>
              <w:left w:val="single" w:color="333333" w:sz="4" w:space="0"/>
              <w:bottom w:val="single" w:color="333333" w:sz="4" w:space="0"/>
              <w:right w:val="single" w:color="333333" w:sz="4" w:space="0"/>
            </w:tcBorders>
            <w:shd w:val="clear" w:color="auto" w:fill="FFFFFF"/>
            <w:tcMar>
              <w:top w:w="60" w:type="dxa"/>
              <w:left w:w="96" w:type="dxa"/>
              <w:bottom w:w="60" w:type="dxa"/>
              <w:right w:w="96" w:type="dxa"/>
            </w:tcMar>
            <w:vAlign w:val="center"/>
          </w:tcPr>
          <w:p w14:paraId="33FCFE02">
            <w:pPr>
              <w:keepNext w:val="0"/>
              <w:keepLines w:val="0"/>
              <w:widowControl/>
              <w:suppressLineNumbers w:val="0"/>
              <w:wordWrap/>
              <w:spacing w:before="0" w:beforeAutospacing="0" w:after="0" w:afterAutospacing="0" w:line="288" w:lineRule="atLeast"/>
              <w:ind w:left="0" w:right="0"/>
              <w:jc w:val="right"/>
              <w:rPr>
                <w:rFonts w:hint="eastAsia" w:ascii="宋体" w:hAnsi="宋体" w:eastAsia="宋体" w:cs="宋体"/>
                <w:i w:val="0"/>
                <w:iCs w:val="0"/>
                <w:caps w:val="0"/>
                <w:color w:val="auto"/>
                <w:spacing w:val="0"/>
                <w:kern w:val="0"/>
                <w:sz w:val="24"/>
                <w:szCs w:val="24"/>
                <w:shd w:val="clear" w:color="auto" w:fill="FFFFFF"/>
                <w:lang w:val="en-US" w:eastAsia="zh-CN" w:bidi="ar-SA"/>
              </w:rPr>
            </w:pPr>
            <w:r>
              <w:rPr>
                <w:rFonts w:hint="eastAsia" w:ascii="宋体" w:hAnsi="宋体" w:eastAsia="宋体" w:cs="宋体"/>
                <w:i w:val="0"/>
                <w:iCs w:val="0"/>
                <w:caps w:val="0"/>
                <w:color w:val="auto"/>
                <w:spacing w:val="0"/>
                <w:kern w:val="0"/>
                <w:sz w:val="24"/>
                <w:szCs w:val="24"/>
                <w:shd w:val="clear" w:color="auto" w:fill="FFFFFF"/>
                <w:lang w:val="en-US" w:eastAsia="zh-CN" w:bidi="ar-SA"/>
              </w:rPr>
              <w:t>3,000,000.00</w:t>
            </w:r>
          </w:p>
        </w:tc>
      </w:tr>
    </w:tbl>
    <w:p w14:paraId="6A90205A">
      <w:pPr>
        <w:keepNext w:val="0"/>
        <w:keepLines w:val="0"/>
        <w:widowControl/>
        <w:suppressLineNumbers w:val="0"/>
        <w:jc w:val="left"/>
        <w:rPr>
          <w:rFonts w:hint="eastAsia" w:ascii="宋体" w:hAnsi="宋体" w:eastAsia="宋体" w:cs="宋体"/>
          <w:color w:val="auto"/>
        </w:rPr>
      </w:pPr>
    </w:p>
    <w:p w14:paraId="1A1AE0C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 xml:space="preserve"> 本合同包不接受联合体投标</w:t>
      </w:r>
    </w:p>
    <w:p w14:paraId="70F7BB9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bCs/>
          <w:i w:val="0"/>
          <w:iCs w:val="0"/>
          <w:caps w:val="0"/>
          <w:color w:val="auto"/>
          <w:spacing w:val="0"/>
          <w:sz w:val="24"/>
          <w:szCs w:val="24"/>
          <w:shd w:val="clear" w:color="auto" w:fill="FFFFFF"/>
          <w:lang w:val="en-US" w:eastAsia="zh-CN"/>
        </w:rPr>
      </w:pPr>
      <w:r>
        <w:rPr>
          <w:rFonts w:hint="eastAsia" w:ascii="宋体" w:hAnsi="宋体" w:eastAsia="宋体" w:cs="宋体"/>
          <w:b/>
          <w:bCs/>
          <w:i w:val="0"/>
          <w:iCs w:val="0"/>
          <w:caps w:val="0"/>
          <w:color w:val="auto"/>
          <w:spacing w:val="0"/>
          <w:sz w:val="24"/>
          <w:szCs w:val="24"/>
          <w:shd w:val="clear" w:color="auto" w:fill="FFFFFF"/>
        </w:rPr>
        <w:t xml:space="preserve"> 合同履行期限：</w:t>
      </w:r>
      <w:r>
        <w:rPr>
          <w:rFonts w:hint="eastAsia" w:ascii="宋体" w:hAnsi="宋体" w:eastAsia="宋体" w:cs="宋体"/>
          <w:b/>
          <w:bCs/>
          <w:i w:val="0"/>
          <w:iCs w:val="0"/>
          <w:caps w:val="0"/>
          <w:color w:val="auto"/>
          <w:spacing w:val="0"/>
          <w:sz w:val="24"/>
          <w:szCs w:val="24"/>
          <w:shd w:val="clear" w:color="auto" w:fill="FFFFFF"/>
          <w:lang w:eastAsia="zh-CN"/>
        </w:rPr>
        <w:t>自签订合同后</w:t>
      </w:r>
      <w:r>
        <w:rPr>
          <w:rFonts w:hint="eastAsia" w:ascii="宋体" w:hAnsi="宋体" w:eastAsia="宋体" w:cs="宋体"/>
          <w:b/>
          <w:bCs/>
          <w:i w:val="0"/>
          <w:iCs w:val="0"/>
          <w:caps w:val="0"/>
          <w:color w:val="auto"/>
          <w:spacing w:val="0"/>
          <w:sz w:val="24"/>
          <w:szCs w:val="24"/>
          <w:shd w:val="clear" w:color="auto" w:fill="FFFFFF"/>
          <w:lang w:val="en-US" w:eastAsia="zh-CN"/>
        </w:rPr>
        <w:t>30</w:t>
      </w:r>
      <w:r>
        <w:rPr>
          <w:rFonts w:hint="eastAsia" w:ascii="宋体" w:hAnsi="宋体" w:eastAsia="宋体" w:cs="宋体"/>
          <w:b/>
          <w:bCs/>
          <w:i w:val="0"/>
          <w:iCs w:val="0"/>
          <w:caps w:val="0"/>
          <w:color w:val="auto"/>
          <w:spacing w:val="0"/>
          <w:sz w:val="24"/>
          <w:szCs w:val="24"/>
          <w:shd w:val="clear" w:color="auto" w:fill="FFFFFF"/>
          <w:lang w:eastAsia="zh-CN"/>
        </w:rPr>
        <w:t>个日历日内完成全部货物的配送、安装调试工作</w:t>
      </w:r>
    </w:p>
    <w:p w14:paraId="7E211B3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二、申请人的资格要求：</w:t>
      </w:r>
    </w:p>
    <w:p w14:paraId="4AEE175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r>
        <w:rPr>
          <w:rFonts w:hint="eastAsia" w:cs="宋体"/>
          <w:i w:val="0"/>
          <w:iCs w:val="0"/>
          <w:caps w:val="0"/>
          <w:color w:val="auto"/>
          <w:spacing w:val="0"/>
          <w:sz w:val="24"/>
          <w:szCs w:val="24"/>
          <w:shd w:val="clear" w:color="auto" w:fill="FFFFFF"/>
          <w:lang w:eastAsia="zh-CN"/>
        </w:rPr>
        <w:t>；</w:t>
      </w:r>
    </w:p>
    <w:p w14:paraId="7D9E4AB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03C18D0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合同包1</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重症医学科专科服务能力提升项目设备</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r>
        <w:rPr>
          <w:rFonts w:hint="eastAsia" w:cs="宋体"/>
          <w:i w:val="0"/>
          <w:iCs w:val="0"/>
          <w:caps w:val="0"/>
          <w:color w:val="auto"/>
          <w:spacing w:val="0"/>
          <w:sz w:val="24"/>
          <w:szCs w:val="24"/>
          <w:shd w:val="clear" w:color="auto" w:fill="FFFFFF"/>
          <w:lang w:eastAsia="zh-CN"/>
        </w:rPr>
        <w:t>：</w:t>
      </w:r>
    </w:p>
    <w:p w14:paraId="647F575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2.1《关于进一步加大政府采购支持中小企业力度的通知》（财库〔2022〕19 号）、 </w:t>
      </w:r>
    </w:p>
    <w:p w14:paraId="5D48E4C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《政府采购促进中小企业发展管理办法》（财库〔2020〕46 号）、《财政部 司法部关于政府采购支持监狱企业发展有关问题的通知》（财库〔2014〕68 号）、《关于促进残疾人就业政府采购政策的通知》（财库〔2017〕141 号）。 </w:t>
      </w:r>
    </w:p>
    <w:p w14:paraId="2EB5204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2.2《国务院办公厅关于建立政府强制采购节能产品制度的通知》（国办发〔2007〕 51 号）、《财政部 发展改革委 生态环境部 市场监管总局关于调整优化节能产品、环境标志产品政府采购执行机制的通知》（财库〔2019〕9 号）、《关于印发环境标志产品政府采购品目清单的通知》（财库〔2019〕18 号）、《关于印发节能产品政府采购品目清单的通知》（财库〔2019〕19 号）。 </w:t>
      </w:r>
    </w:p>
    <w:p w14:paraId="7061EE6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2.3《关于运用政府采购政策支持乡村产业振兴的通知》（财库〔2021〕19 号）、 《关于印发</w:t>
      </w:r>
      <w:r>
        <w:rPr>
          <w:rFonts w:hint="eastAsia" w:cs="宋体"/>
          <w:b w:val="0"/>
          <w:bCs w:val="0"/>
          <w:i w:val="0"/>
          <w:iCs w:val="0"/>
          <w:caps w:val="0"/>
          <w:color w:val="auto"/>
          <w:spacing w:val="0"/>
          <w:sz w:val="24"/>
          <w:szCs w:val="24"/>
          <w:shd w:val="clear" w:color="auto" w:fill="FFFFFF"/>
          <w:lang w:val="en-US" w:eastAsia="zh-CN"/>
        </w:rPr>
        <w:t>〈</w:t>
      </w:r>
      <w:r>
        <w:rPr>
          <w:rFonts w:hint="eastAsia" w:ascii="宋体" w:hAnsi="宋体" w:eastAsia="宋体" w:cs="宋体"/>
          <w:b w:val="0"/>
          <w:bCs w:val="0"/>
          <w:i w:val="0"/>
          <w:iCs w:val="0"/>
          <w:caps w:val="0"/>
          <w:color w:val="auto"/>
          <w:spacing w:val="0"/>
          <w:sz w:val="24"/>
          <w:szCs w:val="24"/>
          <w:shd w:val="clear" w:color="auto" w:fill="FFFFFF"/>
          <w:lang w:val="en-US" w:eastAsia="zh-CN"/>
        </w:rPr>
        <w:t>关于深入开展政府采购脱贫地区农副产品工作推进乡村产业振兴的实施意 见</w:t>
      </w:r>
      <w:r>
        <w:rPr>
          <w:rFonts w:hint="eastAsia" w:cs="宋体"/>
          <w:b w:val="0"/>
          <w:bCs w:val="0"/>
          <w:i w:val="0"/>
          <w:iCs w:val="0"/>
          <w:caps w:val="0"/>
          <w:color w:val="auto"/>
          <w:spacing w:val="0"/>
          <w:sz w:val="24"/>
          <w:szCs w:val="24"/>
          <w:shd w:val="clear" w:color="auto" w:fill="FFFFFF"/>
          <w:lang w:val="en-US" w:eastAsia="zh-CN"/>
        </w:rPr>
        <w:t>〉的通知》</w:t>
      </w: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（财库〔2021〕20 号）。 </w:t>
      </w:r>
    </w:p>
    <w:p w14:paraId="77A1D7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2.4《国家互联网信息办公室 工业和信息化部 公安部 财政部 国家认证认可监督 </w:t>
      </w:r>
    </w:p>
    <w:p w14:paraId="6D98335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管理委员会关于调整网络安全专用产品安全管理有关事项的公告》（2023 年第 1 号）。</w:t>
      </w:r>
    </w:p>
    <w:p w14:paraId="5A06625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2.5《陕西省财政厅关于加快推进我省中小企业政府采购信用融资工作的通知》（陕 财办采〔2020〕15 号）、《陕西省财政厅关于印发</w:t>
      </w:r>
      <w:r>
        <w:rPr>
          <w:rFonts w:hint="eastAsia" w:cs="宋体"/>
          <w:b w:val="0"/>
          <w:bCs w:val="0"/>
          <w:i w:val="0"/>
          <w:iCs w:val="0"/>
          <w:caps w:val="0"/>
          <w:color w:val="auto"/>
          <w:spacing w:val="0"/>
          <w:sz w:val="24"/>
          <w:szCs w:val="24"/>
          <w:shd w:val="clear" w:color="auto" w:fill="FFFFFF"/>
          <w:lang w:val="en-US" w:eastAsia="zh-CN"/>
        </w:rPr>
        <w:t>〈</w:t>
      </w:r>
      <w:r>
        <w:rPr>
          <w:rFonts w:hint="eastAsia" w:ascii="宋体" w:hAnsi="宋体" w:eastAsia="宋体" w:cs="宋体"/>
          <w:b w:val="0"/>
          <w:bCs w:val="0"/>
          <w:i w:val="0"/>
          <w:iCs w:val="0"/>
          <w:caps w:val="0"/>
          <w:color w:val="auto"/>
          <w:spacing w:val="0"/>
          <w:sz w:val="24"/>
          <w:szCs w:val="24"/>
          <w:shd w:val="clear" w:color="auto" w:fill="FFFFFF"/>
          <w:lang w:val="en-US" w:eastAsia="zh-CN"/>
        </w:rPr>
        <w:t>陕西省中小企业政府采购信用融资 办法</w:t>
      </w:r>
      <w:r>
        <w:rPr>
          <w:rFonts w:hint="eastAsia" w:cs="宋体"/>
          <w:b w:val="0"/>
          <w:bCs w:val="0"/>
          <w:i w:val="0"/>
          <w:iCs w:val="0"/>
          <w:caps w:val="0"/>
          <w:color w:val="auto"/>
          <w:spacing w:val="0"/>
          <w:sz w:val="24"/>
          <w:szCs w:val="24"/>
          <w:shd w:val="clear" w:color="auto" w:fill="FFFFFF"/>
          <w:lang w:val="en-US" w:eastAsia="zh-CN"/>
        </w:rPr>
        <w:t>〉的通知》</w:t>
      </w: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（陕财办采〔2018〕23 号）。 </w:t>
      </w:r>
    </w:p>
    <w:p w14:paraId="4C5B9F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2.6《关于扩大政府采购支持绿色建材促进建筑品质提升政策实施范围的通知》（财 库〔2022〕35 号）、《财政部办公厅 住</w:t>
      </w:r>
      <w:r>
        <w:rPr>
          <w:rFonts w:hint="eastAsia" w:cs="宋体"/>
          <w:b w:val="0"/>
          <w:bCs w:val="0"/>
          <w:i w:val="0"/>
          <w:iCs w:val="0"/>
          <w:caps w:val="0"/>
          <w:color w:val="auto"/>
          <w:spacing w:val="0"/>
          <w:sz w:val="24"/>
          <w:szCs w:val="24"/>
          <w:shd w:val="clear" w:color="auto" w:fill="FFFFFF"/>
          <w:lang w:val="en-US" w:eastAsia="zh-CN"/>
        </w:rPr>
        <w:t>房和</w:t>
      </w:r>
      <w:r>
        <w:rPr>
          <w:rFonts w:hint="eastAsia" w:ascii="宋体" w:hAnsi="宋体" w:eastAsia="宋体" w:cs="宋体"/>
          <w:b w:val="0"/>
          <w:bCs w:val="0"/>
          <w:i w:val="0"/>
          <w:iCs w:val="0"/>
          <w:caps w:val="0"/>
          <w:color w:val="auto"/>
          <w:spacing w:val="0"/>
          <w:sz w:val="24"/>
          <w:szCs w:val="24"/>
          <w:shd w:val="clear" w:color="auto" w:fill="FFFFFF"/>
          <w:lang w:val="en-US" w:eastAsia="zh-CN"/>
        </w:rPr>
        <w:t>城乡建设部办公厅 工业和信息化部办公厅 关于印发</w:t>
      </w:r>
      <w:r>
        <w:rPr>
          <w:rFonts w:hint="eastAsia" w:cs="宋体"/>
          <w:b w:val="0"/>
          <w:bCs w:val="0"/>
          <w:i w:val="0"/>
          <w:iCs w:val="0"/>
          <w:caps w:val="0"/>
          <w:color w:val="auto"/>
          <w:spacing w:val="0"/>
          <w:sz w:val="24"/>
          <w:szCs w:val="24"/>
          <w:shd w:val="clear" w:color="auto" w:fill="FFFFFF"/>
          <w:lang w:val="en-US" w:eastAsia="zh-CN"/>
        </w:rPr>
        <w:t>〈</w:t>
      </w:r>
      <w:r>
        <w:rPr>
          <w:rFonts w:hint="eastAsia" w:ascii="宋体" w:hAnsi="宋体" w:eastAsia="宋体" w:cs="宋体"/>
          <w:b w:val="0"/>
          <w:bCs w:val="0"/>
          <w:i w:val="0"/>
          <w:iCs w:val="0"/>
          <w:caps w:val="0"/>
          <w:color w:val="auto"/>
          <w:spacing w:val="0"/>
          <w:sz w:val="24"/>
          <w:szCs w:val="24"/>
          <w:shd w:val="clear" w:color="auto" w:fill="FFFFFF"/>
          <w:lang w:val="en-US" w:eastAsia="zh-CN"/>
        </w:rPr>
        <w:t>政府采购支持绿色建材促进建筑品质提升政策项目实施指南</w:t>
      </w:r>
      <w:r>
        <w:rPr>
          <w:rFonts w:hint="eastAsia" w:cs="宋体"/>
          <w:b w:val="0"/>
          <w:bCs w:val="0"/>
          <w:i w:val="0"/>
          <w:iCs w:val="0"/>
          <w:caps w:val="0"/>
          <w:color w:val="auto"/>
          <w:spacing w:val="0"/>
          <w:sz w:val="24"/>
          <w:szCs w:val="24"/>
          <w:shd w:val="clear" w:color="auto" w:fill="FFFFFF"/>
          <w:lang w:val="en-US" w:eastAsia="zh-CN"/>
        </w:rPr>
        <w:t>〉的通知》</w:t>
      </w: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 财 办库〔2023〕52 号）。 </w:t>
      </w:r>
    </w:p>
    <w:p w14:paraId="566A18D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 xml:space="preserve">2.7《国务院办公厅关于在政府采购中实施本国产品标准及相关政策的通知》（国 办发〔2025〕34 号）。 </w:t>
      </w:r>
    </w:p>
    <w:p w14:paraId="690DA5C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rPr>
      </w:pPr>
      <w:r>
        <w:rPr>
          <w:rFonts w:hint="eastAsia" w:ascii="宋体" w:hAnsi="宋体" w:eastAsia="宋体" w:cs="宋体"/>
          <w:b w:val="0"/>
          <w:bCs w:val="0"/>
          <w:i w:val="0"/>
          <w:iCs w:val="0"/>
          <w:caps w:val="0"/>
          <w:color w:val="auto"/>
          <w:spacing w:val="0"/>
          <w:sz w:val="24"/>
          <w:szCs w:val="24"/>
          <w:shd w:val="clear" w:color="auto" w:fill="FFFFFF"/>
          <w:lang w:val="en-US" w:eastAsia="zh-CN"/>
        </w:rPr>
        <w:t>2.8</w:t>
      </w:r>
      <w:r>
        <w:rPr>
          <w:rFonts w:hint="eastAsia" w:ascii="宋体" w:hAnsi="宋体" w:eastAsia="宋体" w:cs="宋体"/>
          <w:b w:val="0"/>
          <w:bCs w:val="0"/>
          <w:i w:val="0"/>
          <w:iCs w:val="0"/>
          <w:caps w:val="0"/>
          <w:color w:val="auto"/>
          <w:spacing w:val="0"/>
          <w:sz w:val="24"/>
          <w:szCs w:val="24"/>
          <w:shd w:val="clear" w:color="auto" w:fill="FFFFFF"/>
        </w:rPr>
        <w:t>其他需要落实的政府采购政策。</w:t>
      </w:r>
    </w:p>
    <w:p w14:paraId="7EEA448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i w:val="0"/>
          <w:iCs w:val="0"/>
          <w:caps w:val="0"/>
          <w:color w:val="auto"/>
          <w:spacing w:val="0"/>
          <w:sz w:val="24"/>
          <w:szCs w:val="24"/>
          <w:shd w:val="clear" w:color="auto" w:fill="FFFFFF"/>
          <w:lang w:val="en-US"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rPr>
        <w:t>本项目非专门面向中小企业采购</w:t>
      </w:r>
      <w:r>
        <w:rPr>
          <w:rFonts w:hint="eastAsia" w:cs="宋体"/>
          <w:b w:val="0"/>
          <w:bCs w:val="0"/>
          <w:i w:val="0"/>
          <w:iCs w:val="0"/>
          <w:caps w:val="0"/>
          <w:color w:val="auto"/>
          <w:spacing w:val="0"/>
          <w:sz w:val="24"/>
          <w:szCs w:val="24"/>
          <w:shd w:val="clear" w:color="auto" w:fill="FFFFFF"/>
          <w:lang w:val="en-US" w:eastAsia="zh-CN"/>
        </w:rPr>
        <w:t>，</w:t>
      </w:r>
      <w:r>
        <w:rPr>
          <w:rFonts w:hint="eastAsia" w:ascii="宋体" w:hAnsi="宋体" w:eastAsia="宋体" w:cs="宋体"/>
          <w:b w:val="0"/>
          <w:bCs w:val="0"/>
          <w:i w:val="0"/>
          <w:iCs w:val="0"/>
          <w:caps w:val="0"/>
          <w:color w:val="auto"/>
          <w:spacing w:val="0"/>
          <w:sz w:val="24"/>
          <w:szCs w:val="24"/>
          <w:shd w:val="clear" w:color="auto" w:fill="FFFFFF"/>
          <w:lang w:val="en-US" w:eastAsia="zh-CN"/>
        </w:rPr>
        <w:t>若享受以上政策优惠的企业，提供相应声明函或品目清单范围内产品的有效认证证书或相关证明。</w:t>
      </w:r>
    </w:p>
    <w:p w14:paraId="44C4C25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3.本项目的特定资格要求：</w:t>
      </w:r>
    </w:p>
    <w:p w14:paraId="7FEFBAC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合同包1</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重症医学科专科服务能力提升项目设备</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特定资格要求如下</w:t>
      </w:r>
      <w:r>
        <w:rPr>
          <w:rFonts w:hint="eastAsia" w:cs="宋体"/>
          <w:i w:val="0"/>
          <w:iCs w:val="0"/>
          <w:caps w:val="0"/>
          <w:color w:val="auto"/>
          <w:spacing w:val="0"/>
          <w:sz w:val="24"/>
          <w:szCs w:val="24"/>
          <w:shd w:val="clear" w:color="auto" w:fill="FFFFFF"/>
          <w:lang w:eastAsia="zh-CN"/>
        </w:rPr>
        <w:t>：</w:t>
      </w:r>
    </w:p>
    <w:p w14:paraId="52FD228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239" w:leftChars="114" w:right="0" w:firstLine="544" w:firstLineChars="227"/>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val="en-US" w:eastAsia="zh-CN"/>
        </w:rPr>
        <w:t>（1）供应商必须是具有独立承担民事责任的能力的法人、其他组织或自然人，提供营业执照、税务登记证、组织机构代码证或登载有统一社会信用代码的营业执照（或《事业单位法人证书》或其他合法组织登记证书、自然人只须提交身份证）；</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（2）提供法定代表人授权书（附法定代表人身份证复印件）及被授权代表身份证复印件（法定代表人直接参加只须提供法定代表人身份证复印件）；</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3）财务状况报告：提供2024年或2025年经审计的财务审计报告（成立时间至提交投标响应文件截止时间不足1年的可提供成立后任意时段的资产负债表）或开标前6个月内其基本账户开户银行出具的资信证明或政府采购信用担保机构出具的投标担保函；</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（4）税收缴纳证明：提供投标截止日前半年内至少一个月的纳税证明或完税证明，纳税证明或完税证明上应有代收机构或税务机关的公章或业务专用章。依法免税的供应商应提供相关文件证明；</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5）社会保障资金缴纳证明：提供投标截止日前半年内至少一个月的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（6）参加政府采购活动前三年内（2023年1月至今），在经营活动中没有重大违法记录的书面声明；</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（7）投标人具备履行合同所必需的设备和专业技术能力的书面声明（格式自拟）；</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w:t>
      </w:r>
      <w:r>
        <w:rPr>
          <w:rFonts w:hint="eastAsia"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lang w:val="en-US" w:eastAsia="zh-CN"/>
        </w:rPr>
        <w:t>（8）投标人通过“信用中国 ”网站（www.creditchina.gov.cn）、中国政府采购网（www.ccgp.gov.cn）等渠道查询相关主体无失信记录。对列入失信被执行人、 重大税收违法案件当事人名单、政府采购严重违法失信行为记录名单的投标人，将拒绝其参与政府采购活动；以“信用中国 ”网站、中国政府采购网查询结果为准（投标文件中提供查询结果网页截图并加盖投标人公章，查询日期为从招标文件发售之日起至投标截止日前，评标现场通过网站对信用记录进行核实）；</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9）投标产品属于医疗器械管理范围的须提供医疗器械注册证。投标产品属于第二类医疗器械管理的，投标人应具有第二类医疗器械经营备案凭证（投标产品须在其经营范围内）；投标产品属于第三类医疗器械管理的，投标人应具有医疗器械经营许可证（投标产品须在其经营范围内）。投标人为制造厂家的：应具有医疗器械生产许可证（投标产品须在其生产范围内），且具有本条前述要求的相关医疗器械经营资质；</w:t>
      </w:r>
      <w:r>
        <w:rPr>
          <w:rFonts w:hint="eastAsia" w:ascii="宋体" w:hAnsi="宋体" w:eastAsia="宋体" w:cs="宋体"/>
          <w:i w:val="0"/>
          <w:iCs w:val="0"/>
          <w:caps w:val="0"/>
          <w:color w:val="auto"/>
          <w:spacing w:val="0"/>
          <w:sz w:val="24"/>
          <w:szCs w:val="24"/>
          <w:shd w:val="clear" w:color="auto" w:fill="FFFFFF"/>
          <w:lang w:val="en-US" w:eastAsia="zh-CN"/>
        </w:rPr>
        <w:br w:type="textWrapping"/>
      </w:r>
      <w:r>
        <w:rPr>
          <w:rFonts w:hint="eastAsia" w:ascii="宋体" w:hAnsi="宋体" w:eastAsia="宋体" w:cs="宋体"/>
          <w:i w:val="0"/>
          <w:iCs w:val="0"/>
          <w:caps w:val="0"/>
          <w:color w:val="auto"/>
          <w:spacing w:val="0"/>
          <w:sz w:val="24"/>
          <w:szCs w:val="24"/>
          <w:shd w:val="clear" w:color="auto" w:fill="FFFFFF"/>
          <w:lang w:val="en-US" w:eastAsia="zh-CN"/>
        </w:rPr>
        <w:t xml:space="preserve">  （10）本项目不接受联合体投标。   </w:t>
      </w:r>
    </w:p>
    <w:p w14:paraId="079B31B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三、获取招标文件</w:t>
      </w:r>
    </w:p>
    <w:p w14:paraId="535817D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239" w:leftChars="114" w:right="0" w:firstLine="782" w:firstLineChars="326"/>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时间：2026年09月08日 至 2026年09月14日 ，每天上午 08:00:00 至 12:00:00 ，下午 12:00:00 至 18:00:00（北京时间）</w:t>
      </w:r>
    </w:p>
    <w:p w14:paraId="291CE8B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239" w:leftChars="114" w:right="0" w:firstLine="782" w:firstLineChars="326"/>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途径：全国公共资源交易中心平台 （陕西省.安康市）</w:t>
      </w:r>
    </w:p>
    <w:p w14:paraId="1129E3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239" w:leftChars="114" w:right="0" w:firstLine="782" w:firstLineChars="326"/>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方式：在线获取</w:t>
      </w:r>
    </w:p>
    <w:p w14:paraId="5E78306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239" w:leftChars="114" w:right="0" w:firstLine="782" w:firstLineChars="326"/>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售价：0元</w:t>
      </w:r>
    </w:p>
    <w:p w14:paraId="4DA3B1B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四、提交投标文件截止时间、开标时间和地点</w:t>
      </w:r>
    </w:p>
    <w:p w14:paraId="4137A71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239" w:leftChars="114" w:right="0" w:firstLine="782" w:firstLineChars="326"/>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时间：2026年09月29日 16时00分00秒 （北京时间）</w:t>
      </w:r>
    </w:p>
    <w:p w14:paraId="6D0D0DF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239" w:leftChars="114" w:right="0" w:firstLine="782" w:firstLineChars="326"/>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提交投标文件地点：全国公共资源交易中心平台 （陕西省.安康市）</w:t>
      </w:r>
    </w:p>
    <w:p w14:paraId="3E34779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239" w:leftChars="114" w:right="0" w:firstLine="782" w:firstLineChars="326"/>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eastAsia="zh-CN"/>
        </w:rPr>
        <w:t>开标地点：全国公共资源交易中心平台 （陕西省.安康市） 不见面开标大厅</w:t>
      </w:r>
    </w:p>
    <w:p w14:paraId="5B14A8D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五、公告期限</w:t>
      </w:r>
    </w:p>
    <w:p w14:paraId="0A28E69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1024" w:firstLineChars="427"/>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自本公告发布之日起5个工作日。</w:t>
      </w:r>
    </w:p>
    <w:p w14:paraId="785CBF7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六、其他补充事宜</w:t>
      </w:r>
    </w:p>
    <w:p w14:paraId="207577E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cs="宋体"/>
          <w:i w:val="0"/>
          <w:iCs w:val="0"/>
          <w:caps w:val="0"/>
          <w:color w:val="auto"/>
          <w:spacing w:val="0"/>
          <w:sz w:val="24"/>
          <w:szCs w:val="24"/>
          <w:shd w:val="clear" w:color="auto" w:fill="FFFFFF"/>
          <w:lang w:eastAsia="zh-CN"/>
        </w:rPr>
        <w:t>（1）</w:t>
      </w:r>
      <w:r>
        <w:rPr>
          <w:rFonts w:hint="eastAsia" w:ascii="宋体" w:hAnsi="宋体" w:eastAsia="宋体" w:cs="宋体"/>
          <w:i w:val="0"/>
          <w:iCs w:val="0"/>
          <w:caps w:val="0"/>
          <w:color w:val="auto"/>
          <w:spacing w:val="0"/>
          <w:sz w:val="24"/>
          <w:szCs w:val="24"/>
          <w:shd w:val="clear" w:color="auto" w:fill="FFFFFF"/>
        </w:rPr>
        <w:t>投标供应商使用捆绑CA证书登录安康市公共资源交易中心（http://ak.sxggzyjy.cn/），选择电子交易平台中的陕西政府采购交易系统（http://www.sxggzyjy.cn:9002/TPBidder）进行登录，登录后选择“交易乙方”身份进入供应商界面进行报名。</w:t>
      </w:r>
    </w:p>
    <w:p w14:paraId="7D76493D">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cs="宋体"/>
          <w:i w:val="0"/>
          <w:iCs w:val="0"/>
          <w:caps w:val="0"/>
          <w:color w:val="auto"/>
          <w:spacing w:val="0"/>
          <w:sz w:val="24"/>
          <w:szCs w:val="24"/>
          <w:shd w:val="clear" w:color="auto" w:fill="FFFFFF"/>
          <w:lang w:eastAsia="zh-CN"/>
        </w:rPr>
        <w:t>（2）</w:t>
      </w:r>
      <w:r>
        <w:rPr>
          <w:rFonts w:hint="eastAsia" w:ascii="宋体" w:hAnsi="宋体" w:eastAsia="宋体" w:cs="宋体"/>
          <w:i w:val="0"/>
          <w:iCs w:val="0"/>
          <w:caps w:val="0"/>
          <w:color w:val="auto"/>
          <w:spacing w:val="0"/>
          <w:sz w:val="24"/>
          <w:szCs w:val="24"/>
          <w:shd w:val="clear" w:color="auto" w:fill="FFFFFF"/>
        </w:rPr>
        <w:t>投标供应商未完成网上投标成功的或未按规定时间在网站上下载招标文件的，无法完成后续流程，后果自负。</w:t>
      </w:r>
    </w:p>
    <w:p w14:paraId="463A9C3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cs="宋体"/>
          <w:i w:val="0"/>
          <w:iCs w:val="0"/>
          <w:caps w:val="0"/>
          <w:color w:val="auto"/>
          <w:spacing w:val="0"/>
          <w:sz w:val="24"/>
          <w:szCs w:val="24"/>
          <w:shd w:val="clear" w:color="auto" w:fill="FFFFFF"/>
          <w:lang w:eastAsia="zh-CN"/>
        </w:rPr>
        <w:t>（3）</w:t>
      </w:r>
      <w:r>
        <w:rPr>
          <w:rFonts w:hint="eastAsia" w:ascii="宋体" w:hAnsi="宋体" w:eastAsia="宋体" w:cs="宋体"/>
          <w:i w:val="0"/>
          <w:iCs w:val="0"/>
          <w:caps w:val="0"/>
          <w:color w:val="auto"/>
          <w:spacing w:val="0"/>
          <w:sz w:val="24"/>
          <w:szCs w:val="24"/>
          <w:shd w:val="clear" w:color="auto" w:fill="FFFFFF"/>
        </w:rPr>
        <w:t>本项目采用电子化投标的方式，相关操作流程详见全国公共资源交易平台（陕西省）网站[服务指南</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下载专区]中的《陕西省公共资源交易中心政府采购项目投标指南》，电子投标文件技术支持：4009280095、4009980000；</w:t>
      </w:r>
    </w:p>
    <w:p w14:paraId="4FAEE14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cs="宋体"/>
          <w:i w:val="0"/>
          <w:iCs w:val="0"/>
          <w:caps w:val="0"/>
          <w:color w:val="auto"/>
          <w:spacing w:val="0"/>
          <w:sz w:val="24"/>
          <w:szCs w:val="24"/>
          <w:shd w:val="clear" w:color="auto" w:fill="FFFFFF"/>
          <w:lang w:eastAsia="zh-CN"/>
        </w:rPr>
        <w:t>（4）</w:t>
      </w:r>
      <w:r>
        <w:rPr>
          <w:rFonts w:hint="eastAsia" w:ascii="宋体" w:hAnsi="宋体" w:eastAsia="宋体" w:cs="宋体"/>
          <w:i w:val="0"/>
          <w:iCs w:val="0"/>
          <w:caps w:val="0"/>
          <w:color w:val="auto"/>
          <w:spacing w:val="0"/>
          <w:sz w:val="24"/>
          <w:szCs w:val="24"/>
          <w:shd w:val="clear" w:color="auto" w:fill="FFFFFF"/>
        </w:rPr>
        <w:t>本项目采用远程不见面开标，相关操作流程详见全国公共资源交易平台（陕西省）网站〖首页</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服务指南〉下载专区〗中的《安康市公共资源交易不见面开标大厅政府采购供应商操作手册（202206）》，如遇困难，请拨打系统平台技术支持电话：4009980000。</w:t>
      </w:r>
    </w:p>
    <w:p w14:paraId="04BA169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cs="宋体"/>
          <w:i w:val="0"/>
          <w:iCs w:val="0"/>
          <w:caps w:val="0"/>
          <w:color w:val="auto"/>
          <w:spacing w:val="0"/>
          <w:sz w:val="24"/>
          <w:szCs w:val="24"/>
          <w:shd w:val="clear" w:color="auto" w:fill="FFFFFF"/>
          <w:lang w:eastAsia="zh-CN"/>
        </w:rPr>
        <w:t>（5）</w:t>
      </w:r>
      <w:r>
        <w:rPr>
          <w:rFonts w:hint="eastAsia" w:ascii="宋体" w:hAnsi="宋体" w:eastAsia="宋体" w:cs="宋体"/>
          <w:i w:val="0"/>
          <w:iCs w:val="0"/>
          <w:caps w:val="0"/>
          <w:color w:val="auto"/>
          <w:spacing w:val="0"/>
          <w:sz w:val="24"/>
          <w:szCs w:val="24"/>
          <w:shd w:val="clear" w:color="auto" w:fill="FFFFFF"/>
        </w:rPr>
        <w:t>请各供应商下载文件后，根据《陕西省财政厅关于政府采购供应商注册登记有关事项的通知》的要求，参加本项目投标且符合《</w:t>
      </w:r>
      <w:r>
        <w:rPr>
          <w:rFonts w:hint="eastAsia" w:cs="宋体"/>
          <w:i w:val="0"/>
          <w:iCs w:val="0"/>
          <w:caps w:val="0"/>
          <w:color w:val="auto"/>
          <w:spacing w:val="0"/>
          <w:sz w:val="24"/>
          <w:szCs w:val="24"/>
          <w:shd w:val="clear" w:color="auto" w:fill="FFFFFF"/>
          <w:lang w:eastAsia="zh-CN"/>
        </w:rPr>
        <w:t>中华人民共和国政府采购法</w:t>
      </w:r>
      <w:r>
        <w:rPr>
          <w:rFonts w:hint="eastAsia" w:ascii="宋体" w:hAnsi="宋体" w:eastAsia="宋体" w:cs="宋体"/>
          <w:i w:val="0"/>
          <w:iCs w:val="0"/>
          <w:caps w:val="0"/>
          <w:color w:val="auto"/>
          <w:spacing w:val="0"/>
          <w:sz w:val="24"/>
          <w:szCs w:val="24"/>
          <w:shd w:val="clear" w:color="auto" w:fill="FFFFFF"/>
        </w:rPr>
        <w:t>》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0C99710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七、对本次招标提出询问，请按以下方式联系。</w:t>
      </w:r>
    </w:p>
    <w:p w14:paraId="38DB8C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1.采购人信息</w:t>
      </w:r>
    </w:p>
    <w:p w14:paraId="47FEC15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eastAsia="zh-CN"/>
        </w:rPr>
        <w:t>白河县人民医院</w:t>
      </w:r>
    </w:p>
    <w:p w14:paraId="007185F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安康市白河县城关镇书院北路1</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eastAsia="zh-CN"/>
        </w:rPr>
        <w:t>号</w:t>
      </w:r>
    </w:p>
    <w:p w14:paraId="43D1E30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联系方式：0915-7822258</w:t>
      </w:r>
    </w:p>
    <w:p w14:paraId="4A80B5B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2.采购代理机构信息</w:t>
      </w:r>
    </w:p>
    <w:p w14:paraId="209E9578">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名称：安康华昊智远项目管理有限公司</w:t>
      </w:r>
    </w:p>
    <w:p w14:paraId="3342D44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地址：安康市汉滨区大桥南路1号御公馆小区2号楼2单元1001室</w:t>
      </w:r>
    </w:p>
    <w:p w14:paraId="5477CC6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联系方式：0915-3197229</w:t>
      </w:r>
    </w:p>
    <w:p w14:paraId="6AEF0776">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3.项目联系方式</w:t>
      </w:r>
    </w:p>
    <w:p w14:paraId="425D2A6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default"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项目联系人：唐明明</w:t>
      </w:r>
      <w:r>
        <w:rPr>
          <w:rFonts w:hint="eastAsia" w:cs="宋体"/>
          <w:i w:val="0"/>
          <w:iCs w:val="0"/>
          <w:caps w:val="0"/>
          <w:color w:val="auto"/>
          <w:spacing w:val="0"/>
          <w:sz w:val="24"/>
          <w:szCs w:val="24"/>
          <w:shd w:val="clear" w:color="auto" w:fill="FFFFFF"/>
          <w:lang w:eastAsia="zh-CN"/>
        </w:rPr>
        <w:t>、</w:t>
      </w:r>
      <w:r>
        <w:rPr>
          <w:rFonts w:hint="eastAsia" w:cs="宋体"/>
          <w:i w:val="0"/>
          <w:iCs w:val="0"/>
          <w:caps w:val="0"/>
          <w:color w:val="auto"/>
          <w:spacing w:val="0"/>
          <w:sz w:val="24"/>
          <w:szCs w:val="24"/>
          <w:shd w:val="clear" w:color="auto" w:fill="FFFFFF"/>
          <w:lang w:val="en-US" w:eastAsia="zh-CN"/>
        </w:rPr>
        <w:t>王益山</w:t>
      </w:r>
    </w:p>
    <w:p w14:paraId="7E7FECFC">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电话：0915-3197229</w:t>
      </w:r>
    </w:p>
    <w:p w14:paraId="51ED7162">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5102" w:firstLineChars="2126"/>
        <w:jc w:val="right"/>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安康华昊智远项目管理有限公司</w:t>
      </w:r>
    </w:p>
    <w:p w14:paraId="3E3CEE15">
      <w:pPr>
        <w:keepNext w:val="0"/>
        <w:keepLines w:val="0"/>
        <w:pageBreakBefore w:val="0"/>
        <w:kinsoku/>
        <w:overflowPunct/>
        <w:topLinePunct w:val="0"/>
        <w:autoSpaceDE/>
        <w:autoSpaceDN/>
        <w:bidi w:val="0"/>
        <w:adjustRightInd/>
        <w:snapToGrid/>
        <w:spacing w:line="500" w:lineRule="exact"/>
        <w:ind w:firstLine="6480" w:firstLineChars="2700"/>
        <w:jc w:val="right"/>
        <w:textAlignment w:val="auto"/>
        <w:rPr>
          <w:rFonts w:hint="eastAsia" w:ascii="宋体" w:hAnsi="宋体" w:eastAsia="宋体" w:cs="宋体"/>
          <w:b/>
          <w:color w:val="auto"/>
          <w:sz w:val="36"/>
          <w:szCs w:val="20"/>
          <w:highlight w:val="none"/>
        </w:rPr>
      </w:pPr>
      <w:r>
        <w:rPr>
          <w:rFonts w:hint="eastAsia" w:ascii="宋体" w:hAnsi="宋体" w:eastAsia="宋体" w:cs="宋体"/>
          <w:i w:val="0"/>
          <w:iCs w:val="0"/>
          <w:caps w:val="0"/>
          <w:color w:val="auto"/>
          <w:spacing w:val="0"/>
          <w:sz w:val="24"/>
          <w:szCs w:val="24"/>
          <w:shd w:val="clear" w:color="auto" w:fill="FFFFFF"/>
        </w:rPr>
        <w:t>2026年09月07日</w:t>
      </w:r>
      <w:r>
        <w:rPr>
          <w:rFonts w:hint="eastAsia" w:ascii="宋体" w:hAnsi="宋体" w:eastAsia="宋体" w:cs="宋体"/>
          <w:i w:val="0"/>
          <w:iCs w:val="0"/>
          <w:caps w:val="0"/>
          <w:color w:val="auto"/>
          <w:spacing w:val="0"/>
          <w:sz w:val="24"/>
          <w:szCs w:val="24"/>
          <w:shd w:val="clear" w:color="auto" w:fill="FFFFFF"/>
        </w:rPr>
        <w:br w:type="textWrapping"/>
      </w:r>
      <w:r>
        <w:rPr>
          <w:rFonts w:hint="eastAsia" w:ascii="宋体" w:hAnsi="宋体" w:eastAsia="宋体" w:cs="宋体"/>
          <w:b/>
          <w:color w:val="auto"/>
          <w:sz w:val="36"/>
          <w:szCs w:val="20"/>
          <w:highlight w:val="none"/>
        </w:rPr>
        <w:br w:type="page"/>
      </w:r>
    </w:p>
    <w:p w14:paraId="16ECE5E4">
      <w:pPr>
        <w:pStyle w:val="2"/>
        <w:bidi w:val="0"/>
        <w:spacing w:line="240" w:lineRule="auto"/>
        <w:jc w:val="cente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t>第二部分  投标须知前附表</w:t>
      </w:r>
    </w:p>
    <w:tbl>
      <w:tblPr>
        <w:tblStyle w:val="15"/>
        <w:tblW w:w="94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6"/>
        <w:gridCol w:w="1748"/>
        <w:gridCol w:w="7111"/>
      </w:tblGrid>
      <w:tr w14:paraId="6E9AF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0" w:hRule="atLeast"/>
        </w:trPr>
        <w:tc>
          <w:tcPr>
            <w:tcW w:w="576" w:type="dxa"/>
            <w:vAlign w:val="center"/>
          </w:tcPr>
          <w:p w14:paraId="30480204">
            <w:pPr>
              <w:keepNext w:val="0"/>
              <w:keepLines w:val="0"/>
              <w:pageBreakBefore w:val="0"/>
              <w:kinsoku/>
              <w:wordWrap/>
              <w:overflowPunct/>
              <w:topLinePunct w:val="0"/>
              <w:autoSpaceDE/>
              <w:autoSpaceDN/>
              <w:bidi w:val="0"/>
              <w:adjustRightInd/>
              <w:snapToGrid/>
              <w:spacing w:line="500" w:lineRule="exact"/>
              <w:ind w:left="0" w:right="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序号</w:t>
            </w:r>
          </w:p>
        </w:tc>
        <w:tc>
          <w:tcPr>
            <w:tcW w:w="1748" w:type="dxa"/>
            <w:vAlign w:val="center"/>
          </w:tcPr>
          <w:p w14:paraId="77E8B462">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内容</w:t>
            </w:r>
          </w:p>
        </w:tc>
        <w:tc>
          <w:tcPr>
            <w:tcW w:w="7111" w:type="dxa"/>
            <w:vAlign w:val="center"/>
          </w:tcPr>
          <w:p w14:paraId="005233D9">
            <w:pPr>
              <w:keepNext w:val="0"/>
              <w:keepLines w:val="0"/>
              <w:pageBreakBefore w:val="0"/>
              <w:tabs>
                <w:tab w:val="left" w:pos="1180"/>
              </w:tabs>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说明与要求</w:t>
            </w:r>
          </w:p>
        </w:tc>
      </w:tr>
      <w:tr w14:paraId="2DCE7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576" w:type="dxa"/>
            <w:vAlign w:val="top"/>
          </w:tcPr>
          <w:p w14:paraId="05543B71">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1748" w:type="dxa"/>
            <w:vAlign w:val="top"/>
          </w:tcPr>
          <w:p w14:paraId="1A1EF18F">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采购人</w:t>
            </w:r>
          </w:p>
        </w:tc>
        <w:tc>
          <w:tcPr>
            <w:tcW w:w="7111" w:type="dxa"/>
            <w:vAlign w:val="top"/>
          </w:tcPr>
          <w:p w14:paraId="3393DDCE">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白河县人民医院</w:t>
            </w:r>
          </w:p>
        </w:tc>
      </w:tr>
      <w:tr w14:paraId="5DE25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76" w:type="dxa"/>
            <w:vAlign w:val="top"/>
          </w:tcPr>
          <w:p w14:paraId="2687D77B">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1748" w:type="dxa"/>
            <w:vAlign w:val="top"/>
          </w:tcPr>
          <w:p w14:paraId="053579A6">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采购代理机构</w:t>
            </w:r>
          </w:p>
        </w:tc>
        <w:tc>
          <w:tcPr>
            <w:tcW w:w="7111" w:type="dxa"/>
            <w:vAlign w:val="top"/>
          </w:tcPr>
          <w:p w14:paraId="1BFEDD16">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aps w:val="0"/>
                <w:color w:val="auto"/>
                <w:spacing w:val="0"/>
                <w:sz w:val="24"/>
                <w:szCs w:val="24"/>
                <w:shd w:val="clear" w:color="auto" w:fill="FFFFFF"/>
              </w:rPr>
              <w:t>安康华昊智远项目管理有限公司</w:t>
            </w:r>
          </w:p>
        </w:tc>
      </w:tr>
      <w:tr w14:paraId="3A654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exact"/>
        </w:trPr>
        <w:tc>
          <w:tcPr>
            <w:tcW w:w="576" w:type="dxa"/>
            <w:vAlign w:val="top"/>
          </w:tcPr>
          <w:p w14:paraId="4C05C40F">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1748" w:type="dxa"/>
            <w:vAlign w:val="top"/>
          </w:tcPr>
          <w:p w14:paraId="03546A66">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项目名称</w:t>
            </w:r>
          </w:p>
        </w:tc>
        <w:tc>
          <w:tcPr>
            <w:tcW w:w="7111" w:type="dxa"/>
            <w:vAlign w:val="top"/>
          </w:tcPr>
          <w:p w14:paraId="601C1AD3">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aps w:val="0"/>
                <w:color w:val="auto"/>
                <w:spacing w:val="0"/>
                <w:sz w:val="24"/>
                <w:szCs w:val="24"/>
                <w:shd w:val="clear" w:color="auto" w:fill="FFFFFF"/>
                <w:lang w:eastAsia="zh-CN"/>
              </w:rPr>
              <w:t>重症医学科专科服务能力提升项目设备</w:t>
            </w:r>
          </w:p>
        </w:tc>
      </w:tr>
      <w:tr w14:paraId="560F6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576" w:type="dxa"/>
            <w:vAlign w:val="top"/>
          </w:tcPr>
          <w:p w14:paraId="1C21B30C">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1748" w:type="dxa"/>
            <w:vAlign w:val="top"/>
          </w:tcPr>
          <w:p w14:paraId="4E419D5A">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项目编号</w:t>
            </w:r>
          </w:p>
        </w:tc>
        <w:tc>
          <w:tcPr>
            <w:tcW w:w="7111" w:type="dxa"/>
            <w:vAlign w:val="top"/>
          </w:tcPr>
          <w:p w14:paraId="0982FC0C">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i w:val="0"/>
                <w:iCs w:val="0"/>
                <w:caps w:val="0"/>
                <w:color w:val="auto"/>
                <w:spacing w:val="0"/>
                <w:sz w:val="24"/>
                <w:szCs w:val="24"/>
                <w:shd w:val="clear" w:color="auto" w:fill="FFFFFF"/>
                <w:lang w:eastAsia="zh-CN"/>
              </w:rPr>
              <w:t>HHZY-2026-10</w:t>
            </w:r>
          </w:p>
        </w:tc>
      </w:tr>
      <w:tr w14:paraId="29A5B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0" w:hRule="exact"/>
        </w:trPr>
        <w:tc>
          <w:tcPr>
            <w:tcW w:w="576" w:type="dxa"/>
            <w:shd w:val="clear" w:color="auto" w:fill="auto"/>
            <w:vAlign w:val="top"/>
          </w:tcPr>
          <w:p w14:paraId="18348742">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p>
          <w:p w14:paraId="41C51584">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p>
        </w:tc>
        <w:tc>
          <w:tcPr>
            <w:tcW w:w="1748" w:type="dxa"/>
            <w:shd w:val="clear" w:color="auto" w:fill="auto"/>
            <w:vAlign w:val="top"/>
          </w:tcPr>
          <w:p w14:paraId="52D4A5EF">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p>
          <w:p w14:paraId="50F4EA83">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投标报价</w:t>
            </w:r>
          </w:p>
        </w:tc>
        <w:tc>
          <w:tcPr>
            <w:tcW w:w="7111" w:type="dxa"/>
            <w:shd w:val="clear" w:color="auto" w:fill="auto"/>
            <w:vAlign w:val="center"/>
          </w:tcPr>
          <w:p w14:paraId="7F2F42BE">
            <w:pPr>
              <w:keepNext w:val="0"/>
              <w:keepLines w:val="0"/>
              <w:pageBreakBefore w:val="0"/>
              <w:kinsoku/>
              <w:wordWrap/>
              <w:overflowPunct/>
              <w:topLinePunct w:val="0"/>
              <w:autoSpaceDE/>
              <w:autoSpaceDN/>
              <w:bidi w:val="0"/>
              <w:adjustRightInd/>
              <w:snapToGrid/>
              <w:spacing w:line="500" w:lineRule="exact"/>
              <w:ind w:left="0" w:leftChars="0" w:right="0" w:rightChars="0"/>
              <w:jc w:val="both"/>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1.投标人所报的价格应考虑到可能发生的所有与完成本项目相关服务及履行合同义务有关的一切费用。</w:t>
            </w:r>
          </w:p>
          <w:p w14:paraId="48276EC4">
            <w:pPr>
              <w:keepNext w:val="0"/>
              <w:keepLines w:val="0"/>
              <w:pageBreakBefore w:val="0"/>
              <w:kinsoku/>
              <w:wordWrap/>
              <w:overflowPunct/>
              <w:topLinePunct w:val="0"/>
              <w:autoSpaceDE/>
              <w:autoSpaceDN/>
              <w:bidi w:val="0"/>
              <w:adjustRightInd/>
              <w:snapToGrid/>
              <w:spacing w:line="500" w:lineRule="exact"/>
              <w:ind w:left="0" w:leftChars="0" w:right="0" w:rightChars="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2.投标人必须对所投项目进行完整报价，不接受（将拒绝）只对部分</w:t>
            </w:r>
            <w:r>
              <w:rPr>
                <w:rFonts w:hint="eastAsia" w:ascii="宋体" w:hAnsi="宋体" w:cs="宋体"/>
                <w:b w:val="0"/>
                <w:bCs w:val="0"/>
                <w:color w:val="auto"/>
                <w:sz w:val="24"/>
                <w:szCs w:val="24"/>
                <w:highlight w:val="none"/>
                <w:lang w:val="en-US" w:eastAsia="zh-CN"/>
              </w:rPr>
              <w:t>内容</w:t>
            </w:r>
            <w:r>
              <w:rPr>
                <w:rFonts w:hint="eastAsia" w:ascii="宋体" w:hAnsi="宋体" w:eastAsia="宋体" w:cs="宋体"/>
                <w:b w:val="0"/>
                <w:bCs w:val="0"/>
                <w:color w:val="auto"/>
                <w:sz w:val="24"/>
                <w:szCs w:val="24"/>
                <w:highlight w:val="none"/>
                <w:lang w:val="en-US" w:eastAsia="zh-CN"/>
              </w:rPr>
              <w:t>进行报价的投标。</w:t>
            </w:r>
          </w:p>
        </w:tc>
      </w:tr>
      <w:tr w14:paraId="73976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exact"/>
        </w:trPr>
        <w:tc>
          <w:tcPr>
            <w:tcW w:w="576" w:type="dxa"/>
            <w:vAlign w:val="center"/>
          </w:tcPr>
          <w:p w14:paraId="70C30651">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p>
        </w:tc>
        <w:tc>
          <w:tcPr>
            <w:tcW w:w="1748" w:type="dxa"/>
            <w:shd w:val="clear" w:color="auto" w:fill="auto"/>
            <w:vAlign w:val="center"/>
          </w:tcPr>
          <w:p w14:paraId="70CDC0A8">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合同履行期限</w:t>
            </w:r>
          </w:p>
        </w:tc>
        <w:tc>
          <w:tcPr>
            <w:tcW w:w="7111" w:type="dxa"/>
            <w:shd w:val="clear" w:color="auto" w:fill="auto"/>
            <w:vAlign w:val="center"/>
          </w:tcPr>
          <w:p w14:paraId="07DB45D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right="0" w:rightChars="0"/>
              <w:jc w:val="center"/>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i w:val="0"/>
                <w:iCs w:val="0"/>
                <w:caps w:val="0"/>
                <w:color w:val="auto"/>
                <w:spacing w:val="0"/>
                <w:sz w:val="24"/>
                <w:szCs w:val="24"/>
                <w:shd w:val="clear" w:color="auto" w:fill="FFFFFF"/>
                <w:lang w:eastAsia="zh-CN"/>
              </w:rPr>
              <w:t>自签订合同后30个日历日内完成全部货物的配送、安装调试工作。</w:t>
            </w:r>
          </w:p>
        </w:tc>
      </w:tr>
      <w:tr w14:paraId="3735B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exact"/>
        </w:trPr>
        <w:tc>
          <w:tcPr>
            <w:tcW w:w="576" w:type="dxa"/>
            <w:vAlign w:val="center"/>
          </w:tcPr>
          <w:p w14:paraId="582D39B0">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w:t>
            </w:r>
          </w:p>
        </w:tc>
        <w:tc>
          <w:tcPr>
            <w:tcW w:w="1748" w:type="dxa"/>
            <w:shd w:val="clear" w:color="auto" w:fill="auto"/>
            <w:vAlign w:val="center"/>
          </w:tcPr>
          <w:p w14:paraId="465CC126">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付款方式</w:t>
            </w:r>
          </w:p>
        </w:tc>
        <w:tc>
          <w:tcPr>
            <w:tcW w:w="7111" w:type="dxa"/>
            <w:shd w:val="clear" w:color="auto" w:fill="auto"/>
            <w:vAlign w:val="center"/>
          </w:tcPr>
          <w:p w14:paraId="3BAF17E6">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合同签订后支付合同总金额的30%，设备安装调试培训验收合格后支付合同总金额的60%，剩余的10%使用满-年后一次性无息支付。</w:t>
            </w:r>
          </w:p>
        </w:tc>
      </w:tr>
      <w:tr w14:paraId="5BC97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576" w:type="dxa"/>
            <w:vAlign w:val="top"/>
          </w:tcPr>
          <w:p w14:paraId="0E0EF7AA">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w:t>
            </w:r>
          </w:p>
        </w:tc>
        <w:tc>
          <w:tcPr>
            <w:tcW w:w="1748" w:type="dxa"/>
            <w:shd w:val="clear" w:color="auto" w:fill="auto"/>
            <w:vAlign w:val="top"/>
          </w:tcPr>
          <w:p w14:paraId="6EFFDB8A">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投标保证金</w:t>
            </w:r>
          </w:p>
        </w:tc>
        <w:tc>
          <w:tcPr>
            <w:tcW w:w="7111" w:type="dxa"/>
            <w:shd w:val="clear" w:color="auto" w:fill="auto"/>
            <w:vAlign w:val="top"/>
          </w:tcPr>
          <w:p w14:paraId="446C484F">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本项目不设置投标保证金</w:t>
            </w:r>
          </w:p>
        </w:tc>
      </w:tr>
      <w:tr w14:paraId="55B47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576" w:type="dxa"/>
            <w:vAlign w:val="top"/>
          </w:tcPr>
          <w:p w14:paraId="7058395E">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w:t>
            </w:r>
          </w:p>
        </w:tc>
        <w:tc>
          <w:tcPr>
            <w:tcW w:w="1748" w:type="dxa"/>
            <w:shd w:val="clear" w:color="auto" w:fill="auto"/>
            <w:vAlign w:val="top"/>
          </w:tcPr>
          <w:p w14:paraId="24DAABB9">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投标有效期</w:t>
            </w:r>
          </w:p>
        </w:tc>
        <w:tc>
          <w:tcPr>
            <w:tcW w:w="7111" w:type="dxa"/>
            <w:shd w:val="clear" w:color="auto" w:fill="auto"/>
            <w:vAlign w:val="top"/>
          </w:tcPr>
          <w:p w14:paraId="2F7A401F">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投标文件递交截止时间起算，投标有效期为 90 日历天</w:t>
            </w:r>
          </w:p>
        </w:tc>
      </w:tr>
      <w:tr w14:paraId="0947A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76" w:type="dxa"/>
            <w:tcBorders>
              <w:top w:val="single" w:color="auto" w:sz="4" w:space="0"/>
              <w:left w:val="single" w:color="auto" w:sz="4" w:space="0"/>
              <w:bottom w:val="single" w:color="auto" w:sz="4" w:space="0"/>
              <w:right w:val="single" w:color="auto" w:sz="4" w:space="0"/>
            </w:tcBorders>
            <w:vAlign w:val="center"/>
          </w:tcPr>
          <w:p w14:paraId="412ECEF1">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center"/>
          </w:tcPr>
          <w:p w14:paraId="2262F7F3">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资格证明文件</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top"/>
          </w:tcPr>
          <w:p w14:paraId="2EC124C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供应商必须是具有独立承担民事责任的能力的法人、其他组织或自然人，提供营业执照、税务登记证、组织机构代码证或登载有统一社会信用代码的营业执照（或《事业单位法人证书》或其他合法组织登记证书、自然人只须提交身份证）；</w:t>
            </w:r>
          </w:p>
          <w:p w14:paraId="2A3A2305">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lang w:eastAsia="zh-CN"/>
              </w:rPr>
              <w:t>）提供法定代表人授权书（附法定代表人身份证复印件）及被授权代表身份证复印件（法定代表人直接参加只须提供法定代表人身份证复印件）；</w:t>
            </w:r>
          </w:p>
          <w:p w14:paraId="1DB6594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eastAsia="zh-CN"/>
              </w:rPr>
              <w:t>）财务状况报告：提供2024年或2025年经审计的财务审计报告</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成立时间至提交投标响应文件截止时间不足1年的可提供成立后任意时段的资产负债表</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或开标前6个月内其基本账户开户银行出具的资信证明或政府采购信用担保机构出具的投标担保函；</w:t>
            </w:r>
          </w:p>
          <w:p w14:paraId="0029CEB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税收缴纳证明：</w:t>
            </w:r>
            <w:r>
              <w:rPr>
                <w:rFonts w:hint="eastAsia" w:ascii="宋体" w:hAnsi="宋体" w:eastAsia="宋体" w:cs="宋体"/>
                <w:i w:val="0"/>
                <w:iCs w:val="0"/>
                <w:caps w:val="0"/>
                <w:color w:val="auto"/>
                <w:spacing w:val="0"/>
                <w:sz w:val="24"/>
                <w:szCs w:val="24"/>
                <w:shd w:val="clear" w:color="auto" w:fill="FFFFFF"/>
                <w:lang w:eastAsia="zh-CN"/>
              </w:rPr>
              <w:t>提供投标截止日前半年内至少一个月的</w:t>
            </w:r>
            <w:r>
              <w:rPr>
                <w:rFonts w:hint="eastAsia" w:ascii="宋体" w:hAnsi="宋体" w:eastAsia="宋体" w:cs="宋体"/>
                <w:i w:val="0"/>
                <w:iCs w:val="0"/>
                <w:caps w:val="0"/>
                <w:color w:val="auto"/>
                <w:spacing w:val="0"/>
                <w:sz w:val="24"/>
                <w:szCs w:val="24"/>
                <w:shd w:val="clear" w:color="auto" w:fill="FFFFFF"/>
              </w:rPr>
              <w:t>纳税证明或完税证明</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纳税证明或完税证明上应有代收机构或税务机关的公章或业务专用章。依法免税的供应商应提供相关文件证明；</w:t>
            </w:r>
          </w:p>
          <w:p w14:paraId="3DCC246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社会保障资金缴纳证明：</w:t>
            </w:r>
            <w:r>
              <w:rPr>
                <w:rFonts w:hint="eastAsia" w:ascii="宋体" w:hAnsi="宋体" w:eastAsia="宋体" w:cs="宋体"/>
                <w:i w:val="0"/>
                <w:iCs w:val="0"/>
                <w:caps w:val="0"/>
                <w:color w:val="auto"/>
                <w:spacing w:val="0"/>
                <w:sz w:val="24"/>
                <w:szCs w:val="24"/>
                <w:shd w:val="clear" w:color="auto" w:fill="FFFFFF"/>
                <w:lang w:eastAsia="zh-CN"/>
              </w:rPr>
              <w:t>提供投标截止日前半年内至少一个月的</w:t>
            </w:r>
            <w:r>
              <w:rPr>
                <w:rFonts w:hint="eastAsia" w:ascii="宋体" w:hAnsi="宋体" w:eastAsia="宋体" w:cs="宋体"/>
                <w:i w:val="0"/>
                <w:iCs w:val="0"/>
                <w:caps w:val="0"/>
                <w:color w:val="auto"/>
                <w:spacing w:val="0"/>
                <w:sz w:val="24"/>
                <w:szCs w:val="24"/>
                <w:shd w:val="clear" w:color="auto" w:fill="FFFFFF"/>
              </w:rPr>
              <w:t>社会保障资金缴存单据或社保机构开具的社会保险参保缴费情况证明，单据或证明上应有社保机构或代收机构的印章。依法不需要缴纳社会保障资金的供应商应提供相关文件证明；</w:t>
            </w:r>
          </w:p>
          <w:p w14:paraId="3853133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参加政府采购活动前三年内</w:t>
            </w:r>
            <w:r>
              <w:rPr>
                <w:rFonts w:hint="eastAsia" w:ascii="宋体" w:hAnsi="宋体" w:eastAsia="宋体" w:cs="宋体"/>
                <w:i w:val="0"/>
                <w:iCs w:val="0"/>
                <w:caps w:val="0"/>
                <w:color w:val="auto"/>
                <w:spacing w:val="0"/>
                <w:sz w:val="24"/>
                <w:szCs w:val="24"/>
                <w:shd w:val="clear" w:color="auto" w:fill="FFFFFF"/>
                <w:lang w:eastAsia="zh-CN"/>
              </w:rPr>
              <w:t>（2023年1月至今）</w:t>
            </w:r>
            <w:r>
              <w:rPr>
                <w:rFonts w:hint="eastAsia" w:ascii="宋体" w:hAnsi="宋体" w:eastAsia="宋体" w:cs="宋体"/>
                <w:i w:val="0"/>
                <w:iCs w:val="0"/>
                <w:caps w:val="0"/>
                <w:color w:val="auto"/>
                <w:spacing w:val="0"/>
                <w:sz w:val="24"/>
                <w:szCs w:val="24"/>
                <w:shd w:val="clear" w:color="auto" w:fill="FFFFFF"/>
              </w:rPr>
              <w:t>，在经营活动中没有重大违法记录的书面声明；</w:t>
            </w:r>
          </w:p>
          <w:p w14:paraId="6A836F4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投标人具备履行合同所必需的设备和专业技术能力的书面声明（格式自拟）；</w:t>
            </w:r>
          </w:p>
          <w:p w14:paraId="59376FA7">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lang w:eastAsia="zh-CN"/>
              </w:rPr>
              <w:t>）投标人通过“信用中国 ”网站（www.creditchina.gov.cn）、中国政府采购网（www.ccgp.gov.cn）等渠道查询相关主体无失信记录。对列入失信被执行人、 重大税收违法案件当事人名单、政府采购严重违法失信行为记录名单的投标人，将拒绝其参与政府采购活动；以“信用中国 ”网站</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中国政府采购网查询结果为准（投标文件中提供查询结果网页截图并加盖投标人公章，查询日期为从招标文件发售之日起至投标截止日前，评标现场通过网站对信用记录进行核实）</w:t>
            </w:r>
            <w:r>
              <w:rPr>
                <w:rFonts w:hint="eastAsia" w:ascii="宋体" w:hAnsi="宋体" w:eastAsia="宋体" w:cs="宋体"/>
                <w:i w:val="0"/>
                <w:iCs w:val="0"/>
                <w:caps w:val="0"/>
                <w:color w:val="auto"/>
                <w:spacing w:val="0"/>
                <w:sz w:val="24"/>
                <w:szCs w:val="24"/>
                <w:shd w:val="clear" w:color="auto" w:fill="FFFFFF"/>
              </w:rPr>
              <w:t>；</w:t>
            </w:r>
          </w:p>
          <w:p w14:paraId="6E827F4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lang w:eastAsia="zh-CN"/>
              </w:rPr>
              <w:t>）</w:t>
            </w:r>
            <w:r>
              <w:rPr>
                <w:rFonts w:hint="eastAsia" w:cs="宋体"/>
                <w:i w:val="0"/>
                <w:iCs w:val="0"/>
                <w:caps w:val="0"/>
                <w:color w:val="auto"/>
                <w:spacing w:val="0"/>
                <w:sz w:val="24"/>
                <w:szCs w:val="24"/>
                <w:shd w:val="clear" w:color="auto" w:fill="FFFFFF"/>
                <w:lang w:val="en-US" w:eastAsia="zh-CN"/>
              </w:rPr>
              <w:t>投标产品属于医疗器械管理范围的须提供医疗器械注册证。投标产品属于第二类医疗器械管理的，投标人应具有第二类医疗器械经营备案凭证（投标产品须在其经营范围内）；投标产品属于第三类医疗器械管理的，投标人应具有医疗器械经营许可证（投标产品须在其经营范围内）。投标人为制造厂家的：应具有医疗器械生产许可证（投标产品须在其生产范围内），且具有本条前述要求的相关医疗器械经营资质</w:t>
            </w:r>
            <w:r>
              <w:rPr>
                <w:rFonts w:hint="eastAsia" w:ascii="宋体" w:hAnsi="宋体" w:eastAsia="宋体" w:cs="宋体"/>
                <w:i w:val="0"/>
                <w:iCs w:val="0"/>
                <w:caps w:val="0"/>
                <w:color w:val="auto"/>
                <w:spacing w:val="0"/>
                <w:sz w:val="24"/>
                <w:szCs w:val="24"/>
                <w:shd w:val="clear" w:color="auto" w:fill="FFFFFF"/>
                <w:lang w:val="en-US" w:eastAsia="zh-CN"/>
              </w:rPr>
              <w:t>；</w:t>
            </w:r>
          </w:p>
          <w:p w14:paraId="55746AB9">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lang w:eastAsia="zh-CN"/>
              </w:rPr>
              <w:t>本项目不接受联合体投标。</w:t>
            </w:r>
          </w:p>
        </w:tc>
      </w:tr>
      <w:tr w14:paraId="6CC30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576" w:type="dxa"/>
            <w:tcBorders>
              <w:top w:val="single" w:color="auto" w:sz="4" w:space="0"/>
              <w:left w:val="single" w:color="auto" w:sz="4" w:space="0"/>
              <w:bottom w:val="single" w:color="auto" w:sz="4" w:space="0"/>
              <w:right w:val="single" w:color="auto" w:sz="4" w:space="0"/>
            </w:tcBorders>
            <w:shd w:val="clear" w:color="auto" w:fill="auto"/>
            <w:vAlign w:val="top"/>
          </w:tcPr>
          <w:p w14:paraId="22ED220B">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top"/>
          </w:tcPr>
          <w:p w14:paraId="349CCB2F">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采购方式</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top"/>
          </w:tcPr>
          <w:p w14:paraId="603C745E">
            <w:pPr>
              <w:keepNext w:val="0"/>
              <w:keepLines w:val="0"/>
              <w:pageBreakBefore w:val="0"/>
              <w:kinsoku/>
              <w:wordWrap/>
              <w:overflowPunct/>
              <w:topLinePunct w:val="0"/>
              <w:autoSpaceDE/>
              <w:autoSpaceDN/>
              <w:bidi w:val="0"/>
              <w:adjustRightInd/>
              <w:snapToGrid/>
              <w:spacing w:line="500" w:lineRule="exact"/>
              <w:ind w:left="0" w:leftChars="0" w:right="0" w:rightChars="0" w:firstLine="2640" w:firstLineChars="1100"/>
              <w:jc w:val="left"/>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公开招标</w:t>
            </w:r>
          </w:p>
        </w:tc>
      </w:tr>
      <w:tr w14:paraId="7BEDF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576" w:type="dxa"/>
            <w:tcBorders>
              <w:top w:val="single" w:color="auto" w:sz="4" w:space="0"/>
              <w:left w:val="single" w:color="auto" w:sz="4" w:space="0"/>
              <w:bottom w:val="single" w:color="auto" w:sz="4" w:space="0"/>
              <w:right w:val="single" w:color="auto" w:sz="4" w:space="0"/>
            </w:tcBorders>
            <w:shd w:val="clear" w:color="auto" w:fill="auto"/>
            <w:vAlign w:val="top"/>
          </w:tcPr>
          <w:p w14:paraId="5F50A672">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top"/>
          </w:tcPr>
          <w:p w14:paraId="00DD6F4D">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评标办法</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top"/>
          </w:tcPr>
          <w:p w14:paraId="65B44587">
            <w:pPr>
              <w:keepNext w:val="0"/>
              <w:keepLines w:val="0"/>
              <w:pageBreakBefore w:val="0"/>
              <w:kinsoku/>
              <w:wordWrap/>
              <w:overflowPunct/>
              <w:topLinePunct w:val="0"/>
              <w:autoSpaceDE/>
              <w:autoSpaceDN/>
              <w:bidi w:val="0"/>
              <w:adjustRightInd/>
              <w:snapToGrid/>
              <w:spacing w:line="500" w:lineRule="exact"/>
              <w:ind w:right="0" w:rightChars="0" w:firstLine="2640" w:firstLineChars="1100"/>
              <w:jc w:val="both"/>
              <w:textAlignment w:val="auto"/>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综合评分法</w:t>
            </w:r>
          </w:p>
        </w:tc>
      </w:tr>
      <w:tr w14:paraId="5971B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76" w:type="dxa"/>
            <w:tcBorders>
              <w:top w:val="single" w:color="auto" w:sz="4" w:space="0"/>
              <w:left w:val="single" w:color="auto" w:sz="4" w:space="0"/>
              <w:bottom w:val="single" w:color="auto" w:sz="4" w:space="0"/>
              <w:right w:val="single" w:color="auto" w:sz="4" w:space="0"/>
            </w:tcBorders>
            <w:shd w:val="clear" w:color="auto" w:fill="auto"/>
            <w:vAlign w:val="top"/>
          </w:tcPr>
          <w:p w14:paraId="389823FC">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p>
          <w:p w14:paraId="6DDACB34">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top"/>
          </w:tcPr>
          <w:p w14:paraId="4856DCC4">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p>
          <w:p w14:paraId="7399BFF6">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开标时间、 地点</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top"/>
          </w:tcPr>
          <w:p w14:paraId="3679B4A2">
            <w:pPr>
              <w:keepNext w:val="0"/>
              <w:keepLines w:val="0"/>
              <w:pageBreakBefore w:val="0"/>
              <w:kinsoku/>
              <w:wordWrap/>
              <w:overflowPunct/>
              <w:topLinePunct w:val="0"/>
              <w:autoSpaceDE/>
              <w:autoSpaceDN/>
              <w:bidi w:val="0"/>
              <w:adjustRightInd/>
              <w:snapToGrid/>
              <w:spacing w:line="500" w:lineRule="exact"/>
              <w:ind w:left="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开标时间：</w:t>
            </w:r>
            <w:r>
              <w:rPr>
                <w:rFonts w:hint="eastAsia" w:ascii="宋体" w:hAnsi="宋体" w:eastAsia="宋体" w:cs="宋体"/>
                <w:i w:val="0"/>
                <w:iCs w:val="0"/>
                <w:caps w:val="0"/>
                <w:color w:val="auto"/>
                <w:spacing w:val="0"/>
                <w:sz w:val="24"/>
                <w:szCs w:val="24"/>
                <w:shd w:val="clear" w:color="auto" w:fill="FFFFFF"/>
                <w:lang w:val="en-US" w:eastAsia="zh-CN"/>
              </w:rPr>
              <w:t>2026年09月29日 16时00分</w:t>
            </w:r>
            <w:r>
              <w:rPr>
                <w:rFonts w:hint="eastAsia" w:ascii="宋体" w:hAnsi="宋体" w:eastAsia="宋体" w:cs="宋体"/>
                <w:i w:val="0"/>
                <w:iCs w:val="0"/>
                <w:caps w:val="0"/>
                <w:color w:val="auto"/>
                <w:spacing w:val="0"/>
                <w:sz w:val="24"/>
                <w:szCs w:val="24"/>
                <w:shd w:val="clear" w:color="auto" w:fill="FFFFFF"/>
              </w:rPr>
              <w:t>00秒</w:t>
            </w:r>
          </w:p>
          <w:p w14:paraId="5CE63DF9">
            <w:pPr>
              <w:keepNext w:val="0"/>
              <w:keepLines w:val="0"/>
              <w:pageBreakBefore w:val="0"/>
              <w:kinsoku/>
              <w:wordWrap/>
              <w:overflowPunct/>
              <w:topLinePunct w:val="0"/>
              <w:autoSpaceDE/>
              <w:autoSpaceDN/>
              <w:bidi w:val="0"/>
              <w:adjustRightInd/>
              <w:snapToGrid/>
              <w:spacing w:line="500" w:lineRule="exact"/>
              <w:ind w:left="0" w:right="0"/>
              <w:jc w:val="left"/>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开标地点：安康不见面开标大厅系统（采用电子化投标及远程不见面开标方式）（如有变动，另行通知）。</w:t>
            </w:r>
          </w:p>
        </w:tc>
      </w:tr>
      <w:tr w14:paraId="50BDC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76" w:type="dxa"/>
            <w:tcBorders>
              <w:top w:val="single" w:color="auto" w:sz="4" w:space="0"/>
              <w:left w:val="single" w:color="auto" w:sz="4" w:space="0"/>
              <w:bottom w:val="single" w:color="auto" w:sz="4" w:space="0"/>
              <w:right w:val="single" w:color="auto" w:sz="4" w:space="0"/>
            </w:tcBorders>
            <w:shd w:val="clear" w:color="auto" w:fill="auto"/>
            <w:vAlign w:val="center"/>
          </w:tcPr>
          <w:p w14:paraId="14E61FE1">
            <w:pPr>
              <w:keepNext w:val="0"/>
              <w:keepLines w:val="0"/>
              <w:pageBreakBefore w:val="0"/>
              <w:kinsoku/>
              <w:wordWrap/>
              <w:overflowPunct/>
              <w:topLinePunct w:val="0"/>
              <w:autoSpaceDE/>
              <w:autoSpaceDN/>
              <w:bidi w:val="0"/>
              <w:adjustRightInd/>
              <w:snapToGrid/>
              <w:spacing w:line="500" w:lineRule="exact"/>
              <w:ind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14</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center"/>
          </w:tcPr>
          <w:p w14:paraId="2A92C50E">
            <w:pPr>
              <w:keepNext w:val="0"/>
              <w:keepLines w:val="0"/>
              <w:pageBreakBefore w:val="0"/>
              <w:kinsoku/>
              <w:wordWrap/>
              <w:overflowPunct/>
              <w:topLinePunct w:val="0"/>
              <w:autoSpaceDE/>
              <w:autoSpaceDN/>
              <w:bidi w:val="0"/>
              <w:adjustRightInd/>
              <w:snapToGrid/>
              <w:spacing w:line="500" w:lineRule="exact"/>
              <w:ind w:left="0" w:right="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招标文件递交截止时间</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center"/>
          </w:tcPr>
          <w:p w14:paraId="41F17EC6">
            <w:pPr>
              <w:keepNext w:val="0"/>
              <w:keepLines w:val="0"/>
              <w:pageBreakBefore w:val="0"/>
              <w:kinsoku/>
              <w:wordWrap/>
              <w:overflowPunct/>
              <w:topLinePunct w:val="0"/>
              <w:autoSpaceDE/>
              <w:autoSpaceDN/>
              <w:bidi w:val="0"/>
              <w:adjustRightInd/>
              <w:snapToGrid/>
              <w:spacing w:line="500" w:lineRule="exact"/>
              <w:ind w:left="0" w:leftChars="0" w:right="0" w:rightChars="0"/>
              <w:jc w:val="both"/>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i w:val="0"/>
                <w:iCs w:val="0"/>
                <w:caps w:val="0"/>
                <w:color w:val="auto"/>
                <w:spacing w:val="0"/>
                <w:sz w:val="24"/>
                <w:szCs w:val="24"/>
                <w:shd w:val="clear" w:color="auto" w:fill="FFFFFF"/>
                <w:lang w:val="en-US" w:eastAsia="zh-CN"/>
              </w:rPr>
              <w:t>2026年09月29日 16时00分</w:t>
            </w:r>
            <w:r>
              <w:rPr>
                <w:rFonts w:hint="eastAsia" w:ascii="宋体" w:hAnsi="宋体" w:eastAsia="宋体" w:cs="宋体"/>
                <w:b w:val="0"/>
                <w:bCs w:val="0"/>
                <w:color w:val="auto"/>
                <w:sz w:val="24"/>
                <w:szCs w:val="24"/>
                <w:highlight w:val="none"/>
                <w:lang w:val="en-US" w:eastAsia="zh-CN"/>
              </w:rPr>
              <w:t>止</w:t>
            </w:r>
          </w:p>
        </w:tc>
      </w:tr>
      <w:tr w14:paraId="54E49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76" w:type="dxa"/>
            <w:tcBorders>
              <w:top w:val="single" w:color="auto" w:sz="4" w:space="0"/>
              <w:left w:val="single" w:color="auto" w:sz="4" w:space="0"/>
              <w:bottom w:val="single" w:color="auto" w:sz="4" w:space="0"/>
              <w:right w:val="single" w:color="auto" w:sz="4" w:space="0"/>
            </w:tcBorders>
            <w:shd w:val="clear" w:color="auto" w:fill="auto"/>
            <w:vAlign w:val="top"/>
          </w:tcPr>
          <w:p w14:paraId="6212D768">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p>
          <w:p w14:paraId="55290B04">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15</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top"/>
          </w:tcPr>
          <w:p w14:paraId="095EB3F0">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p>
          <w:p w14:paraId="1DE3AF1E">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评标小组构成</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top"/>
          </w:tcPr>
          <w:p w14:paraId="0AD7DAEC">
            <w:pPr>
              <w:keepNext w:val="0"/>
              <w:keepLines w:val="0"/>
              <w:pageBreakBefore w:val="0"/>
              <w:kinsoku/>
              <w:wordWrap/>
              <w:overflowPunct/>
              <w:topLinePunct w:val="0"/>
              <w:autoSpaceDE/>
              <w:autoSpaceDN/>
              <w:bidi w:val="0"/>
              <w:adjustRightInd/>
              <w:snapToGrid/>
              <w:spacing w:line="500" w:lineRule="exact"/>
              <w:ind w:left="0" w:leftChars="0" w:right="0" w:rightChars="0"/>
              <w:jc w:val="left"/>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根据《中华人民共和国政府采购法</w:t>
            </w:r>
            <w:r>
              <w:rPr>
                <w:rFonts w:hint="eastAsia" w:ascii="宋体" w:hAnsi="宋体" w:cs="宋体"/>
                <w:b w:val="0"/>
                <w:bCs w:val="0"/>
                <w:color w:val="auto"/>
                <w:sz w:val="24"/>
                <w:szCs w:val="24"/>
                <w:highlight w:val="none"/>
                <w:lang w:val="en-US" w:eastAsia="zh-CN"/>
              </w:rPr>
              <w:t>》和</w:t>
            </w: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中华人民共和国政府采购法实施条例</w:t>
            </w:r>
            <w:r>
              <w:rPr>
                <w:rFonts w:hint="eastAsia" w:ascii="宋体" w:hAnsi="宋体" w:eastAsia="宋体" w:cs="宋体"/>
                <w:b w:val="0"/>
                <w:bCs w:val="0"/>
                <w:color w:val="auto"/>
                <w:sz w:val="24"/>
                <w:szCs w:val="24"/>
                <w:highlight w:val="none"/>
                <w:lang w:val="en-US" w:eastAsia="zh-CN"/>
              </w:rPr>
              <w:t>》等有关法律规定组建评标小组。</w:t>
            </w:r>
          </w:p>
        </w:tc>
      </w:tr>
      <w:tr w14:paraId="2BFA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76" w:type="dxa"/>
            <w:tcBorders>
              <w:top w:val="single" w:color="auto" w:sz="4" w:space="0"/>
              <w:left w:val="single" w:color="auto" w:sz="4" w:space="0"/>
              <w:bottom w:val="single" w:color="auto" w:sz="4" w:space="0"/>
              <w:right w:val="single" w:color="auto" w:sz="4" w:space="0"/>
            </w:tcBorders>
            <w:shd w:val="clear" w:color="auto" w:fill="auto"/>
            <w:vAlign w:val="top"/>
          </w:tcPr>
          <w:p w14:paraId="7FE4C27D">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p>
          <w:p w14:paraId="1505FDC5">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16</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top"/>
          </w:tcPr>
          <w:p w14:paraId="697B5E6D">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zh-CN"/>
              </w:rPr>
            </w:pPr>
          </w:p>
          <w:p w14:paraId="52B81009">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现场勘察</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top"/>
          </w:tcPr>
          <w:p w14:paraId="2BFB5196">
            <w:pPr>
              <w:keepNext w:val="0"/>
              <w:keepLines w:val="0"/>
              <w:pageBreakBefore w:val="0"/>
              <w:kinsoku/>
              <w:wordWrap/>
              <w:overflowPunct/>
              <w:topLinePunct w:val="0"/>
              <w:autoSpaceDE/>
              <w:autoSpaceDN/>
              <w:bidi w:val="0"/>
              <w:adjustRightInd/>
              <w:snapToGrid/>
              <w:spacing w:line="500" w:lineRule="exact"/>
              <w:ind w:left="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1.采购代理机构不组织统一现场勘察，由供应商自行安排。</w:t>
            </w:r>
          </w:p>
          <w:p w14:paraId="5661A3C7">
            <w:pPr>
              <w:keepNext w:val="0"/>
              <w:keepLines w:val="0"/>
              <w:pageBreakBefore w:val="0"/>
              <w:kinsoku/>
              <w:wordWrap/>
              <w:overflowPunct/>
              <w:topLinePunct w:val="0"/>
              <w:autoSpaceDE/>
              <w:autoSpaceDN/>
              <w:bidi w:val="0"/>
              <w:adjustRightInd/>
              <w:snapToGrid/>
              <w:spacing w:line="500" w:lineRule="exact"/>
              <w:ind w:left="0" w:leftChars="0" w:right="0" w:rightChars="0"/>
              <w:jc w:val="left"/>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2.供应商</w:t>
            </w:r>
            <w:r>
              <w:rPr>
                <w:rFonts w:hint="eastAsia" w:ascii="宋体" w:hAnsi="宋体" w:cs="宋体"/>
                <w:b w:val="0"/>
                <w:bCs w:val="0"/>
                <w:color w:val="auto"/>
                <w:sz w:val="24"/>
                <w:szCs w:val="24"/>
                <w:highlight w:val="none"/>
                <w:lang w:val="en-US" w:eastAsia="zh-CN"/>
              </w:rPr>
              <w:t>勘查现场</w:t>
            </w:r>
            <w:r>
              <w:rPr>
                <w:rFonts w:hint="eastAsia" w:ascii="宋体" w:hAnsi="宋体" w:eastAsia="宋体" w:cs="宋体"/>
                <w:b w:val="0"/>
                <w:bCs w:val="0"/>
                <w:color w:val="auto"/>
                <w:sz w:val="24"/>
                <w:szCs w:val="24"/>
                <w:highlight w:val="none"/>
                <w:lang w:val="en-US" w:eastAsia="zh-CN"/>
              </w:rPr>
              <w:t>发生的一切费用自理，并自行负责在勘查现场发 生的人员伤亡和财产损失。</w:t>
            </w:r>
          </w:p>
        </w:tc>
      </w:tr>
      <w:tr w14:paraId="5CB5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76" w:type="dxa"/>
            <w:tcBorders>
              <w:top w:val="single" w:color="auto" w:sz="4" w:space="0"/>
              <w:left w:val="single" w:color="auto" w:sz="4" w:space="0"/>
              <w:bottom w:val="single" w:color="auto" w:sz="4" w:space="0"/>
              <w:right w:val="single" w:color="auto" w:sz="4" w:space="0"/>
            </w:tcBorders>
            <w:shd w:val="clear" w:color="auto" w:fill="auto"/>
            <w:vAlign w:val="top"/>
          </w:tcPr>
          <w:p w14:paraId="2FD739F3">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17</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top"/>
          </w:tcPr>
          <w:p w14:paraId="050A3018">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答疑</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top"/>
          </w:tcPr>
          <w:p w14:paraId="191FDCBC">
            <w:pPr>
              <w:keepNext w:val="0"/>
              <w:keepLines w:val="0"/>
              <w:pageBreakBefore w:val="0"/>
              <w:kinsoku/>
              <w:wordWrap/>
              <w:overflowPunct/>
              <w:topLinePunct w:val="0"/>
              <w:autoSpaceDE/>
              <w:autoSpaceDN/>
              <w:bidi w:val="0"/>
              <w:adjustRightInd/>
              <w:snapToGrid/>
              <w:spacing w:line="500" w:lineRule="exact"/>
              <w:ind w:left="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1.是否组织现场考察或者召开答疑会：否</w:t>
            </w:r>
          </w:p>
          <w:p w14:paraId="77BF1137">
            <w:pPr>
              <w:keepNext w:val="0"/>
              <w:keepLines w:val="0"/>
              <w:pageBreakBefore w:val="0"/>
              <w:kinsoku/>
              <w:wordWrap/>
              <w:overflowPunct/>
              <w:topLinePunct w:val="0"/>
              <w:autoSpaceDE/>
              <w:autoSpaceDN/>
              <w:bidi w:val="0"/>
              <w:adjustRightInd/>
              <w:snapToGrid/>
              <w:spacing w:line="500" w:lineRule="exact"/>
              <w:ind w:left="0" w:right="0"/>
              <w:jc w:val="left"/>
              <w:textAlignment w:val="auto"/>
              <w:rPr>
                <w:rFonts w:hint="eastAsia" w:ascii="宋体" w:hAnsi="宋体" w:eastAsia="宋体" w:cs="宋体"/>
                <w:b w:val="0"/>
                <w:bCs w:val="0"/>
                <w:color w:val="auto"/>
                <w:kern w:val="2"/>
                <w:sz w:val="24"/>
                <w:szCs w:val="24"/>
                <w:highlight w:val="none"/>
                <w:lang w:val="en-US" w:eastAsia="en-US" w:bidi="ar-SA"/>
              </w:rPr>
            </w:pPr>
            <w:r>
              <w:rPr>
                <w:rFonts w:hint="eastAsia" w:ascii="宋体" w:hAnsi="宋体" w:eastAsia="宋体" w:cs="宋体"/>
                <w:b w:val="0"/>
                <w:bCs w:val="0"/>
                <w:color w:val="auto"/>
                <w:sz w:val="24"/>
                <w:szCs w:val="24"/>
                <w:highlight w:val="none"/>
                <w:lang w:val="en-US" w:eastAsia="zh-CN"/>
              </w:rPr>
              <w:t>2.如有疑问，投标人需书面提出，经采购人收集问题后，统一答疑。3.针对同一采购程序环节的质疑次数：一次性提出</w:t>
            </w:r>
          </w:p>
        </w:tc>
      </w:tr>
      <w:tr w14:paraId="51DFD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576" w:type="dxa"/>
            <w:tcBorders>
              <w:top w:val="single" w:color="auto" w:sz="4" w:space="0"/>
              <w:left w:val="single" w:color="auto" w:sz="4" w:space="0"/>
              <w:bottom w:val="single" w:color="auto" w:sz="4" w:space="0"/>
              <w:right w:val="single" w:color="auto" w:sz="4" w:space="0"/>
            </w:tcBorders>
            <w:shd w:val="clear" w:color="auto" w:fill="auto"/>
            <w:vAlign w:val="center"/>
          </w:tcPr>
          <w:p w14:paraId="01C5E09C">
            <w:pPr>
              <w:keepNext w:val="0"/>
              <w:keepLines w:val="0"/>
              <w:pageBreakBefore w:val="0"/>
              <w:kinsoku/>
              <w:wordWrap/>
              <w:overflowPunct/>
              <w:topLinePunct w:val="0"/>
              <w:autoSpaceDE/>
              <w:autoSpaceDN/>
              <w:bidi w:val="0"/>
              <w:adjustRightInd/>
              <w:snapToGrid/>
              <w:spacing w:line="500" w:lineRule="exact"/>
              <w:ind w:left="0" w:right="0"/>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18</w:t>
            </w:r>
          </w:p>
        </w:tc>
        <w:tc>
          <w:tcPr>
            <w:tcW w:w="1748" w:type="dxa"/>
            <w:tcBorders>
              <w:top w:val="single" w:color="auto" w:sz="4" w:space="0"/>
              <w:left w:val="single" w:color="auto" w:sz="4" w:space="0"/>
              <w:bottom w:val="single" w:color="auto" w:sz="4" w:space="0"/>
              <w:right w:val="single" w:color="auto" w:sz="4" w:space="0"/>
            </w:tcBorders>
            <w:shd w:val="clear" w:color="auto" w:fill="auto"/>
            <w:vAlign w:val="center"/>
          </w:tcPr>
          <w:p w14:paraId="7E22E829">
            <w:pPr>
              <w:keepNext w:val="0"/>
              <w:keepLines w:val="0"/>
              <w:pageBreakBefore w:val="0"/>
              <w:kinsoku/>
              <w:wordWrap/>
              <w:overflowPunct/>
              <w:topLinePunct w:val="0"/>
              <w:autoSpaceDE/>
              <w:autoSpaceDN/>
              <w:bidi w:val="0"/>
              <w:adjustRightInd/>
              <w:snapToGrid/>
              <w:spacing w:line="500" w:lineRule="exact"/>
              <w:ind w:left="0" w:leftChars="0" w:right="0" w:rightChars="0"/>
              <w:jc w:val="center"/>
              <w:textAlignment w:val="auto"/>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其他说明事项</w:t>
            </w:r>
          </w:p>
        </w:tc>
        <w:tc>
          <w:tcPr>
            <w:tcW w:w="7111" w:type="dxa"/>
            <w:tcBorders>
              <w:top w:val="single" w:color="auto" w:sz="4" w:space="0"/>
              <w:left w:val="single" w:color="auto" w:sz="4" w:space="0"/>
              <w:bottom w:val="single" w:color="auto" w:sz="4" w:space="0"/>
              <w:right w:val="single" w:color="auto" w:sz="4" w:space="0"/>
            </w:tcBorders>
            <w:shd w:val="clear" w:color="auto" w:fill="auto"/>
            <w:vAlign w:val="top"/>
          </w:tcPr>
          <w:p w14:paraId="67418018">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color w:val="auto"/>
                <w:kern w:val="0"/>
                <w:sz w:val="24"/>
                <w:szCs w:val="24"/>
                <w:lang w:val="en-US" w:eastAsia="zh-CN" w:bidi="ar"/>
              </w:rPr>
              <w:t>本项目非专门面向中小企业采购</w:t>
            </w:r>
          </w:p>
          <w:p w14:paraId="3E9A330B">
            <w:pPr>
              <w:keepNext w:val="0"/>
              <w:keepLines w:val="0"/>
              <w:pageBreakBefore w:val="0"/>
              <w:kinsoku/>
              <w:wordWrap/>
              <w:overflowPunct/>
              <w:topLinePunct w:val="0"/>
              <w:autoSpaceDE/>
              <w:autoSpaceDN/>
              <w:bidi w:val="0"/>
              <w:adjustRightInd/>
              <w:snapToGrid/>
              <w:spacing w:line="500" w:lineRule="exact"/>
              <w:ind w:left="0" w:right="0"/>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采购标的对应的中小企业划分标准所属行业为工业。</w:t>
            </w:r>
          </w:p>
          <w:p w14:paraId="1FBB9EA4">
            <w:pPr>
              <w:keepNext w:val="0"/>
              <w:keepLines w:val="0"/>
              <w:pageBreakBefore w:val="0"/>
              <w:kinsoku/>
              <w:wordWrap/>
              <w:overflowPunct/>
              <w:topLinePunct w:val="0"/>
              <w:autoSpaceDE/>
              <w:autoSpaceDN/>
              <w:bidi w:val="0"/>
              <w:adjustRightInd/>
              <w:snapToGrid/>
              <w:spacing w:line="500" w:lineRule="exact"/>
              <w:ind w:left="0" w:leftChars="0" w:right="0" w:rightChars="0"/>
              <w:jc w:val="left"/>
              <w:textAlignment w:val="auto"/>
              <w:rPr>
                <w:rFonts w:hint="eastAsia" w:ascii="宋体" w:hAnsi="宋体" w:eastAsia="宋体" w:cs="宋体"/>
                <w:b w:val="0"/>
                <w:bCs w:val="0"/>
                <w:color w:val="auto"/>
                <w:sz w:val="24"/>
                <w:szCs w:val="24"/>
                <w:highlight w:val="none"/>
                <w:lang w:val="en-US" w:eastAsia="en-US"/>
              </w:rPr>
            </w:pPr>
            <w:r>
              <w:rPr>
                <w:rFonts w:hint="eastAsia" w:ascii="宋体" w:hAnsi="宋体" w:eastAsia="宋体" w:cs="宋体"/>
                <w:b w:val="0"/>
                <w:bCs w:val="0"/>
                <w:color w:val="auto"/>
                <w:sz w:val="24"/>
                <w:szCs w:val="24"/>
                <w:highlight w:val="none"/>
                <w:lang w:val="en-US" w:eastAsia="zh-CN"/>
              </w:rPr>
              <w:t>工业的划型标准为：从业人员 1000 人以下或营业收入 40000 万元以下的为中小微型企业。其中，从业人员 300 人及以上，且营业收入 2000 万元及以上的为中型企业；从业人员 20 人及以上，且营业收入 300 万元及以上的为小型企业；从业人员 20 人以下或营业收入 300 万元以下的为微型企业。</w:t>
            </w:r>
          </w:p>
        </w:tc>
      </w:tr>
    </w:tbl>
    <w:p w14:paraId="45F6C794">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07A7DDE8">
      <w:pPr>
        <w:pStyle w:val="2"/>
        <w:bidi w:val="0"/>
        <w:spacing w:line="240" w:lineRule="auto"/>
        <w:jc w:val="center"/>
        <w:rPr>
          <w:rFonts w:hint="eastAsia" w:ascii="宋体" w:hAnsi="宋体" w:eastAsia="宋体" w:cs="宋体"/>
          <w:color w:val="auto"/>
          <w:sz w:val="36"/>
          <w:szCs w:val="20"/>
          <w:highlight w:val="none"/>
        </w:rPr>
      </w:pPr>
      <w:r>
        <w:rPr>
          <w:rFonts w:hint="eastAsia" w:ascii="宋体" w:hAnsi="宋体" w:eastAsia="宋体" w:cs="宋体"/>
          <w:color w:val="auto"/>
          <w:sz w:val="36"/>
          <w:szCs w:val="20"/>
          <w:highlight w:val="none"/>
        </w:rPr>
        <w:t>第三部分  投标须知</w:t>
      </w:r>
    </w:p>
    <w:p w14:paraId="22C4A1CA">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一、名词解释</w:t>
      </w:r>
    </w:p>
    <w:p w14:paraId="5C4F9126">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采  购 单 位：</w:t>
      </w:r>
      <w:r>
        <w:rPr>
          <w:rFonts w:hint="eastAsia" w:ascii="宋体" w:hAnsi="宋体" w:eastAsia="宋体" w:cs="宋体"/>
          <w:color w:val="auto"/>
          <w:sz w:val="24"/>
          <w:szCs w:val="24"/>
          <w:highlight w:val="none"/>
          <w:lang w:eastAsia="zh-CN"/>
        </w:rPr>
        <w:t>白河县人民医院</w:t>
      </w:r>
    </w:p>
    <w:p w14:paraId="72374843">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监  督 机 构：</w:t>
      </w:r>
      <w:r>
        <w:rPr>
          <w:rFonts w:hint="eastAsia" w:ascii="宋体" w:hAnsi="宋体" w:eastAsia="宋体" w:cs="宋体"/>
          <w:bCs/>
          <w:color w:val="auto"/>
          <w:sz w:val="24"/>
          <w:szCs w:val="24"/>
          <w:highlight w:val="none"/>
          <w:lang w:val="en-US" w:eastAsia="zh-CN"/>
        </w:rPr>
        <w:t>白河县财政局</w:t>
      </w:r>
    </w:p>
    <w:p w14:paraId="0E0165DD">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招标代理机构：</w:t>
      </w:r>
      <w:r>
        <w:rPr>
          <w:rFonts w:hint="eastAsia" w:ascii="宋体" w:hAnsi="宋体" w:eastAsia="宋体" w:cs="宋体"/>
          <w:color w:val="auto"/>
          <w:sz w:val="24"/>
          <w:szCs w:val="24"/>
          <w:highlight w:val="none"/>
          <w:lang w:eastAsia="zh-CN"/>
        </w:rPr>
        <w:t>安康华昊智远项目管理有限公司</w:t>
      </w:r>
    </w:p>
    <w:p w14:paraId="5A2A725F">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标        书：招标文件与投标文件的统称</w:t>
      </w:r>
    </w:p>
    <w:p w14:paraId="53EC0581">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供   应   商：参加本次招标活动</w:t>
      </w:r>
      <w:r>
        <w:rPr>
          <w:rFonts w:hint="eastAsia" w:ascii="宋体" w:hAnsi="宋体" w:cs="宋体"/>
          <w:color w:val="auto"/>
          <w:sz w:val="24"/>
          <w:szCs w:val="24"/>
          <w:highlight w:val="none"/>
          <w:lang w:eastAsia="zh-CN"/>
        </w:rPr>
        <w:t>的</w:t>
      </w:r>
      <w:r>
        <w:rPr>
          <w:rFonts w:hint="eastAsia" w:ascii="宋体" w:hAnsi="宋体" w:eastAsia="宋体" w:cs="宋体"/>
          <w:color w:val="auto"/>
          <w:sz w:val="24"/>
          <w:szCs w:val="24"/>
          <w:highlight w:val="none"/>
        </w:rPr>
        <w:t>制造商或代理商</w:t>
      </w:r>
    </w:p>
    <w:p w14:paraId="5CD9DB17">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3908C618">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招标文件包括目录中所列的六部分。</w:t>
      </w:r>
    </w:p>
    <w:p w14:paraId="6504CB59">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投标人应仔细阅读招标文件中所有的事项、格式、条款和规范要求，在投标文件中对招标文件的各方面都作出实质性的响应，按照招标文件的要求提交全部资料。</w:t>
      </w:r>
    </w:p>
    <w:p w14:paraId="240CD87C">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招标文件的澄清及修改</w:t>
      </w:r>
    </w:p>
    <w:p w14:paraId="7FA109DC">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可对已发出的招标文件进行必要的澄清或者修改，澄清或者修改的内容作为招标文件的组成部分。澄清和修改的内容可能影响投标文件编制的，采购代理机构应当在投标文件截止时间至少十五日前，以书面形式通知所有获取招标文件的潜在投标人</w:t>
      </w:r>
      <w:r>
        <w:rPr>
          <w:rFonts w:hint="eastAsia" w:ascii="宋体" w:hAnsi="宋体" w:eastAsia="宋体" w:cs="宋体"/>
          <w:color w:val="auto"/>
          <w:sz w:val="24"/>
          <w:szCs w:val="24"/>
          <w:highlight w:val="none"/>
          <w:lang w:val="zh-CN"/>
        </w:rPr>
        <w:t>，并对投标人具有约束力。投标人在收到上述通知后，</w:t>
      </w:r>
      <w:r>
        <w:rPr>
          <w:rFonts w:hint="eastAsia" w:ascii="宋体" w:hAnsi="宋体" w:eastAsia="宋体" w:cs="宋体"/>
          <w:color w:val="auto"/>
          <w:sz w:val="24"/>
          <w:szCs w:val="24"/>
          <w:highlight w:val="none"/>
        </w:rPr>
        <w:t>应当立即以书面形式向采购代理机构确认；不足十五日的，采购代理机构应当顺延提交投标文件的截止时间。</w:t>
      </w:r>
    </w:p>
    <w:p w14:paraId="3EB7E9AC">
      <w:pPr>
        <w:pageBreakBefore w:val="0"/>
        <w:kinsoku/>
        <w:overflowPunct/>
        <w:topLinePunct w:val="0"/>
        <w:autoSpaceDE/>
        <w:autoSpaceDN/>
        <w:bidi w:val="0"/>
        <w:adjustRightInd w:val="0"/>
        <w:snapToGrid w:val="0"/>
        <w:spacing w:line="500" w:lineRule="exact"/>
        <w:ind w:firstLine="624"/>
        <w:textAlignment w:val="auto"/>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质疑提出与答复</w:t>
      </w:r>
    </w:p>
    <w:p w14:paraId="5CA181D8">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27587F3A">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（2）提出质疑的供应商应当是参与本项目采购活动的供应商。</w:t>
      </w:r>
    </w:p>
    <w:p w14:paraId="16CCC2B3">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（3）潜在供应商已依法获取其可质疑的采购文件的，可以对该文件提出质疑。对采购文件提出质疑的，应当在获取采购文件（以供应商填写报名登记表的时间为准）起7个工作日内提出。</w:t>
      </w:r>
    </w:p>
    <w:p w14:paraId="18AB7355">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（4）供应商提出质疑应当提交质疑函和必要的证明材料，质疑函应包括下列内容：</w:t>
      </w:r>
    </w:p>
    <w:p w14:paraId="5AA4D392">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供应商的姓名或者名称、地址、邮编、联系人及联系电话；</w:t>
      </w:r>
    </w:p>
    <w:p w14:paraId="04B32CC5">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质疑项目的名称、编号；</w:t>
      </w:r>
    </w:p>
    <w:p w14:paraId="5CC6DECF">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具体、明确的质疑事项和与质疑事项相关的请求；</w:t>
      </w:r>
    </w:p>
    <w:p w14:paraId="23301DCB">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事实依据；</w:t>
      </w:r>
    </w:p>
    <w:p w14:paraId="2EA1273A">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 必要的法律依据；</w:t>
      </w:r>
    </w:p>
    <w:p w14:paraId="3C6E7B52">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 提出质疑的日期。</w:t>
      </w:r>
    </w:p>
    <w:p w14:paraId="70D81F1A">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（5）供应商为自然人的，应当由本人签字；供应商为法人或者其他组织的，应当由法定代表人、主要负责人，或者其授权代表签字或者盖章并加盖公章。</w:t>
      </w:r>
    </w:p>
    <w:p w14:paraId="1BE60D38">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742C9E6">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（7）采购人负责供应商质疑答复。采购人委托采购代理机构采购的，采购代理机构在委托授权范围内作出答复。</w:t>
      </w:r>
    </w:p>
    <w:p w14:paraId="4A4EA443">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（8）接收质疑函的方式和联系方式：</w:t>
      </w:r>
    </w:p>
    <w:p w14:paraId="2644A55B">
      <w:pPr>
        <w:pageBreakBefore w:val="0"/>
        <w:kinsoku/>
        <w:overflowPunct/>
        <w:topLinePunct w:val="0"/>
        <w:autoSpaceDE/>
        <w:autoSpaceDN/>
        <w:bidi w:val="0"/>
        <w:spacing w:line="500" w:lineRule="exact"/>
        <w:ind w:firstLine="48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① 接收质疑函的方式：书面递交质疑函纸质版（当面递交）或PDF格式扫描件（发至电子邮箱），业务受理时间为工作日的08:30至17:30。</w:t>
      </w:r>
    </w:p>
    <w:p w14:paraId="71173946">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联系方式</w:t>
      </w:r>
    </w:p>
    <w:p w14:paraId="453D27B7">
      <w:pPr>
        <w:pStyle w:val="14"/>
        <w:pageBreakBefore w:val="0"/>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名称：</w:t>
      </w:r>
      <w:r>
        <w:rPr>
          <w:rFonts w:hint="eastAsia" w:ascii="宋体" w:hAnsi="宋体" w:eastAsia="宋体" w:cs="宋体"/>
          <w:color w:val="auto"/>
          <w:kern w:val="2"/>
          <w:sz w:val="24"/>
          <w:szCs w:val="24"/>
          <w:highlight w:val="none"/>
          <w:lang w:eastAsia="zh-CN"/>
        </w:rPr>
        <w:t>白河县人民医院</w:t>
      </w:r>
    </w:p>
    <w:p w14:paraId="5C42762E">
      <w:pPr>
        <w:pStyle w:val="14"/>
        <w:pageBreakBefore w:val="0"/>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地址：</w:t>
      </w:r>
      <w:r>
        <w:rPr>
          <w:rFonts w:hint="eastAsia" w:ascii="宋体" w:hAnsi="宋体" w:eastAsia="宋体" w:cs="宋体"/>
          <w:i w:val="0"/>
          <w:iCs w:val="0"/>
          <w:caps w:val="0"/>
          <w:color w:val="auto"/>
          <w:spacing w:val="0"/>
          <w:sz w:val="24"/>
          <w:szCs w:val="24"/>
          <w:shd w:val="clear" w:color="auto" w:fill="FFFFFF"/>
          <w:lang w:eastAsia="zh-CN"/>
        </w:rPr>
        <w:t>安康市白河县城关镇书院北路13号</w:t>
      </w:r>
    </w:p>
    <w:p w14:paraId="2C661A5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联系方式：</w:t>
      </w:r>
      <w:r>
        <w:rPr>
          <w:rFonts w:hint="eastAsia" w:ascii="宋体" w:hAnsi="宋体" w:eastAsia="宋体" w:cs="宋体"/>
          <w:i w:val="0"/>
          <w:iCs w:val="0"/>
          <w:caps w:val="0"/>
          <w:color w:val="auto"/>
          <w:spacing w:val="0"/>
          <w:sz w:val="24"/>
          <w:szCs w:val="24"/>
          <w:shd w:val="clear" w:color="auto" w:fill="FFFFFF"/>
        </w:rPr>
        <w:t>0915-7822258</w:t>
      </w:r>
    </w:p>
    <w:p w14:paraId="2B792BE0">
      <w:pPr>
        <w:pStyle w:val="14"/>
        <w:pageBreakBefore w:val="0"/>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采购代理机构：</w:t>
      </w:r>
      <w:r>
        <w:rPr>
          <w:rFonts w:hint="eastAsia" w:ascii="宋体" w:hAnsi="宋体" w:eastAsia="宋体" w:cs="宋体"/>
          <w:color w:val="auto"/>
          <w:kern w:val="2"/>
          <w:sz w:val="24"/>
          <w:szCs w:val="24"/>
          <w:highlight w:val="none"/>
          <w:lang w:eastAsia="zh-CN"/>
        </w:rPr>
        <w:t>安康华昊智远项目管理有限公司</w:t>
      </w:r>
    </w:p>
    <w:p w14:paraId="5A7028A2">
      <w:pPr>
        <w:pStyle w:val="14"/>
        <w:pageBreakBefore w:val="0"/>
        <w:tabs>
          <w:tab w:val="left" w:pos="6954"/>
        </w:tabs>
        <w:kinsoku/>
        <w:wordWrap w:val="0"/>
        <w:overflowPunct/>
        <w:topLinePunct w:val="0"/>
        <w:autoSpaceDE/>
        <w:autoSpaceDN/>
        <w:bidi w:val="0"/>
        <w:spacing w:beforeAutospacing="0" w:afterAutospacing="0" w:line="500" w:lineRule="exact"/>
        <w:ind w:firstLine="384"/>
        <w:jc w:val="both"/>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地址：</w:t>
      </w:r>
      <w:r>
        <w:rPr>
          <w:rFonts w:hint="eastAsia" w:ascii="宋体" w:hAnsi="宋体" w:eastAsia="宋体" w:cs="宋体"/>
          <w:color w:val="auto"/>
          <w:kern w:val="2"/>
          <w:sz w:val="24"/>
          <w:szCs w:val="24"/>
          <w:highlight w:val="none"/>
          <w:lang w:eastAsia="zh-CN"/>
        </w:rPr>
        <w:t>安康市汉滨区大桥南路1号御公馆小区2号楼2单元1001室</w:t>
      </w:r>
      <w:r>
        <w:rPr>
          <w:rFonts w:hint="eastAsia" w:ascii="宋体" w:hAnsi="宋体" w:eastAsia="宋体" w:cs="宋体"/>
          <w:color w:val="auto"/>
          <w:kern w:val="2"/>
          <w:sz w:val="24"/>
          <w:szCs w:val="24"/>
          <w:highlight w:val="none"/>
          <w:lang w:eastAsia="zh-CN"/>
        </w:rPr>
        <w:tab/>
      </w:r>
    </w:p>
    <w:p w14:paraId="25E989DF">
      <w:pPr>
        <w:pageBreakBefore w:val="0"/>
        <w:kinsoku/>
        <w:overflowPunct/>
        <w:topLinePunct w:val="0"/>
        <w:autoSpaceDE/>
        <w:autoSpaceDN/>
        <w:bidi w:val="0"/>
        <w:spacing w:line="500" w:lineRule="exact"/>
        <w:ind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联系方式：</w:t>
      </w:r>
      <w:r>
        <w:rPr>
          <w:rFonts w:hint="eastAsia" w:ascii="宋体" w:hAnsi="宋体" w:eastAsia="宋体" w:cs="宋体"/>
          <w:color w:val="auto"/>
          <w:kern w:val="2"/>
          <w:sz w:val="24"/>
          <w:szCs w:val="24"/>
          <w:highlight w:val="none"/>
          <w:lang w:eastAsia="zh-CN"/>
        </w:rPr>
        <w:t>0915-3197229</w:t>
      </w:r>
    </w:p>
    <w:p w14:paraId="0C985AF9">
      <w:pPr>
        <w:pageBreakBefore w:val="0"/>
        <w:kinsoku/>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    箱：</w:t>
      </w:r>
      <w:r>
        <w:rPr>
          <w:rFonts w:hint="eastAsia" w:ascii="宋体" w:hAnsi="宋体" w:eastAsia="宋体" w:cs="宋体"/>
          <w:color w:val="auto"/>
          <w:sz w:val="24"/>
          <w:szCs w:val="24"/>
          <w:highlight w:val="none"/>
          <w:lang w:val="en-US" w:eastAsia="zh-CN"/>
        </w:rPr>
        <w:t>840192520</w:t>
      </w:r>
      <w:r>
        <w:rPr>
          <w:rFonts w:hint="eastAsia" w:ascii="宋体" w:hAnsi="宋体" w:eastAsia="宋体" w:cs="宋体"/>
          <w:color w:val="auto"/>
          <w:sz w:val="24"/>
          <w:szCs w:val="24"/>
          <w:highlight w:val="none"/>
          <w:lang w:eastAsia="zh-CN"/>
        </w:rPr>
        <w:t>@qq.com</w:t>
      </w:r>
    </w:p>
    <w:p w14:paraId="5295087B">
      <w:pPr>
        <w:pageBreakBefore w:val="0"/>
        <w:kinsoku/>
        <w:overflowPunct/>
        <w:topLinePunct w:val="0"/>
        <w:autoSpaceDE/>
        <w:autoSpaceDN/>
        <w:bidi w:val="0"/>
        <w:spacing w:line="500" w:lineRule="exact"/>
        <w:ind w:firstLine="48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5.</w:t>
      </w:r>
      <w:r>
        <w:rPr>
          <w:rFonts w:hint="eastAsia" w:ascii="宋体" w:hAnsi="宋体" w:eastAsia="宋体" w:cs="宋体"/>
          <w:b/>
          <w:bCs/>
          <w:color w:val="auto"/>
          <w:sz w:val="24"/>
          <w:szCs w:val="24"/>
          <w:highlight w:val="none"/>
        </w:rPr>
        <w:t>投诉：</w:t>
      </w:r>
    </w:p>
    <w:p w14:paraId="73207EFA">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（1）质疑供应商对采购人、采购代理机构的答复不满意，或者采购人、采购代理机构未在规定时间内作出答复的，可以在答复期满后15个工作日内向同级财政部门提起投诉。</w:t>
      </w:r>
    </w:p>
    <w:p w14:paraId="15ECD606">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（2）投诉人投诉时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应当提交投诉书和必要的证明材料，并按照被投诉采购人、采购代理机构（以下简称被投诉人）和与投诉事项有关的供应商数量提供投诉书的副本。投诉书应当包括下列内容：</w:t>
      </w:r>
    </w:p>
    <w:p w14:paraId="256A0C6D">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投诉人和被投诉人的姓名或者名称、通讯地址、邮编、联系人及联系电话；</w:t>
      </w:r>
    </w:p>
    <w:p w14:paraId="5DE1B20E">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质疑和质疑答复情况说明及相关证明材料；</w:t>
      </w:r>
    </w:p>
    <w:p w14:paraId="6E84BB20">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具体、明确的投诉事项和与投诉事项相关的投诉请求；</w:t>
      </w:r>
    </w:p>
    <w:p w14:paraId="293E7032">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事实依据；</w:t>
      </w:r>
    </w:p>
    <w:p w14:paraId="1BD9BE39">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 法律依据；</w:t>
      </w:r>
    </w:p>
    <w:p w14:paraId="159BB5FF">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⑥ 提起投诉的日期。</w:t>
      </w:r>
    </w:p>
    <w:p w14:paraId="6609AED3">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（3）投诉人为自然人的，应当由本人签字；投诉人为法人或者其他组织的，应当由法定代表人、主要负责人，或者其授权代表签字或者盖章，并加盖公章。</w:t>
      </w:r>
    </w:p>
    <w:p w14:paraId="670A454E">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（4）投诉人提起投诉应当符合下列条件：</w:t>
      </w:r>
    </w:p>
    <w:p w14:paraId="713C997B">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提起投诉前已依法进行质疑；</w:t>
      </w:r>
    </w:p>
    <w:p w14:paraId="36B654C2">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投诉书内容符合《政府采购质疑和投诉办法》（财政部令第94号令）的规定；</w:t>
      </w:r>
    </w:p>
    <w:p w14:paraId="46500A3D">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在投诉有效期限内提起投诉；</w:t>
      </w:r>
    </w:p>
    <w:p w14:paraId="186B016A">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同一投诉事项未经财政部门投诉处理；</w:t>
      </w:r>
    </w:p>
    <w:p w14:paraId="4C4AA886">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 财政部规定的其他条件。</w:t>
      </w:r>
    </w:p>
    <w:p w14:paraId="6E7932BD">
      <w:pPr>
        <w:pageBreakBefore w:val="0"/>
        <w:kinsoku/>
        <w:overflowPunct/>
        <w:topLinePunct w:val="0"/>
        <w:autoSpaceDE/>
        <w:autoSpaceDN/>
        <w:bidi w:val="0"/>
        <w:spacing w:line="50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（5）供应商投诉的事项不得超出已质疑事项的范围，但基于质疑答复内容提出的投诉事项除外。</w:t>
      </w:r>
    </w:p>
    <w:p w14:paraId="78E724C8">
      <w:pPr>
        <w:pageBreakBefore w:val="0"/>
        <w:kinsoku/>
        <w:overflowPunct/>
        <w:topLinePunct w:val="0"/>
        <w:autoSpaceDE/>
        <w:autoSpaceDN/>
        <w:bidi w:val="0"/>
        <w:adjustRightInd w:val="0"/>
        <w:snapToGrid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各投标人应认真仔细研读招标文件，如有问题或异议及时函告。否则，视为同意招标文件的一切条款和要求并承担由此引起的一切法律责任。</w:t>
      </w:r>
    </w:p>
    <w:p w14:paraId="3751C0E1">
      <w:pPr>
        <w:pageBreakBefore w:val="0"/>
        <w:kinsoku/>
        <w:overflowPunct/>
        <w:topLinePunct w:val="0"/>
        <w:autoSpaceDE/>
        <w:autoSpaceDN/>
        <w:bidi w:val="0"/>
        <w:adjustRightInd w:val="0"/>
        <w:snapToGrid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招标文件</w:t>
      </w:r>
      <w:r>
        <w:rPr>
          <w:rFonts w:hint="eastAsia" w:ascii="宋体" w:hAnsi="宋体" w:eastAsia="宋体" w:cs="宋体"/>
          <w:color w:val="auto"/>
          <w:sz w:val="24"/>
          <w:szCs w:val="24"/>
          <w:highlight w:val="none"/>
        </w:rPr>
        <w:t>的解释权归招标代理机构。</w:t>
      </w:r>
    </w:p>
    <w:p w14:paraId="3EDB330B">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三、投标要求</w:t>
      </w:r>
    </w:p>
    <w:p w14:paraId="408EEAB5">
      <w:pPr>
        <w:pageBreakBefore w:val="0"/>
        <w:kinsoku/>
        <w:overflowPunct/>
        <w:topLinePunct w:val="0"/>
        <w:autoSpaceDE/>
        <w:autoSpaceDN/>
        <w:bidi w:val="0"/>
        <w:adjustRightInd w:val="0"/>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投标内容：</w:t>
      </w:r>
    </w:p>
    <w:p w14:paraId="3B92B24D">
      <w:pPr>
        <w:pageBreakBefore w:val="0"/>
        <w:kinsoku/>
        <w:overflowPunct/>
        <w:topLinePunct w:val="0"/>
        <w:autoSpaceDE/>
        <w:autoSpaceDN/>
        <w:bidi w:val="0"/>
        <w:spacing w:line="500" w:lineRule="exact"/>
        <w:ind w:firstLine="56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本次投标内容为</w:t>
      </w:r>
      <w:r>
        <w:rPr>
          <w:rFonts w:hint="eastAsia" w:ascii="宋体" w:hAnsi="宋体" w:eastAsia="宋体" w:cs="宋体"/>
          <w:color w:val="auto"/>
          <w:kern w:val="0"/>
          <w:sz w:val="24"/>
          <w:szCs w:val="24"/>
          <w:highlight w:val="none"/>
          <w:lang w:eastAsia="zh-CN"/>
        </w:rPr>
        <w:t>重症医学科专科服务能力提升项目设备</w:t>
      </w:r>
      <w:r>
        <w:rPr>
          <w:rFonts w:hint="eastAsia" w:ascii="宋体" w:hAnsi="宋体" w:eastAsia="宋体" w:cs="宋体"/>
          <w:color w:val="auto"/>
          <w:kern w:val="0"/>
          <w:sz w:val="24"/>
          <w:szCs w:val="24"/>
          <w:highlight w:val="none"/>
          <w:lang w:val="en-US" w:eastAsia="zh-CN"/>
        </w:rPr>
        <w:t>。</w:t>
      </w:r>
    </w:p>
    <w:p w14:paraId="387C6BF3">
      <w:pPr>
        <w:pageBreakBefore w:val="0"/>
        <w:kinsoku/>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资格</w:t>
      </w:r>
      <w:r>
        <w:rPr>
          <w:rFonts w:hint="eastAsia" w:ascii="宋体" w:hAnsi="宋体" w:eastAsia="宋体" w:cs="宋体"/>
          <w:color w:val="auto"/>
          <w:sz w:val="24"/>
          <w:szCs w:val="24"/>
          <w:highlight w:val="none"/>
        </w:rPr>
        <w:t>要求：</w:t>
      </w:r>
    </w:p>
    <w:p w14:paraId="641141F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必须是具有独立承担民事责任的能力的法人、其他组织或自然人，提供营业执照、税务登记证、组织机构代码证或登载有统一社会信用代码的营业执照（或《事业单位法人证书》或其他合法组织登记证书、自然人只须提交身份证）；</w:t>
      </w:r>
    </w:p>
    <w:p w14:paraId="1DB968D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（2）提供法定代表人授权书（附法定代表人身份证复印件）及被授权代表身份证复印件（法定代表人直接参加只须提供法定代表人身份证复印件）；</w:t>
      </w:r>
    </w:p>
    <w:p w14:paraId="6FC2600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财务状况报告：提供2024年或2025年经审计的财务审计报告</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成立时间至提交投标响应文件截止时间不足1年的可提供成立后任意时段的资产负债表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或开标前6个月内其基本账户开户银行出具的资信证明或政府采购信用担保机构出具的投标担保函。</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成立时间至提交响应文件截止时间不足三个月的提供公司财务会计制度并加盖供应商鲜章即可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w:t>
      </w:r>
    </w:p>
    <w:p w14:paraId="5ED6656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）税收缴纳证明：</w:t>
      </w:r>
      <w:r>
        <w:rPr>
          <w:rFonts w:hint="eastAsia" w:ascii="宋体" w:hAnsi="宋体" w:eastAsia="宋体" w:cs="宋体"/>
          <w:color w:val="auto"/>
          <w:sz w:val="24"/>
          <w:szCs w:val="24"/>
          <w:highlight w:val="none"/>
          <w:lang w:eastAsia="zh-CN"/>
        </w:rPr>
        <w:t>提供投标截止日前半年内至少一个月的</w:t>
      </w:r>
      <w:r>
        <w:rPr>
          <w:rFonts w:hint="eastAsia" w:ascii="宋体" w:hAnsi="宋体" w:eastAsia="宋体" w:cs="宋体"/>
          <w:color w:val="auto"/>
          <w:sz w:val="24"/>
          <w:szCs w:val="24"/>
          <w:highlight w:val="none"/>
        </w:rPr>
        <w:t>纳税证明或完税证明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纳税证明或完税证明上应有代收机构或税务机关的公章或业务专用章。依法免税的供应商应提供相关文件证明；</w:t>
      </w:r>
    </w:p>
    <w:p w14:paraId="7333907B">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）社会保障资金缴纳证明：</w:t>
      </w:r>
      <w:r>
        <w:rPr>
          <w:rFonts w:hint="eastAsia" w:ascii="宋体" w:hAnsi="宋体" w:eastAsia="宋体" w:cs="宋体"/>
          <w:color w:val="auto"/>
          <w:sz w:val="24"/>
          <w:szCs w:val="24"/>
          <w:highlight w:val="none"/>
          <w:lang w:eastAsia="zh-CN"/>
        </w:rPr>
        <w:t>提供投标截止日前半年内至少一个月的</w:t>
      </w:r>
      <w:r>
        <w:rPr>
          <w:rFonts w:hint="eastAsia" w:ascii="宋体" w:hAnsi="宋体" w:eastAsia="宋体" w:cs="宋体"/>
          <w:color w:val="auto"/>
          <w:sz w:val="24"/>
          <w:szCs w:val="24"/>
          <w:highlight w:val="none"/>
        </w:rPr>
        <w:t>社会保障资金缴存单据或社保机构开具的社会保险参保缴费情况证明，单据或证明上应有社保机构或代收机构的印章。依法不需要缴纳社会保障资金的供应商应提供相关文件证明；</w:t>
      </w:r>
    </w:p>
    <w:p w14:paraId="4F9A861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）参加政府采购活动前三年内</w:t>
      </w:r>
      <w:r>
        <w:rPr>
          <w:rFonts w:hint="eastAsia" w:ascii="宋体" w:hAnsi="宋体" w:eastAsia="宋体" w:cs="宋体"/>
          <w:color w:val="auto"/>
          <w:sz w:val="24"/>
          <w:szCs w:val="24"/>
          <w:highlight w:val="none"/>
          <w:lang w:eastAsia="zh-CN"/>
        </w:rPr>
        <w:t>（2023年1月至今）</w:t>
      </w:r>
      <w:r>
        <w:rPr>
          <w:rFonts w:hint="eastAsia" w:ascii="宋体" w:hAnsi="宋体" w:eastAsia="宋体" w:cs="宋体"/>
          <w:color w:val="auto"/>
          <w:sz w:val="24"/>
          <w:szCs w:val="24"/>
          <w:highlight w:val="none"/>
        </w:rPr>
        <w:t>，在经营活动中没有重大违法记录的书面声明；</w:t>
      </w:r>
    </w:p>
    <w:p w14:paraId="3622C65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）投标人具备履行合同所必需的设备和专业技术能力的书面声明（格式自拟）；</w:t>
      </w:r>
    </w:p>
    <w:p w14:paraId="068FED1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投标人通过“信用中国 ”网站（www.creditchina.gov.cn）、中国政府采购网（www.ccgp.gov.cn）等渠道查询相关主体无失信记录。对列入失信被执行人、 重大税收违法案件当事人名单、政府采购严重违法失信行为记录名单的投标人，将拒绝其参与政府采购活动；以“信用中国 ”网站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中国政府采购网查询结果为准（投标文件中提供查询结果网页截图并加盖投标人公章，查询日期为从招标文件发售之日起至投标截止日前，评标现场通过网站对信用记录进行核实）</w:t>
      </w:r>
      <w:r>
        <w:rPr>
          <w:rFonts w:hint="eastAsia" w:ascii="宋体" w:hAnsi="宋体" w:eastAsia="宋体" w:cs="宋体"/>
          <w:color w:val="auto"/>
          <w:sz w:val="24"/>
          <w:szCs w:val="24"/>
          <w:highlight w:val="none"/>
        </w:rPr>
        <w:t>；</w:t>
      </w:r>
    </w:p>
    <w:p w14:paraId="597B9AB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lang w:eastAsia="zh-CN"/>
        </w:rPr>
        <w:t>）</w:t>
      </w:r>
      <w:r>
        <w:rPr>
          <w:rFonts w:hint="eastAsia" w:cs="宋体"/>
          <w:i w:val="0"/>
          <w:iCs w:val="0"/>
          <w:caps w:val="0"/>
          <w:color w:val="auto"/>
          <w:spacing w:val="0"/>
          <w:sz w:val="24"/>
          <w:szCs w:val="24"/>
          <w:shd w:val="clear" w:color="auto" w:fill="FFFFFF"/>
          <w:lang w:val="en-US" w:eastAsia="zh-CN"/>
        </w:rPr>
        <w:t>投标产品属于医疗器械管理范围的须提供医疗器械注册证。投标产品属于第二类医疗器械管理的，投标人应具有第二类医疗器械经营备案凭证（投标产品须在其经营范围内）；投标产品属于第三类医疗器械管理的，投标人应具有医疗器械经营许可证（投标产品须在其经营范围内）。投标人为制造厂家的：应具有医疗器械生产许可证（投标产品须在其生产范围内），且具有本条前述要求的相关医疗器械经营资质</w:t>
      </w:r>
      <w:r>
        <w:rPr>
          <w:rFonts w:hint="eastAsia" w:ascii="宋体" w:hAnsi="宋体" w:eastAsia="宋体" w:cs="宋体"/>
          <w:i w:val="0"/>
          <w:iCs w:val="0"/>
          <w:caps w:val="0"/>
          <w:color w:val="auto"/>
          <w:spacing w:val="0"/>
          <w:sz w:val="24"/>
          <w:szCs w:val="24"/>
          <w:shd w:val="clear" w:color="auto" w:fill="FFFFFF"/>
          <w:lang w:val="en-US" w:eastAsia="zh-CN"/>
        </w:rPr>
        <w:t>；</w:t>
      </w:r>
    </w:p>
    <w:p w14:paraId="5D75312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color w:val="auto"/>
          <w:sz w:val="24"/>
          <w:szCs w:val="24"/>
          <w:highlight w:val="none"/>
          <w:lang w:eastAsia="zh-CN"/>
        </w:rPr>
        <w:t>本项目不接受联合体投标。</w:t>
      </w:r>
    </w:p>
    <w:p w14:paraId="215C9A60">
      <w:pPr>
        <w:pageBreakBefore w:val="0"/>
        <w:widowControl/>
        <w:kinsoku/>
        <w:overflowPunct/>
        <w:topLinePunct w:val="0"/>
        <w:autoSpaceDE/>
        <w:autoSpaceDN/>
        <w:bidi w:val="0"/>
        <w:spacing w:line="50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供应商要保证在投标文件中有上述资质</w:t>
      </w:r>
      <w:r>
        <w:rPr>
          <w:rFonts w:hint="eastAsia" w:ascii="宋体" w:hAnsi="宋体" w:eastAsia="宋体" w:cs="宋体"/>
          <w:b/>
          <w:bCs/>
          <w:color w:val="auto"/>
          <w:kern w:val="0"/>
          <w:sz w:val="24"/>
          <w:szCs w:val="24"/>
          <w:highlight w:val="none"/>
          <w:lang w:val="en-US" w:eastAsia="zh-CN"/>
        </w:rPr>
        <w:t>扫描</w:t>
      </w:r>
      <w:r>
        <w:rPr>
          <w:rFonts w:hint="eastAsia" w:ascii="宋体" w:hAnsi="宋体" w:eastAsia="宋体" w:cs="宋体"/>
          <w:b/>
          <w:bCs/>
          <w:color w:val="auto"/>
          <w:kern w:val="0"/>
          <w:sz w:val="24"/>
          <w:szCs w:val="24"/>
          <w:highlight w:val="none"/>
        </w:rPr>
        <w:t>件并加盖公章。经审查不合格的供应商，其响应文件按</w:t>
      </w:r>
      <w:r>
        <w:rPr>
          <w:rFonts w:hint="eastAsia" w:ascii="宋体" w:hAnsi="宋体" w:eastAsia="宋体" w:cs="宋体"/>
          <w:b/>
          <w:bCs/>
          <w:color w:val="auto"/>
          <w:kern w:val="0"/>
          <w:sz w:val="24"/>
          <w:szCs w:val="24"/>
          <w:highlight w:val="none"/>
          <w:lang w:val="en-US" w:eastAsia="zh-CN"/>
        </w:rPr>
        <w:t>无效文件</w:t>
      </w:r>
      <w:r>
        <w:rPr>
          <w:rFonts w:hint="eastAsia" w:ascii="宋体" w:hAnsi="宋体" w:eastAsia="宋体" w:cs="宋体"/>
          <w:b/>
          <w:bCs/>
          <w:color w:val="auto"/>
          <w:kern w:val="0"/>
          <w:sz w:val="24"/>
          <w:szCs w:val="24"/>
          <w:highlight w:val="none"/>
        </w:rPr>
        <w:t>处理。</w:t>
      </w:r>
    </w:p>
    <w:p w14:paraId="4B92E6AD">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投标文件的编制</w:t>
      </w:r>
    </w:p>
    <w:p w14:paraId="37B7B5DB">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投标文件必须根据招标文件提供的内容及格式编制，并对招标文件做出实质性响应。具体内容（包括但不限于）：</w:t>
      </w:r>
    </w:p>
    <w:p w14:paraId="4C0E0602">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投标响应函</w:t>
      </w:r>
    </w:p>
    <w:p w14:paraId="46D694DE">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开标一览表</w:t>
      </w:r>
    </w:p>
    <w:p w14:paraId="2B6DB13F">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投标人资格证明文件 </w:t>
      </w:r>
    </w:p>
    <w:p w14:paraId="230DE315">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供应商概况</w:t>
      </w:r>
    </w:p>
    <w:p w14:paraId="2D818BC9">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招标文件确认书</w:t>
      </w:r>
    </w:p>
    <w:p w14:paraId="716BA6D7">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响应偏离表</w:t>
      </w:r>
    </w:p>
    <w:p w14:paraId="3CE90767">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商务条款偏离表</w:t>
      </w:r>
    </w:p>
    <w:p w14:paraId="78037C57">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方案</w:t>
      </w:r>
    </w:p>
    <w:p w14:paraId="7B87EF6A">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拟投入项目人员情况表</w:t>
      </w:r>
    </w:p>
    <w:p w14:paraId="77973CF5">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投标人类似项目业绩表</w:t>
      </w:r>
    </w:p>
    <w:p w14:paraId="42B709E0">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供应商拒绝政府采购领域商业贿赂承诺</w:t>
      </w:r>
    </w:p>
    <w:p w14:paraId="5B1C111B">
      <w:pPr>
        <w:pageBreakBefore w:val="0"/>
        <w:numPr>
          <w:ilvl w:val="0"/>
          <w:numId w:val="1"/>
        </w:numPr>
        <w:kinsoku/>
        <w:overflowPunct/>
        <w:topLinePunct w:val="0"/>
        <w:autoSpaceDE/>
        <w:autoSpaceDN/>
        <w:bidi w:val="0"/>
        <w:adjustRightInd w:val="0"/>
        <w:snapToGrid w:val="0"/>
        <w:spacing w:line="500" w:lineRule="exact"/>
        <w:ind w:firstLine="646"/>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其他证明资料</w:t>
      </w:r>
    </w:p>
    <w:p w14:paraId="1115663C">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w:t>
      </w:r>
      <w:r>
        <w:rPr>
          <w:rFonts w:hint="eastAsia" w:ascii="宋体" w:hAnsi="宋体" w:eastAsia="宋体" w:cs="宋体"/>
          <w:color w:val="auto"/>
          <w:sz w:val="24"/>
          <w:szCs w:val="24"/>
          <w:highlight w:val="none"/>
        </w:rPr>
        <w:t>投标报价：</w:t>
      </w:r>
    </w:p>
    <w:p w14:paraId="6BB122E4">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投标报价为完成本项目所要求</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rPr>
        <w:t>服务的全部内容、中标服务费</w:t>
      </w:r>
      <w:r>
        <w:rPr>
          <w:rFonts w:hint="eastAsia" w:ascii="宋体" w:hAnsi="宋体" w:eastAsia="宋体" w:cs="宋体"/>
          <w:color w:val="auto"/>
          <w:sz w:val="24"/>
          <w:szCs w:val="24"/>
          <w:highlight w:val="none"/>
          <w:lang w:val="zh-CN"/>
        </w:rPr>
        <w:t>及</w:t>
      </w:r>
      <w:r>
        <w:rPr>
          <w:rFonts w:hint="eastAsia" w:ascii="宋体" w:hAnsi="宋体" w:eastAsia="宋体" w:cs="宋体"/>
          <w:color w:val="auto"/>
          <w:sz w:val="24"/>
          <w:szCs w:val="24"/>
          <w:highlight w:val="none"/>
        </w:rPr>
        <w:t>国家按现行税收政策征收的一切税费。</w:t>
      </w:r>
    </w:p>
    <w:p w14:paraId="0060B81B">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3.2.2</w:t>
      </w:r>
      <w:r>
        <w:rPr>
          <w:rFonts w:hint="eastAsia" w:ascii="宋体" w:hAnsi="宋体" w:eastAsia="宋体" w:cs="宋体"/>
          <w:color w:val="auto"/>
          <w:sz w:val="24"/>
          <w:szCs w:val="24"/>
          <w:highlight w:val="none"/>
        </w:rPr>
        <w:t xml:space="preserve"> 投标人须对</w:t>
      </w:r>
      <w:r>
        <w:rPr>
          <w:rFonts w:hint="eastAsia" w:ascii="宋体" w:hAnsi="宋体" w:eastAsia="宋体" w:cs="宋体"/>
          <w:color w:val="auto"/>
          <w:sz w:val="24"/>
          <w:szCs w:val="24"/>
          <w:highlight w:val="none"/>
          <w:lang w:val="en-US" w:eastAsia="zh-CN"/>
        </w:rPr>
        <w:t>采购内容</w:t>
      </w:r>
      <w:r>
        <w:rPr>
          <w:rFonts w:hint="eastAsia" w:ascii="宋体" w:hAnsi="宋体" w:eastAsia="宋体" w:cs="宋体"/>
          <w:color w:val="auto"/>
          <w:sz w:val="24"/>
          <w:szCs w:val="24"/>
          <w:highlight w:val="none"/>
        </w:rPr>
        <w:t>要求进行完整报价。采购人拒绝只对部分</w:t>
      </w:r>
      <w:r>
        <w:rPr>
          <w:rFonts w:hint="eastAsia" w:ascii="宋体" w:hAnsi="宋体" w:eastAsia="宋体" w:cs="宋体"/>
          <w:color w:val="auto"/>
          <w:sz w:val="24"/>
          <w:szCs w:val="24"/>
          <w:highlight w:val="none"/>
          <w:lang w:val="en-US" w:eastAsia="zh-CN"/>
        </w:rPr>
        <w:t>采购内容</w:t>
      </w:r>
      <w:r>
        <w:rPr>
          <w:rFonts w:hint="eastAsia" w:ascii="宋体" w:hAnsi="宋体" w:eastAsia="宋体" w:cs="宋体"/>
          <w:color w:val="auto"/>
          <w:sz w:val="24"/>
          <w:szCs w:val="24"/>
          <w:highlight w:val="none"/>
        </w:rPr>
        <w:t>要求进行报价的投标。投标人应在投标文件中的投标分项报价表上标明对本次</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拟提供</w:t>
      </w:r>
      <w:r>
        <w:rPr>
          <w:rFonts w:hint="eastAsia" w:ascii="宋体" w:hAnsi="宋体" w:eastAsia="宋体" w:cs="宋体"/>
          <w:color w:val="auto"/>
          <w:sz w:val="24"/>
          <w:szCs w:val="24"/>
          <w:highlight w:val="none"/>
          <w:lang w:val="en-US" w:eastAsia="zh-CN"/>
        </w:rPr>
        <w:t>货物、服务</w:t>
      </w:r>
      <w:r>
        <w:rPr>
          <w:rFonts w:hint="eastAsia" w:ascii="宋体" w:hAnsi="宋体" w:eastAsia="宋体" w:cs="宋体"/>
          <w:color w:val="auto"/>
          <w:sz w:val="24"/>
          <w:szCs w:val="24"/>
          <w:highlight w:val="none"/>
        </w:rPr>
        <w:t>的单价和总价，任何有选择的报价将不予接受。</w:t>
      </w:r>
    </w:p>
    <w:p w14:paraId="3B061F28">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rPr>
        <w:t xml:space="preserve"> 投标分项报价表上</w:t>
      </w:r>
      <w:r>
        <w:rPr>
          <w:rFonts w:hint="eastAsia" w:ascii="宋体" w:hAnsi="宋体" w:cs="宋体"/>
          <w:color w:val="auto"/>
          <w:sz w:val="24"/>
          <w:szCs w:val="24"/>
          <w:highlight w:val="none"/>
          <w:lang w:eastAsia="zh-CN"/>
        </w:rPr>
        <w:t>的</w:t>
      </w:r>
      <w:r>
        <w:rPr>
          <w:rFonts w:hint="eastAsia" w:ascii="宋体" w:hAnsi="宋体" w:eastAsia="宋体" w:cs="宋体"/>
          <w:color w:val="auto"/>
          <w:sz w:val="24"/>
          <w:szCs w:val="24"/>
          <w:highlight w:val="none"/>
        </w:rPr>
        <w:t>价格应按下列要求分项填写：</w:t>
      </w:r>
    </w:p>
    <w:p w14:paraId="508A9523">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 所供</w:t>
      </w:r>
      <w:r>
        <w:rPr>
          <w:rFonts w:hint="eastAsia" w:ascii="宋体" w:hAnsi="宋体" w:eastAsia="宋体" w:cs="宋体"/>
          <w:color w:val="auto"/>
          <w:sz w:val="24"/>
          <w:szCs w:val="24"/>
          <w:highlight w:val="none"/>
          <w:lang w:val="en-US" w:eastAsia="zh-CN"/>
        </w:rPr>
        <w:t>货物、服务</w:t>
      </w:r>
      <w:r>
        <w:rPr>
          <w:rFonts w:hint="eastAsia" w:ascii="宋体" w:hAnsi="宋体" w:eastAsia="宋体" w:cs="宋体"/>
          <w:color w:val="auto"/>
          <w:sz w:val="24"/>
          <w:szCs w:val="24"/>
          <w:highlight w:val="none"/>
        </w:rPr>
        <w:t>的分项报价</w:t>
      </w:r>
    </w:p>
    <w:p w14:paraId="3B951F10">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所有根据合同或</w:t>
      </w:r>
      <w:r>
        <w:rPr>
          <w:rFonts w:hint="eastAsia" w:ascii="宋体" w:hAnsi="宋体" w:cs="宋体"/>
          <w:color w:val="auto"/>
          <w:sz w:val="24"/>
          <w:szCs w:val="24"/>
          <w:highlight w:val="none"/>
          <w:lang w:eastAsia="zh-CN"/>
        </w:rPr>
        <w:t>其他</w:t>
      </w:r>
      <w:r>
        <w:rPr>
          <w:rFonts w:hint="eastAsia" w:ascii="宋体" w:hAnsi="宋体" w:eastAsia="宋体" w:cs="宋体"/>
          <w:color w:val="auto"/>
          <w:sz w:val="24"/>
          <w:szCs w:val="24"/>
          <w:highlight w:val="none"/>
        </w:rPr>
        <w:t>原因应由投标人支付的税款和其它应交纳的费用都要包括在投标人提交的投标报价中。</w:t>
      </w:r>
    </w:p>
    <w:p w14:paraId="4424B6DC">
      <w:pPr>
        <w:pageBreakBefore w:val="0"/>
        <w:kinsoku/>
        <w:overflowPunct/>
        <w:topLinePunct w:val="0"/>
        <w:autoSpaceDE/>
        <w:autoSpaceDN/>
        <w:bidi w:val="0"/>
        <w:adjustRightInd w:val="0"/>
        <w:snapToGrid w:val="0"/>
        <w:spacing w:line="500" w:lineRule="exact"/>
        <w:ind w:firstLine="646"/>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.4 本项目采购</w:t>
      </w:r>
      <w:r>
        <w:rPr>
          <w:rFonts w:hint="eastAsia" w:ascii="宋体" w:hAnsi="宋体" w:eastAsia="宋体" w:cs="宋体"/>
          <w:b/>
          <w:bCs/>
          <w:color w:val="auto"/>
          <w:sz w:val="24"/>
          <w:szCs w:val="24"/>
          <w:highlight w:val="none"/>
          <w:lang w:val="en-US" w:eastAsia="zh-CN"/>
        </w:rPr>
        <w:t>最高限价</w:t>
      </w:r>
      <w:r>
        <w:rPr>
          <w:rFonts w:hint="eastAsia" w:ascii="宋体" w:hAnsi="宋体" w:eastAsia="宋体" w:cs="宋体"/>
          <w:b/>
          <w:bCs/>
          <w:color w:val="auto"/>
          <w:sz w:val="24"/>
          <w:szCs w:val="24"/>
          <w:highlight w:val="none"/>
        </w:rPr>
        <w:t>为：</w:t>
      </w:r>
      <w:r>
        <w:rPr>
          <w:rFonts w:hint="eastAsia" w:ascii="宋体" w:hAnsi="宋体" w:eastAsia="宋体" w:cs="宋体"/>
          <w:b/>
          <w:bCs/>
          <w:color w:val="auto"/>
          <w:sz w:val="24"/>
          <w:szCs w:val="24"/>
          <w:highlight w:val="none"/>
          <w:lang w:val="en-US" w:eastAsia="zh-CN"/>
        </w:rPr>
        <w:t>2280000.00</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投标</w:t>
      </w:r>
      <w:r>
        <w:rPr>
          <w:rFonts w:hint="eastAsia" w:ascii="宋体" w:hAnsi="宋体" w:eastAsia="宋体" w:cs="宋体"/>
          <w:b/>
          <w:bCs/>
          <w:color w:val="auto"/>
          <w:sz w:val="24"/>
          <w:szCs w:val="24"/>
          <w:highlight w:val="none"/>
        </w:rPr>
        <w:t>报价大于或等于采购</w:t>
      </w:r>
      <w:r>
        <w:rPr>
          <w:rFonts w:hint="eastAsia" w:ascii="宋体" w:hAnsi="宋体" w:eastAsia="宋体" w:cs="宋体"/>
          <w:b/>
          <w:bCs/>
          <w:color w:val="auto"/>
          <w:sz w:val="24"/>
          <w:szCs w:val="24"/>
          <w:highlight w:val="none"/>
          <w:lang w:val="en-US" w:eastAsia="zh-CN"/>
        </w:rPr>
        <w:t>限价</w:t>
      </w:r>
      <w:r>
        <w:rPr>
          <w:rFonts w:hint="eastAsia" w:ascii="宋体" w:hAnsi="宋体" w:eastAsia="宋体" w:cs="宋体"/>
          <w:b/>
          <w:bCs/>
          <w:color w:val="auto"/>
          <w:sz w:val="24"/>
          <w:szCs w:val="24"/>
          <w:highlight w:val="none"/>
        </w:rPr>
        <w:t>的则视为废标。</w:t>
      </w:r>
    </w:p>
    <w:p w14:paraId="1683E747">
      <w:pPr>
        <w:pageBreakBefore w:val="0"/>
        <w:kinsoku/>
        <w:overflowPunct/>
        <w:topLinePunct w:val="0"/>
        <w:autoSpaceDE/>
        <w:autoSpaceDN/>
        <w:bidi w:val="0"/>
        <w:spacing w:line="50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3.5</w:t>
      </w:r>
      <w:r>
        <w:rPr>
          <w:rFonts w:hint="eastAsia" w:ascii="宋体" w:hAnsi="宋体" w:eastAsia="宋体" w:cs="宋体"/>
          <w:b/>
          <w:color w:val="auto"/>
          <w:sz w:val="24"/>
          <w:szCs w:val="24"/>
          <w:highlight w:val="none"/>
        </w:rPr>
        <w:t xml:space="preserve"> 供应商不得以低于成本的报价参加投标，供应商的投标报价明显低于其他投标供应商的报价，经评审委员会质询后不能在规定时间内说明理由，或说明理由经评审委员会认为不成立，则按无效标处理。）</w:t>
      </w:r>
    </w:p>
    <w:p w14:paraId="6D594E80">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投标费用自理。</w:t>
      </w:r>
    </w:p>
    <w:p w14:paraId="54A559A4">
      <w:pPr>
        <w:pageBreakBefore w:val="0"/>
        <w:kinsoku/>
        <w:overflowPunct/>
        <w:topLinePunct w:val="0"/>
        <w:autoSpaceDE/>
        <w:autoSpaceDN/>
        <w:bidi w:val="0"/>
        <w:adjustRightInd w:val="0"/>
        <w:snapToGrid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投标响应文件有效期为自投标之日起九十个日历天，中标供应商的投标响应文件有效期延长至合同执行完毕。</w:t>
      </w:r>
    </w:p>
    <w:p w14:paraId="3B4E8C40">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四、开标</w:t>
      </w:r>
    </w:p>
    <w:p w14:paraId="70C5B55C">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招标代理机构组织招标、开标、评标工作，招标整个过程接受监督机构的监督。</w:t>
      </w:r>
    </w:p>
    <w:p w14:paraId="4D9E5652">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评标委员会的组成及要求</w:t>
      </w:r>
    </w:p>
    <w:p w14:paraId="40D2937A">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确保评标工作公平、公正，依法成立评标委员会。评标委员会由采购人及有关专家组成，专家比例不少于评委总数的三分之二。专家名单由有关方面在政府采购专家库中随机抽取。评标委员会成员应当遵守并履行下列职责义务：</w:t>
      </w:r>
    </w:p>
    <w:p w14:paraId="49B7BEA7">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2-1遵纪守法，客观、公正、认真负责地履行职责，审查投标文件是否符合招标文件的要求，并</w:t>
      </w:r>
      <w:r>
        <w:rPr>
          <w:rFonts w:hint="eastAsia" w:ascii="宋体" w:hAnsi="宋体" w:cs="宋体"/>
          <w:color w:val="auto"/>
          <w:sz w:val="24"/>
          <w:szCs w:val="24"/>
          <w:highlight w:val="none"/>
          <w:lang w:eastAsia="zh-CN"/>
        </w:rPr>
        <w:t>作出评价</w:t>
      </w:r>
      <w:r>
        <w:rPr>
          <w:rFonts w:hint="eastAsia" w:ascii="宋体" w:hAnsi="宋体" w:eastAsia="宋体" w:cs="宋体"/>
          <w:color w:val="auto"/>
          <w:sz w:val="24"/>
          <w:szCs w:val="24"/>
          <w:highlight w:val="none"/>
        </w:rPr>
        <w:t>；</w:t>
      </w:r>
    </w:p>
    <w:p w14:paraId="4DC10C64">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2-2要求投标人对投标文件有关事项作出解释或澄清；</w:t>
      </w:r>
    </w:p>
    <w:p w14:paraId="65CC3CB1">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2-3按照招标文件的要求和评标标准进行评标，推荐中标候选单位名单，对评审意见承担个人责任；</w:t>
      </w:r>
    </w:p>
    <w:p w14:paraId="58F038E6">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4对评标过程和结果以及投标人的商业秘密保密；</w:t>
      </w:r>
    </w:p>
    <w:p w14:paraId="574DB744">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2-5参与评标结果报告的起草；</w:t>
      </w:r>
    </w:p>
    <w:p w14:paraId="6AECA72D">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2-6配合招标人、招标代理机构答复投标人提出的质疑；</w:t>
      </w:r>
    </w:p>
    <w:p w14:paraId="0E39668D">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2-7配合有关部门处理投诉工作；</w:t>
      </w:r>
    </w:p>
    <w:p w14:paraId="4AD43E27">
      <w:pPr>
        <w:pageBreakBefore w:val="0"/>
        <w:kinsoku/>
        <w:overflowPunct/>
        <w:topLinePunct w:val="0"/>
        <w:autoSpaceDE/>
        <w:autoSpaceDN/>
        <w:bidi w:val="0"/>
        <w:spacing w:line="500" w:lineRule="exact"/>
        <w:ind w:firstLine="66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招标代理机构在规定的时间和地点组织公开开标，投标人须委派代表参加，并签名报到以证明其出席。</w:t>
      </w:r>
    </w:p>
    <w:p w14:paraId="1C9EE95A">
      <w:pPr>
        <w:pageBreakBefore w:val="0"/>
        <w:kinsoku/>
        <w:overflowPunct/>
        <w:topLinePunct w:val="0"/>
        <w:autoSpaceDE/>
        <w:autoSpaceDN/>
        <w:bidi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开标时，招标代理机构以公开唱标的形式将投标报价表的内容公布。</w:t>
      </w:r>
    </w:p>
    <w:p w14:paraId="3B21AC62">
      <w:pPr>
        <w:pageBreakBefore w:val="0"/>
        <w:kinsoku/>
        <w:overflowPunct/>
        <w:topLinePunct w:val="0"/>
        <w:autoSpaceDE/>
        <w:autoSpaceDN/>
        <w:bidi w:val="0"/>
        <w:spacing w:line="500" w:lineRule="exac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开标结束到向中标单位授予合同期间，凡与审查、澄清、评价和比较评标的有关资料及评审意见等内容，评标委员会均不得向投标人及与评标无关的其他人透露。</w:t>
      </w:r>
    </w:p>
    <w:p w14:paraId="3EEE482E">
      <w:pPr>
        <w:pageBreakBefore w:val="0"/>
        <w:kinsoku/>
        <w:overflowPunct/>
        <w:topLinePunct w:val="0"/>
        <w:autoSpaceDE/>
        <w:autoSpaceDN/>
        <w:bidi w:val="0"/>
        <w:spacing w:line="500" w:lineRule="exact"/>
        <w:ind w:firstLine="645"/>
        <w:textAlignment w:val="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6.</w:t>
      </w:r>
      <w:r>
        <w:rPr>
          <w:rFonts w:hint="eastAsia" w:ascii="宋体" w:hAnsi="宋体" w:eastAsia="宋体" w:cs="宋体"/>
          <w:b w:val="0"/>
          <w:bCs/>
          <w:color w:val="auto"/>
          <w:sz w:val="24"/>
          <w:szCs w:val="24"/>
          <w:highlight w:val="none"/>
        </w:rPr>
        <w:t>最低报价不作为唯一中标原则。</w:t>
      </w:r>
    </w:p>
    <w:p w14:paraId="4768BFD0">
      <w:pPr>
        <w:pStyle w:val="3"/>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五、安康市公共资源交易平台全流程电子化政府采购项目内容（此项内容请着重阅读）</w:t>
      </w:r>
    </w:p>
    <w:p w14:paraId="7005D4B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关于需要特别提醒供应商的内容</w:t>
      </w:r>
    </w:p>
    <w:p w14:paraId="03CC663B">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项目采用电子化投标的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4119E959">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1.2、制作电子投标文件</w:t>
      </w:r>
    </w:p>
    <w:p w14:paraId="187722F8">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投标供应商须在“全国公共资源交易中心平台（陕西省）（http://www.sxggzyjy.cn/）”的“服务指南”栏目“下载专区”中，免费下载“陕西省公共资源交易平台政府采购电子标书制作工具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V8.0.0.2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”，并升级至最新版本，使用该客户端制作电子投标文件，制作扩展名为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SXSTF”的电子投标文件。”</w:t>
      </w:r>
    </w:p>
    <w:p w14:paraId="2112CD76">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1.3、递交电子投标文件</w:t>
      </w:r>
    </w:p>
    <w:p w14:paraId="16CFF5DD">
      <w:pPr>
        <w:pageBreakBefore w:val="0"/>
        <w:kinsoku/>
        <w:overflowPunct/>
        <w:topLinePunct w:val="0"/>
        <w:autoSpaceDE/>
        <w:autoSpaceDN/>
        <w:bidi w:val="0"/>
        <w:spacing w:line="500" w:lineRule="exact"/>
        <w:ind w:firstLine="65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23BA5FBB">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关于报名</w:t>
      </w:r>
    </w:p>
    <w:p w14:paraId="5DAB5F23">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2.1投标供应商使用捆绑陕西省公共资源交易平台的CA锁登录电子交易平台，通过政府采购系统企业端进入，点击“我要投标”并完善相关投标信息；</w:t>
      </w:r>
    </w:p>
    <w:p w14:paraId="3DFC76D6">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 投标供应商须在招标文件发售截止前登录电子交易平台下载电子招标文件，未完成网上投标成功的或未提供授权信息或未在规定时间内在平台上下载文件，导致无法完成后续流程的责任自负；</w:t>
      </w:r>
    </w:p>
    <w:p w14:paraId="4CA2F797">
      <w:pPr>
        <w:pageBreakBefore w:val="0"/>
        <w:kinsoku/>
        <w:overflowPunct/>
        <w:topLinePunct w:val="0"/>
        <w:autoSpaceDE/>
        <w:autoSpaceDN/>
        <w:bidi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本项目采用电子化投标的方式，相关操作流程详见全国公共资源交易平台（陕西省）网站[服务指南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下载专区]中的《陕西省公共资源交易中心政府采购项目投标指南》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p w14:paraId="12023E6D">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电子招标文件技术支持：4009280095、4009980000。</w:t>
      </w:r>
    </w:p>
    <w:p w14:paraId="59F91C81">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关于文件的制作和签名</w:t>
      </w:r>
    </w:p>
    <w:p w14:paraId="6E0FB5E9">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编制电子投标文件时，应使用最新发布的电子招标文件及专用制作工具进行编制。并使用数字认证证书（CA）对电子投标文件进行签署、加密、递交及开标时解密等相关操作。</w:t>
      </w:r>
    </w:p>
    <w:p w14:paraId="635496B5">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（1）电子招标文件下载</w:t>
      </w:r>
    </w:p>
    <w:p w14:paraId="61D70252">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供应商登录全国公共资源交易平台（陕西省）网站[电子交易平台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企业端]后，在[我的项目]中点击“项目流程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交易文件下载”下载电子招标文件（*.SXSZF）</w:t>
      </w:r>
      <w:r>
        <w:rPr>
          <w:rFonts w:hint="eastAsia" w:ascii="宋体" w:hAnsi="宋体" w:cs="宋体"/>
          <w:color w:val="auto"/>
          <w:sz w:val="24"/>
          <w:szCs w:val="24"/>
          <w:highlight w:val="none"/>
          <w:lang w:eastAsia="zh-CN"/>
        </w:rPr>
        <w:t>；</w:t>
      </w:r>
    </w:p>
    <w:p w14:paraId="2D2DD32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注意：该项目如有变更文件，则应点击“项目流程</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答疑文件下载”下载更新后的电子招标文件（*.SXSCF），使用旧版电子招标文件制作的电子投标文件，系统将拒绝接收。</w:t>
      </w:r>
    </w:p>
    <w:p w14:paraId="6A902EFE">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（2）电子招标文件需要使用专用软件打开、浏览</w:t>
      </w:r>
    </w:p>
    <w:p w14:paraId="2F4B4BB5">
      <w:pPr>
        <w:pageBreakBefore w:val="0"/>
        <w:kinsoku/>
        <w:overflowPunct/>
        <w:topLinePunct w:val="0"/>
        <w:autoSpaceDE/>
        <w:autoSpaceDN/>
        <w:bidi w:val="0"/>
        <w:spacing w:line="500" w:lineRule="exact"/>
        <w:ind w:firstLine="65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供应商登录全国公共资源交易平台（陕西省）网站[服务指南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下载专区]免费下载《陕西省公共资源交易平台政府采购电子标书制作工具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V8.0.0.2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》，下载网址：http://www.sxggzyjy.cn/fwzn/004003/20180827/c8c8fb15-a7cc-4011-a244-806289d7cf3b.html，并升级至最新版本，使用该客户端可以打开电子招标文件。软件操作手册详见全国公共资源交易平台（陕西省）网站[服务指南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下载专区]中的《陕西省公共资源交易（政府采购类）投标文件制作软件操作手册》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下载网址：</w:t>
      </w:r>
    </w:p>
    <w:p w14:paraId="7362EB3F">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http://www.sxggzyjy.cn/fwzn/004003/20170821/c3afa05b-f5e6-4e64-9fb0-e397ef73413d.html</w:t>
      </w:r>
      <w:r>
        <w:rPr>
          <w:rFonts w:hint="eastAsia" w:ascii="宋体" w:hAnsi="宋体" w:cs="宋体"/>
          <w:color w:val="auto"/>
          <w:sz w:val="24"/>
          <w:szCs w:val="24"/>
          <w:highlight w:val="none"/>
          <w:lang w:eastAsia="zh-CN"/>
        </w:rPr>
        <w:t>;</w:t>
      </w:r>
    </w:p>
    <w:p w14:paraId="1A1CDF47">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（3）制作电子投标文件</w:t>
      </w:r>
    </w:p>
    <w:p w14:paraId="3B2B7F4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电子投标文件同样需要使用上述软件进行编制。在编制过程中，如有技术性问题，请先翻阅操作手册或致电软件开发商，技术支持热线：4009280095、4009980000。</w:t>
      </w:r>
    </w:p>
    <w:p w14:paraId="0946219C">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关于响应文件递交与解密</w:t>
      </w:r>
    </w:p>
    <w:p w14:paraId="17F38D86">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4.1.文件递交</w:t>
      </w:r>
    </w:p>
    <w:p w14:paraId="33CE769D">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（1）电子投标文件可于提交投标文件截止时间前任意时段登录全国公共资源交易平台（陕西省）网站[电子交易平台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企业端]进行提交，逾期系统将拒绝接收。提交时，供应商应登录全国公共资源交易中心平台（陕西省），选择[“首页</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电子交易平台</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企业端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我的项目”，点击[项目流程]，在打开的[项目管理]对话框中选择[上传响应文件]，上传加密的电子投标文件（*.SXSTF），上传成功后，电子化平台将予以记录。</w:t>
      </w:r>
    </w:p>
    <w:p w14:paraId="47F642F9">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4.2.文件开启与解密</w:t>
      </w:r>
    </w:p>
    <w:p w14:paraId="5372C313">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4.2.1</w:t>
      </w:r>
      <w:r>
        <w:rPr>
          <w:rFonts w:hint="eastAsia" w:ascii="宋体" w:hAnsi="宋体" w:eastAsia="宋体" w:cs="宋体"/>
          <w:color w:val="auto"/>
          <w:sz w:val="24"/>
          <w:szCs w:val="24"/>
          <w:highlight w:val="none"/>
        </w:rPr>
        <w:t>采购代理机构组织</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4"/>
          <w:highlight w:val="none"/>
        </w:rPr>
        <w:t>、文件开启、评审工作，</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4"/>
          <w:highlight w:val="none"/>
        </w:rPr>
        <w:t>整个过程接受监督部门的监督。</w:t>
      </w:r>
    </w:p>
    <w:p w14:paraId="38796216">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4.2.2</w:t>
      </w:r>
      <w:r>
        <w:rPr>
          <w:rFonts w:hint="eastAsia" w:ascii="宋体" w:hAnsi="宋体" w:eastAsia="宋体" w:cs="宋体"/>
          <w:color w:val="auto"/>
          <w:sz w:val="24"/>
          <w:szCs w:val="24"/>
          <w:highlight w:val="none"/>
        </w:rPr>
        <w:t>采购代理机构在规定的时间和地点组织</w:t>
      </w:r>
      <w:r>
        <w:rPr>
          <w:rFonts w:hint="eastAsia" w:ascii="宋体" w:hAnsi="宋体" w:eastAsia="宋体" w:cs="宋体"/>
          <w:color w:val="auto"/>
          <w:sz w:val="24"/>
          <w:szCs w:val="24"/>
          <w:highlight w:val="none"/>
          <w:lang w:eastAsia="zh-CN"/>
        </w:rPr>
        <w:t>开标</w:t>
      </w:r>
      <w:r>
        <w:rPr>
          <w:rFonts w:hint="eastAsia" w:ascii="宋体" w:hAnsi="宋体" w:eastAsia="宋体" w:cs="宋体"/>
          <w:color w:val="auto"/>
          <w:sz w:val="24"/>
          <w:szCs w:val="24"/>
          <w:highlight w:val="none"/>
        </w:rPr>
        <w:t>，响应供应商须委派</w:t>
      </w:r>
      <w:r>
        <w:rPr>
          <w:rFonts w:hint="eastAsia" w:ascii="宋体" w:hAnsi="宋体" w:cs="宋体"/>
          <w:color w:val="auto"/>
          <w:sz w:val="24"/>
          <w:szCs w:val="24"/>
          <w:highlight w:val="none"/>
          <w:lang w:eastAsia="zh-CN"/>
        </w:rPr>
        <w:t>代表</w:t>
      </w:r>
      <w:r>
        <w:rPr>
          <w:rFonts w:hint="eastAsia" w:ascii="宋体" w:hAnsi="宋体" w:eastAsia="宋体" w:cs="宋体"/>
          <w:color w:val="auto"/>
          <w:sz w:val="24"/>
          <w:szCs w:val="24"/>
          <w:highlight w:val="none"/>
        </w:rPr>
        <w:t>参加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参加谈判的授权代表在不见面开标大厅签名报到以证明其出席。</w:t>
      </w:r>
    </w:p>
    <w:p w14:paraId="7C683866">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firstLine="658"/>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不见面开标系统：打开页面网址</w:t>
      </w:r>
    </w:p>
    <w:p w14:paraId="1484037A">
      <w:pPr>
        <w:keepNext w:val="0"/>
        <w:keepLines w:val="0"/>
        <w:pageBreakBefore w:val="0"/>
        <w:widowControl w:val="0"/>
        <w:numPr>
          <w:ilvl w:val="0"/>
          <w:numId w:val="0"/>
        </w:numPr>
        <w:kinsoku/>
        <w:wordWrap/>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http://219.145.206.209/BidOpeningHall/bidopeninghallaction/hall/login</w:t>
      </w:r>
      <w:r>
        <w:rPr>
          <w:rFonts w:hint="eastAsia" w:ascii="宋体" w:hAnsi="宋体" w:eastAsia="宋体" w:cs="宋体"/>
          <w:color w:val="auto"/>
          <w:sz w:val="24"/>
          <w:szCs w:val="24"/>
          <w:highlight w:val="none"/>
        </w:rPr>
        <w:t>选择点击右上角“登录”，在左侧选择“投标人”身份，登录地区选择“安康市不见面开标”插入CA锁登录，输入密码后，点击“登录”，投标人登录之后可以看到当前投标人今日开标项目：1、选择要开标的项目，点击进入，页面首先阅读开标流程，点击“我已阅读”进入开标大厅，点击“取消”返回项目列表页面。</w:t>
      </w:r>
    </w:p>
    <w:p w14:paraId="7F65B483">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开标签到：投标人等待开标时需要签到，等候开标。请在开标前完成签到，开标 时间到了之后就不能签到；点击页面上“签到”按钮进行签到，开标前60分钟可以签到。签到成功之后，按钮灰化，无需再次签到，同时第一个座位图右下角出现绿色√。</w:t>
      </w:r>
    </w:p>
    <w:p w14:paraId="42252098">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开标时，供应商须使用电子响应文件加密时所用的数字认证证书（CA锁）自行解密电子响应文件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系统默认解密时长为</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0分钟，供应商需在解密时间规定内完成文件解密。</w:t>
      </w:r>
    </w:p>
    <w:p w14:paraId="32AC7E11">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（4）解密成功后，依次导入投标企业电子投标文件。</w:t>
      </w:r>
      <w:r>
        <w:rPr>
          <w:rFonts w:hint="eastAsia" w:ascii="宋体" w:hAnsi="宋体" w:eastAsia="宋体" w:cs="宋体"/>
          <w:color w:val="auto"/>
          <w:sz w:val="24"/>
          <w:szCs w:val="24"/>
          <w:highlight w:val="none"/>
        </w:rPr>
        <w:t xml:space="preserve"> </w:t>
      </w:r>
    </w:p>
    <w:p w14:paraId="2CA80064">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（5）采购代理机构将在开标会议现场做会议记录，会议记录</w:t>
      </w:r>
      <w:r>
        <w:rPr>
          <w:rFonts w:hint="eastAsia" w:ascii="宋体" w:hAnsi="宋体" w:cs="宋体"/>
          <w:color w:val="auto"/>
          <w:sz w:val="24"/>
          <w:szCs w:val="24"/>
          <w:highlight w:val="none"/>
          <w:lang w:val="en-US" w:eastAsia="zh-CN"/>
        </w:rPr>
        <w:t>包括</w:t>
      </w:r>
      <w:r>
        <w:rPr>
          <w:rFonts w:hint="eastAsia" w:ascii="宋体" w:hAnsi="宋体" w:eastAsia="宋体" w:cs="宋体"/>
          <w:color w:val="auto"/>
          <w:sz w:val="24"/>
          <w:szCs w:val="24"/>
          <w:highlight w:val="none"/>
          <w:lang w:val="en-US" w:eastAsia="zh-CN"/>
        </w:rPr>
        <w:t>本项目开标会议的全部内容。</w:t>
      </w:r>
    </w:p>
    <w:p w14:paraId="55B78A5B">
      <w:pPr>
        <w:pageBreakBefore w:val="0"/>
        <w:kinsoku/>
        <w:overflowPunct/>
        <w:topLinePunct w:val="0"/>
        <w:autoSpaceDE/>
        <w:autoSpaceDN/>
        <w:bidi w:val="0"/>
        <w:spacing w:line="50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4.2.3</w:t>
      </w:r>
      <w:r>
        <w:rPr>
          <w:rFonts w:hint="eastAsia" w:ascii="宋体" w:hAnsi="宋体" w:eastAsia="宋体" w:cs="宋体"/>
          <w:color w:val="auto"/>
          <w:sz w:val="24"/>
          <w:szCs w:val="24"/>
          <w:highlight w:val="none"/>
        </w:rPr>
        <w:t>在开标环节出现下列情况之一的，其电子投标文件视为无效文件：</w:t>
      </w:r>
    </w:p>
    <w:p w14:paraId="0D0DD8C0">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（1）供应商拒绝对电子投标文件进行解密的；</w:t>
      </w:r>
    </w:p>
    <w:p w14:paraId="514B565F">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（2）因供应商自身原因（如未带CA锁</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所带CA锁与制作电子投标文件使用的CA锁不一致</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沿用旧版</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文件编制投标文件等情形），导致在规定时间内无法解密投标文件的；</w:t>
      </w:r>
    </w:p>
    <w:p w14:paraId="087B3516">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（3）上传的电子投标文件无法打开的；</w:t>
      </w:r>
    </w:p>
    <w:p w14:paraId="3DB03D49">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（4）政府采购法律法规规定的其他无效情形。</w:t>
      </w:r>
    </w:p>
    <w:p w14:paraId="38002FFB">
      <w:pPr>
        <w:pageBreakBefore w:val="0"/>
        <w:kinsoku/>
        <w:overflowPunct/>
        <w:topLinePunct w:val="0"/>
        <w:autoSpaceDE/>
        <w:autoSpaceDN/>
        <w:bidi w:val="0"/>
        <w:spacing w:line="500" w:lineRule="exact"/>
        <w:ind w:firstLine="658"/>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4.2.4</w:t>
      </w:r>
      <w:r>
        <w:rPr>
          <w:rFonts w:hint="eastAsia" w:ascii="宋体" w:hAnsi="宋体" w:eastAsia="宋体" w:cs="宋体"/>
          <w:color w:val="auto"/>
          <w:sz w:val="24"/>
          <w:szCs w:val="24"/>
          <w:highlight w:val="none"/>
        </w:rPr>
        <w:t>特殊情形下的应急处置</w:t>
      </w:r>
    </w:p>
    <w:p w14:paraId="39AEFA2A">
      <w:pPr>
        <w:pageBreakBefore w:val="0"/>
        <w:kinsoku/>
        <w:overflowPunct/>
        <w:topLinePunct w:val="0"/>
        <w:autoSpaceDE/>
        <w:autoSpaceDN/>
        <w:bidi w:val="0"/>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开标、评审过程中，如因停电、断网、电子化系统故障等特殊原因导致电子化开、评标无法正常进行时，代理机构应及时与公共资源交易中心工作人员联系，故障在2小时内可修复的，可延续电子开标评标流程；2小时内无法修复的，由采购人根据《安康市公共资源交易平台电子化交易应急处置管理办法（试行）》的通知选择处理方法。</w:t>
      </w:r>
    </w:p>
    <w:p w14:paraId="51D5419C">
      <w:pPr>
        <w:pStyle w:val="3"/>
        <w:pageBreakBefore w:val="0"/>
        <w:widowControl w:val="0"/>
        <w:kinsoku/>
        <w:wordWrap/>
        <w:overflowPunct/>
        <w:topLinePunct w:val="0"/>
        <w:autoSpaceDE/>
        <w:autoSpaceDN/>
        <w:bidi w:val="0"/>
        <w:adjustRightInd/>
        <w:spacing w:line="5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六、评标</w:t>
      </w:r>
    </w:p>
    <w:p w14:paraId="1B3AE22D">
      <w:pPr>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 xml:space="preserve"> 采购人将审查资格证明文件是否齐全有效。</w:t>
      </w:r>
    </w:p>
    <w:tbl>
      <w:tblPr>
        <w:tblStyle w:val="15"/>
        <w:tblW w:w="87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40"/>
        <w:gridCol w:w="818"/>
        <w:gridCol w:w="1614"/>
        <w:gridCol w:w="5672"/>
      </w:tblGrid>
      <w:tr w14:paraId="040A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9" w:hRule="exact"/>
          <w:jc w:val="center"/>
        </w:trPr>
        <w:tc>
          <w:tcPr>
            <w:tcW w:w="640" w:type="dxa"/>
            <w:vMerge w:val="restart"/>
            <w:tcBorders>
              <w:top w:val="single" w:color="auto" w:sz="4" w:space="0"/>
              <w:left w:val="single" w:color="auto" w:sz="4" w:space="0"/>
              <w:right w:val="single" w:color="auto" w:sz="4" w:space="0"/>
            </w:tcBorders>
            <w:vAlign w:val="center"/>
          </w:tcPr>
          <w:p w14:paraId="55CC6226">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w:t>
            </w:r>
          </w:p>
          <w:p w14:paraId="0B05B2EA">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格</w:t>
            </w:r>
          </w:p>
          <w:p w14:paraId="3F708543">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w:t>
            </w:r>
          </w:p>
          <w:p w14:paraId="2E600153">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w:t>
            </w:r>
          </w:p>
          <w:p w14:paraId="41152745">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查</w:t>
            </w:r>
          </w:p>
        </w:tc>
        <w:tc>
          <w:tcPr>
            <w:tcW w:w="818" w:type="dxa"/>
            <w:tcBorders>
              <w:top w:val="single" w:color="auto" w:sz="4" w:space="0"/>
              <w:left w:val="single" w:color="auto" w:sz="4" w:space="0"/>
              <w:bottom w:val="single" w:color="auto" w:sz="4" w:space="0"/>
              <w:right w:val="single" w:color="auto" w:sz="4" w:space="0"/>
            </w:tcBorders>
            <w:vAlign w:val="center"/>
          </w:tcPr>
          <w:p w14:paraId="60FAB3E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614" w:type="dxa"/>
            <w:tcBorders>
              <w:top w:val="single" w:color="auto" w:sz="4" w:space="0"/>
              <w:left w:val="single" w:color="auto" w:sz="4" w:space="0"/>
              <w:bottom w:val="single" w:color="auto" w:sz="4" w:space="0"/>
              <w:right w:val="single" w:color="auto" w:sz="4" w:space="0"/>
            </w:tcBorders>
            <w:vAlign w:val="center"/>
          </w:tcPr>
          <w:p w14:paraId="095C714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审查因素</w:t>
            </w:r>
          </w:p>
        </w:tc>
        <w:tc>
          <w:tcPr>
            <w:tcW w:w="5672" w:type="dxa"/>
            <w:tcBorders>
              <w:top w:val="single" w:color="auto" w:sz="4" w:space="0"/>
              <w:left w:val="single" w:color="auto" w:sz="4" w:space="0"/>
              <w:bottom w:val="single" w:color="auto" w:sz="4" w:space="0"/>
              <w:right w:val="single" w:color="auto" w:sz="4" w:space="0"/>
            </w:tcBorders>
            <w:vAlign w:val="center"/>
          </w:tcPr>
          <w:p w14:paraId="4D81985A">
            <w:pPr>
              <w:keepNext w:val="0"/>
              <w:keepLines w:val="0"/>
              <w:pageBreakBefore w:val="0"/>
              <w:widowControl w:val="0"/>
              <w:kinsoku/>
              <w:wordWrap/>
              <w:overflowPunct/>
              <w:topLinePunct w:val="0"/>
              <w:autoSpaceDE/>
              <w:autoSpaceDN/>
              <w:bidi w:val="0"/>
              <w:adjustRightInd/>
              <w:snapToGrid w:val="0"/>
              <w:spacing w:line="400" w:lineRule="exact"/>
              <w:ind w:firstLine="58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审查标准</w:t>
            </w:r>
          </w:p>
        </w:tc>
      </w:tr>
      <w:tr w14:paraId="6D6D9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32" w:hRule="exact"/>
          <w:jc w:val="center"/>
        </w:trPr>
        <w:tc>
          <w:tcPr>
            <w:tcW w:w="640" w:type="dxa"/>
            <w:vMerge w:val="continue"/>
            <w:tcBorders>
              <w:left w:val="single" w:color="auto" w:sz="4" w:space="0"/>
              <w:right w:val="single" w:color="auto" w:sz="4" w:space="0"/>
            </w:tcBorders>
            <w:vAlign w:val="center"/>
          </w:tcPr>
          <w:p w14:paraId="267F7E52">
            <w:pPr>
              <w:snapToGrid w:val="0"/>
              <w:spacing w:line="360" w:lineRule="auto"/>
              <w:ind w:firstLine="580"/>
              <w:rPr>
                <w:rFonts w:hint="eastAsia" w:ascii="宋体" w:hAnsi="宋体" w:eastAsia="宋体" w:cs="宋体"/>
                <w:color w:val="auto"/>
                <w:sz w:val="24"/>
                <w:szCs w:val="24"/>
                <w:highlight w:val="none"/>
              </w:rPr>
            </w:pPr>
          </w:p>
        </w:tc>
        <w:tc>
          <w:tcPr>
            <w:tcW w:w="818" w:type="dxa"/>
            <w:tcBorders>
              <w:top w:val="single" w:color="auto" w:sz="4" w:space="0"/>
              <w:left w:val="single" w:color="auto" w:sz="4" w:space="0"/>
              <w:right w:val="single" w:color="auto" w:sz="4" w:space="0"/>
            </w:tcBorders>
            <w:vAlign w:val="center"/>
          </w:tcPr>
          <w:p w14:paraId="21B593B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14" w:type="dxa"/>
            <w:tcBorders>
              <w:top w:val="single" w:color="auto" w:sz="4" w:space="0"/>
              <w:left w:val="single" w:color="auto" w:sz="4" w:space="0"/>
              <w:bottom w:val="single" w:color="auto" w:sz="4" w:space="0"/>
              <w:right w:val="single" w:color="auto" w:sz="4" w:space="0"/>
            </w:tcBorders>
            <w:vAlign w:val="center"/>
          </w:tcPr>
          <w:p w14:paraId="7EBF66F8">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有效的主体资格</w:t>
            </w:r>
          </w:p>
        </w:tc>
        <w:tc>
          <w:tcPr>
            <w:tcW w:w="5672" w:type="dxa"/>
            <w:tcBorders>
              <w:top w:val="single" w:color="auto" w:sz="4" w:space="0"/>
              <w:left w:val="single" w:color="auto" w:sz="4" w:space="0"/>
              <w:bottom w:val="single" w:color="auto" w:sz="4" w:space="0"/>
              <w:right w:val="single" w:color="auto" w:sz="4" w:space="0"/>
            </w:tcBorders>
            <w:vAlign w:val="center"/>
          </w:tcPr>
          <w:p w14:paraId="3B7B1C0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供应商必须是具有独立承担民事责任的能力的法人、其他组织或自然人，提供营业执照、税务登记证、组织机构代码证或登载有统一社会信用代码的营业执照（或《事业单位法人证书》或其他合法组织登记证书、自然人只须提交身份证）；</w:t>
            </w:r>
          </w:p>
        </w:tc>
      </w:tr>
      <w:tr w14:paraId="7344D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3" w:hRule="atLeast"/>
          <w:jc w:val="center"/>
        </w:trPr>
        <w:tc>
          <w:tcPr>
            <w:tcW w:w="640" w:type="dxa"/>
            <w:vMerge w:val="continue"/>
            <w:tcBorders>
              <w:left w:val="single" w:color="auto" w:sz="4" w:space="0"/>
              <w:right w:val="single" w:color="auto" w:sz="4" w:space="0"/>
            </w:tcBorders>
            <w:vAlign w:val="center"/>
          </w:tcPr>
          <w:p w14:paraId="65AE2F60">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3BB04AB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14" w:type="dxa"/>
            <w:tcBorders>
              <w:top w:val="single" w:color="auto" w:sz="4" w:space="0"/>
              <w:left w:val="single" w:color="auto" w:sz="4" w:space="0"/>
              <w:bottom w:val="single" w:color="auto" w:sz="4" w:space="0"/>
              <w:right w:val="single" w:color="auto" w:sz="4" w:space="0"/>
            </w:tcBorders>
            <w:vAlign w:val="center"/>
          </w:tcPr>
          <w:p w14:paraId="1828DAB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授权委托书</w:t>
            </w:r>
          </w:p>
        </w:tc>
        <w:tc>
          <w:tcPr>
            <w:tcW w:w="5672" w:type="dxa"/>
            <w:tcBorders>
              <w:top w:val="single" w:color="auto" w:sz="4" w:space="0"/>
              <w:left w:val="single" w:color="auto" w:sz="4" w:space="0"/>
              <w:bottom w:val="single" w:color="auto" w:sz="4" w:space="0"/>
              <w:right w:val="single" w:color="auto" w:sz="4" w:space="0"/>
            </w:tcBorders>
            <w:vAlign w:val="center"/>
          </w:tcPr>
          <w:p w14:paraId="2F78973F">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提供法定代表人授权书（附法定代表人身份证复印件）及被授权代表身份证复印件（法定代表人直接参加只须提供法定代表人身份证复印件）；</w:t>
            </w:r>
          </w:p>
        </w:tc>
      </w:tr>
      <w:tr w14:paraId="7F664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93" w:hRule="atLeast"/>
          <w:jc w:val="center"/>
        </w:trPr>
        <w:tc>
          <w:tcPr>
            <w:tcW w:w="640" w:type="dxa"/>
            <w:vMerge w:val="continue"/>
            <w:tcBorders>
              <w:left w:val="single" w:color="auto" w:sz="4" w:space="0"/>
              <w:right w:val="single" w:color="auto" w:sz="4" w:space="0"/>
            </w:tcBorders>
            <w:vAlign w:val="center"/>
          </w:tcPr>
          <w:p w14:paraId="771895D3">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4B92A4A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14" w:type="dxa"/>
            <w:tcBorders>
              <w:top w:val="single" w:color="auto" w:sz="4" w:space="0"/>
              <w:left w:val="single" w:color="auto" w:sz="4" w:space="0"/>
              <w:bottom w:val="single" w:color="auto" w:sz="4" w:space="0"/>
              <w:right w:val="single" w:color="auto" w:sz="4" w:space="0"/>
            </w:tcBorders>
            <w:vAlign w:val="center"/>
          </w:tcPr>
          <w:p w14:paraId="22DBAFA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财务审计报告</w:t>
            </w:r>
          </w:p>
        </w:tc>
        <w:tc>
          <w:tcPr>
            <w:tcW w:w="5672" w:type="dxa"/>
            <w:tcBorders>
              <w:top w:val="single" w:color="auto" w:sz="4" w:space="0"/>
              <w:left w:val="single" w:color="auto" w:sz="4" w:space="0"/>
              <w:bottom w:val="single" w:color="auto" w:sz="4" w:space="0"/>
              <w:right w:val="single" w:color="auto" w:sz="4" w:space="0"/>
            </w:tcBorders>
            <w:vAlign w:val="center"/>
          </w:tcPr>
          <w:p w14:paraId="068A9921">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提供2024年或2025年经审计的财务审计报告</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成立时间至提交投标响应文件截止时间不足1年的可提供成立后任意时段的资产负债表</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或开标前6个月内其基本账户开户银行出具的资信证明或政府采购信用担保机构出具的投标担保函；</w:t>
            </w:r>
          </w:p>
        </w:tc>
      </w:tr>
      <w:tr w14:paraId="5209E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533" w:hRule="atLeast"/>
          <w:jc w:val="center"/>
        </w:trPr>
        <w:tc>
          <w:tcPr>
            <w:tcW w:w="640" w:type="dxa"/>
            <w:vMerge w:val="continue"/>
            <w:tcBorders>
              <w:left w:val="single" w:color="auto" w:sz="4" w:space="0"/>
              <w:right w:val="single" w:color="auto" w:sz="4" w:space="0"/>
            </w:tcBorders>
            <w:vAlign w:val="center"/>
          </w:tcPr>
          <w:p w14:paraId="5FDE3513">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7C76E709">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614" w:type="dxa"/>
            <w:tcBorders>
              <w:top w:val="single" w:color="auto" w:sz="4" w:space="0"/>
              <w:left w:val="single" w:color="auto" w:sz="4" w:space="0"/>
              <w:bottom w:val="single" w:color="auto" w:sz="4" w:space="0"/>
              <w:right w:val="single" w:color="auto" w:sz="4" w:space="0"/>
            </w:tcBorders>
            <w:vAlign w:val="center"/>
          </w:tcPr>
          <w:p w14:paraId="64868D7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税收缴纳证明</w:t>
            </w:r>
          </w:p>
        </w:tc>
        <w:tc>
          <w:tcPr>
            <w:tcW w:w="5672" w:type="dxa"/>
            <w:tcBorders>
              <w:top w:val="single" w:color="auto" w:sz="4" w:space="0"/>
              <w:left w:val="single" w:color="auto" w:sz="4" w:space="0"/>
              <w:bottom w:val="single" w:color="auto" w:sz="4" w:space="0"/>
              <w:right w:val="single" w:color="auto" w:sz="4" w:space="0"/>
            </w:tcBorders>
            <w:vAlign w:val="center"/>
          </w:tcPr>
          <w:p w14:paraId="7854992A">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提供投标截止日前半年内至少一个月的</w:t>
            </w:r>
            <w:r>
              <w:rPr>
                <w:rFonts w:hint="eastAsia" w:ascii="宋体" w:hAnsi="宋体" w:eastAsia="宋体" w:cs="宋体"/>
                <w:color w:val="auto"/>
                <w:sz w:val="24"/>
                <w:szCs w:val="24"/>
                <w:highlight w:val="none"/>
              </w:rPr>
              <w:t>纳税证明或完税证明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纳税证明或完税证明上应有代收机构或税务机关的公章或业务专用章。依法免税的供应商应提供相关文件证明</w:t>
            </w:r>
            <w:r>
              <w:rPr>
                <w:rFonts w:hint="eastAsia" w:ascii="宋体" w:hAnsi="宋体" w:eastAsia="宋体" w:cs="宋体"/>
                <w:color w:val="auto"/>
                <w:sz w:val="24"/>
                <w:szCs w:val="24"/>
                <w:highlight w:val="none"/>
                <w:lang w:eastAsia="zh-CN"/>
              </w:rPr>
              <w:t>；</w:t>
            </w:r>
          </w:p>
        </w:tc>
      </w:tr>
      <w:tr w14:paraId="3600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582" w:hRule="atLeast"/>
          <w:jc w:val="center"/>
        </w:trPr>
        <w:tc>
          <w:tcPr>
            <w:tcW w:w="640" w:type="dxa"/>
            <w:vMerge w:val="continue"/>
            <w:tcBorders>
              <w:left w:val="single" w:color="auto" w:sz="4" w:space="0"/>
              <w:right w:val="single" w:color="auto" w:sz="4" w:space="0"/>
            </w:tcBorders>
            <w:vAlign w:val="center"/>
          </w:tcPr>
          <w:p w14:paraId="4B940B26">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16A38C2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614" w:type="dxa"/>
            <w:tcBorders>
              <w:top w:val="single" w:color="auto" w:sz="4" w:space="0"/>
              <w:left w:val="single" w:color="auto" w:sz="4" w:space="0"/>
              <w:right w:val="single" w:color="auto" w:sz="4" w:space="0"/>
            </w:tcBorders>
            <w:vAlign w:val="center"/>
          </w:tcPr>
          <w:p w14:paraId="2E97893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社会保障资金缴纳证明</w:t>
            </w:r>
          </w:p>
        </w:tc>
        <w:tc>
          <w:tcPr>
            <w:tcW w:w="5672" w:type="dxa"/>
            <w:tcBorders>
              <w:top w:val="single" w:color="auto" w:sz="4" w:space="0"/>
              <w:left w:val="single" w:color="auto" w:sz="4" w:space="0"/>
              <w:bottom w:val="single" w:color="auto" w:sz="4" w:space="0"/>
              <w:right w:val="single" w:color="auto" w:sz="4" w:space="0"/>
            </w:tcBorders>
            <w:vAlign w:val="center"/>
          </w:tcPr>
          <w:p w14:paraId="457DACB4">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提供投标截止日前半年内至少一个月的</w:t>
            </w:r>
            <w:r>
              <w:rPr>
                <w:rFonts w:hint="eastAsia" w:ascii="宋体" w:hAnsi="宋体" w:eastAsia="宋体" w:cs="宋体"/>
                <w:color w:val="auto"/>
                <w:sz w:val="24"/>
                <w:szCs w:val="24"/>
                <w:highlight w:val="none"/>
              </w:rPr>
              <w:t>社会保障资金缴存单据或社保机构开具的社会保险参保缴费情况证明，单据或证明上应有社保机构或代收机构的印章。依法不需要缴纳社会保障资金的供应商应提供相关文件证明</w:t>
            </w:r>
            <w:r>
              <w:rPr>
                <w:rFonts w:hint="eastAsia" w:ascii="宋体" w:hAnsi="宋体" w:eastAsia="宋体" w:cs="宋体"/>
                <w:color w:val="auto"/>
                <w:sz w:val="24"/>
                <w:szCs w:val="24"/>
                <w:highlight w:val="none"/>
                <w:lang w:eastAsia="zh-CN"/>
              </w:rPr>
              <w:t>；</w:t>
            </w:r>
          </w:p>
        </w:tc>
      </w:tr>
      <w:tr w14:paraId="7518D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54" w:hRule="atLeast"/>
          <w:jc w:val="center"/>
        </w:trPr>
        <w:tc>
          <w:tcPr>
            <w:tcW w:w="640" w:type="dxa"/>
            <w:vMerge w:val="continue"/>
            <w:tcBorders>
              <w:left w:val="single" w:color="auto" w:sz="4" w:space="0"/>
              <w:right w:val="single" w:color="auto" w:sz="4" w:space="0"/>
            </w:tcBorders>
            <w:vAlign w:val="center"/>
          </w:tcPr>
          <w:p w14:paraId="654AE8D2">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2990B32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614" w:type="dxa"/>
            <w:tcBorders>
              <w:top w:val="single" w:color="auto" w:sz="4" w:space="0"/>
              <w:left w:val="single" w:color="auto" w:sz="4" w:space="0"/>
              <w:bottom w:val="single" w:color="auto" w:sz="4" w:space="0"/>
              <w:right w:val="single" w:color="auto" w:sz="4" w:space="0"/>
            </w:tcBorders>
            <w:vAlign w:val="center"/>
          </w:tcPr>
          <w:p w14:paraId="4EABA2A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无重大违法</w:t>
            </w:r>
            <w:r>
              <w:rPr>
                <w:rFonts w:hint="eastAsia" w:ascii="宋体" w:hAnsi="宋体" w:cs="宋体"/>
                <w:color w:val="auto"/>
                <w:sz w:val="24"/>
                <w:szCs w:val="24"/>
                <w:highlight w:val="none"/>
                <w:lang w:eastAsia="zh-CN"/>
              </w:rPr>
              <w:t>记录</w:t>
            </w:r>
            <w:r>
              <w:rPr>
                <w:rFonts w:hint="eastAsia" w:ascii="宋体" w:hAnsi="宋体" w:eastAsia="宋体" w:cs="宋体"/>
                <w:color w:val="auto"/>
                <w:sz w:val="24"/>
                <w:szCs w:val="24"/>
                <w:highlight w:val="none"/>
              </w:rPr>
              <w:t>的书面声明</w:t>
            </w:r>
          </w:p>
        </w:tc>
        <w:tc>
          <w:tcPr>
            <w:tcW w:w="5672" w:type="dxa"/>
            <w:tcBorders>
              <w:top w:val="single" w:color="auto" w:sz="4" w:space="0"/>
              <w:left w:val="single" w:color="auto" w:sz="4" w:space="0"/>
              <w:bottom w:val="single" w:color="auto" w:sz="4" w:space="0"/>
              <w:right w:val="single" w:color="auto" w:sz="4" w:space="0"/>
            </w:tcBorders>
            <w:vAlign w:val="center"/>
          </w:tcPr>
          <w:p w14:paraId="673747B9">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参加政府采购活动前三年内</w:t>
            </w:r>
            <w:r>
              <w:rPr>
                <w:rFonts w:hint="eastAsia" w:ascii="宋体" w:hAnsi="宋体" w:eastAsia="宋体" w:cs="宋体"/>
                <w:color w:val="auto"/>
                <w:sz w:val="24"/>
                <w:szCs w:val="24"/>
                <w:highlight w:val="none"/>
                <w:lang w:eastAsia="zh-CN"/>
              </w:rPr>
              <w:t>（2023年1月至今）</w:t>
            </w:r>
            <w:r>
              <w:rPr>
                <w:rFonts w:hint="eastAsia" w:ascii="宋体" w:hAnsi="宋体" w:eastAsia="宋体" w:cs="宋体"/>
                <w:color w:val="auto"/>
                <w:sz w:val="24"/>
                <w:szCs w:val="24"/>
                <w:highlight w:val="none"/>
              </w:rPr>
              <w:t>，在经营活动中没有重大违法记录的书面声明</w:t>
            </w:r>
            <w:r>
              <w:rPr>
                <w:rFonts w:hint="eastAsia" w:ascii="宋体" w:hAnsi="宋体" w:eastAsia="宋体" w:cs="宋体"/>
                <w:color w:val="auto"/>
                <w:sz w:val="24"/>
                <w:szCs w:val="24"/>
                <w:highlight w:val="none"/>
                <w:lang w:eastAsia="zh-CN"/>
              </w:rPr>
              <w:t>；</w:t>
            </w:r>
          </w:p>
        </w:tc>
      </w:tr>
      <w:tr w14:paraId="355C3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204" w:hRule="atLeast"/>
          <w:jc w:val="center"/>
        </w:trPr>
        <w:tc>
          <w:tcPr>
            <w:tcW w:w="640" w:type="dxa"/>
            <w:vMerge w:val="continue"/>
            <w:tcBorders>
              <w:left w:val="single" w:color="auto" w:sz="4" w:space="0"/>
              <w:right w:val="single" w:color="auto" w:sz="4" w:space="0"/>
            </w:tcBorders>
            <w:vAlign w:val="center"/>
          </w:tcPr>
          <w:p w14:paraId="14B0C1C0">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697D591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614" w:type="dxa"/>
            <w:tcBorders>
              <w:top w:val="single" w:color="auto" w:sz="4" w:space="0"/>
              <w:left w:val="single" w:color="auto" w:sz="4" w:space="0"/>
              <w:bottom w:val="single" w:color="auto" w:sz="4" w:space="0"/>
              <w:right w:val="single" w:color="auto" w:sz="4" w:space="0"/>
            </w:tcBorders>
            <w:vAlign w:val="center"/>
          </w:tcPr>
          <w:p w14:paraId="53A31EC6">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履约能力声明</w:t>
            </w:r>
          </w:p>
        </w:tc>
        <w:tc>
          <w:tcPr>
            <w:tcW w:w="5672" w:type="dxa"/>
            <w:tcBorders>
              <w:top w:val="single" w:color="auto" w:sz="4" w:space="0"/>
              <w:left w:val="single" w:color="auto" w:sz="4" w:space="0"/>
              <w:bottom w:val="single" w:color="auto" w:sz="4" w:space="0"/>
              <w:right w:val="single" w:color="auto" w:sz="4" w:space="0"/>
            </w:tcBorders>
            <w:vAlign w:val="center"/>
          </w:tcPr>
          <w:p w14:paraId="79D4388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投标人具备履行合同所必需的设备和专业技术能力的书面声明（格式自拟）</w:t>
            </w:r>
            <w:r>
              <w:rPr>
                <w:rFonts w:hint="eastAsia" w:ascii="宋体" w:hAnsi="宋体" w:eastAsia="宋体" w:cs="宋体"/>
                <w:color w:val="auto"/>
                <w:sz w:val="24"/>
                <w:szCs w:val="24"/>
                <w:highlight w:val="none"/>
                <w:lang w:eastAsia="zh-CN"/>
              </w:rPr>
              <w:t>；</w:t>
            </w:r>
          </w:p>
        </w:tc>
      </w:tr>
      <w:tr w14:paraId="27012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404" w:hRule="atLeast"/>
          <w:jc w:val="center"/>
        </w:trPr>
        <w:tc>
          <w:tcPr>
            <w:tcW w:w="640" w:type="dxa"/>
            <w:vMerge w:val="continue"/>
            <w:tcBorders>
              <w:left w:val="single" w:color="auto" w:sz="4" w:space="0"/>
              <w:right w:val="single" w:color="auto" w:sz="4" w:space="0"/>
            </w:tcBorders>
            <w:vAlign w:val="center"/>
          </w:tcPr>
          <w:p w14:paraId="57579157">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34A730A0">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614" w:type="dxa"/>
            <w:tcBorders>
              <w:top w:val="single" w:color="auto" w:sz="4" w:space="0"/>
              <w:left w:val="single" w:color="auto" w:sz="4" w:space="0"/>
              <w:bottom w:val="single" w:color="auto" w:sz="4" w:space="0"/>
              <w:right w:val="single" w:color="auto" w:sz="4" w:space="0"/>
            </w:tcBorders>
            <w:vAlign w:val="center"/>
          </w:tcPr>
          <w:p w14:paraId="5A9708D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主体信用查询记录</w:t>
            </w:r>
          </w:p>
        </w:tc>
        <w:tc>
          <w:tcPr>
            <w:tcW w:w="5672" w:type="dxa"/>
            <w:tcBorders>
              <w:top w:val="single" w:color="auto" w:sz="4" w:space="0"/>
              <w:left w:val="single" w:color="auto" w:sz="4" w:space="0"/>
              <w:bottom w:val="single" w:color="auto" w:sz="4" w:space="0"/>
              <w:right w:val="single" w:color="auto" w:sz="4" w:space="0"/>
            </w:tcBorders>
            <w:vAlign w:val="center"/>
          </w:tcPr>
          <w:p w14:paraId="166576F2">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投标人通过“信用中国”网站（www.creditchina.gov.cn）、中国政府采购网（www.ccgp.gov.cn）等渠道查询相关主体无失信记录。对列入失信被执行人、 重大税收违法案件当事人名单、政府采购严重违法失信行为记录名单的投标人，将拒绝其参与政府采购活动；以“信用中国 ”网站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中国政府采购网查询结果为准（投标文件中提供查询结果网页截图并加盖投标人公章，查询日期为从招标文件发售之日起至投标截止日前，评标现场通过网站对信用记录进行核实）</w:t>
            </w:r>
            <w:r>
              <w:rPr>
                <w:rFonts w:hint="eastAsia" w:ascii="宋体" w:hAnsi="宋体" w:eastAsia="宋体" w:cs="宋体"/>
                <w:color w:val="auto"/>
                <w:sz w:val="24"/>
                <w:szCs w:val="24"/>
                <w:highlight w:val="none"/>
              </w:rPr>
              <w:t>；</w:t>
            </w:r>
          </w:p>
        </w:tc>
      </w:tr>
      <w:tr w14:paraId="47E09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13" w:hRule="atLeast"/>
          <w:jc w:val="center"/>
        </w:trPr>
        <w:tc>
          <w:tcPr>
            <w:tcW w:w="640" w:type="dxa"/>
            <w:vMerge w:val="continue"/>
            <w:tcBorders>
              <w:left w:val="single" w:color="auto" w:sz="4" w:space="0"/>
              <w:right w:val="single" w:color="auto" w:sz="4" w:space="0"/>
            </w:tcBorders>
            <w:vAlign w:val="center"/>
          </w:tcPr>
          <w:p w14:paraId="6A6F247A">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5509701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614" w:type="dxa"/>
            <w:tcBorders>
              <w:top w:val="single" w:color="auto" w:sz="4" w:space="0"/>
              <w:left w:val="single" w:color="auto" w:sz="4" w:space="0"/>
              <w:bottom w:val="single" w:color="auto" w:sz="4" w:space="0"/>
              <w:right w:val="single" w:color="auto" w:sz="4" w:space="0"/>
            </w:tcBorders>
            <w:vAlign w:val="center"/>
          </w:tcPr>
          <w:p w14:paraId="72A44A9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资质要求</w:t>
            </w:r>
          </w:p>
        </w:tc>
        <w:tc>
          <w:tcPr>
            <w:tcW w:w="5672" w:type="dxa"/>
            <w:tcBorders>
              <w:top w:val="single" w:color="auto" w:sz="4" w:space="0"/>
              <w:left w:val="single" w:color="auto" w:sz="4" w:space="0"/>
              <w:bottom w:val="single" w:color="auto" w:sz="4" w:space="0"/>
              <w:right w:val="single" w:color="auto" w:sz="4" w:space="0"/>
            </w:tcBorders>
            <w:vAlign w:val="center"/>
          </w:tcPr>
          <w:p w14:paraId="0AF284FD">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投标产品属于医疗器械管理范围的须提供医疗器械注册证。投标产品属于第二类医疗器械管理的，投标人应具有第二类医疗器械经营备案凭证（投标产品须在其经营范围内）；投标产品属于第三类医疗器械管理的，投标人应具有医疗器械经营许可证（投标产品须在其经营范围内）。投标人为制造厂家的：应具有医疗器械生产许可证（投标产品须在其生产范围内），且具有本条前述要求的相关医疗器械经营资质</w:t>
            </w:r>
            <w:r>
              <w:rPr>
                <w:rFonts w:hint="eastAsia" w:ascii="宋体" w:hAnsi="宋体" w:eastAsia="宋体" w:cs="宋体"/>
                <w:color w:val="auto"/>
                <w:sz w:val="24"/>
                <w:szCs w:val="24"/>
                <w:highlight w:val="none"/>
                <w:lang w:val="en-US" w:eastAsia="zh-CN"/>
              </w:rPr>
              <w:t>；</w:t>
            </w:r>
          </w:p>
        </w:tc>
      </w:tr>
      <w:tr w14:paraId="707D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900" w:hRule="atLeast"/>
          <w:jc w:val="center"/>
        </w:trPr>
        <w:tc>
          <w:tcPr>
            <w:tcW w:w="640" w:type="dxa"/>
            <w:vMerge w:val="continue"/>
            <w:tcBorders>
              <w:left w:val="single" w:color="auto" w:sz="4" w:space="0"/>
              <w:right w:val="single" w:color="auto" w:sz="4" w:space="0"/>
            </w:tcBorders>
            <w:vAlign w:val="center"/>
          </w:tcPr>
          <w:p w14:paraId="2E97BA0E">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73F4345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614" w:type="dxa"/>
            <w:tcBorders>
              <w:top w:val="single" w:color="auto" w:sz="4" w:space="0"/>
              <w:left w:val="single" w:color="auto" w:sz="4" w:space="0"/>
              <w:bottom w:val="single" w:color="auto" w:sz="4" w:space="0"/>
              <w:right w:val="single" w:color="auto" w:sz="4" w:space="0"/>
            </w:tcBorders>
            <w:shd w:val="clear" w:color="auto" w:fill="auto"/>
            <w:vAlign w:val="center"/>
          </w:tcPr>
          <w:p w14:paraId="1E210DFF">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非联合体投标</w:t>
            </w:r>
          </w:p>
        </w:tc>
        <w:tc>
          <w:tcPr>
            <w:tcW w:w="5672" w:type="dxa"/>
            <w:tcBorders>
              <w:top w:val="single" w:color="auto" w:sz="4" w:space="0"/>
              <w:left w:val="single" w:color="auto" w:sz="4" w:space="0"/>
              <w:bottom w:val="single" w:color="auto" w:sz="4" w:space="0"/>
              <w:right w:val="single" w:color="auto" w:sz="4" w:space="0"/>
            </w:tcBorders>
            <w:shd w:val="clear" w:color="auto" w:fill="auto"/>
            <w:vAlign w:val="center"/>
          </w:tcPr>
          <w:p w14:paraId="4E0C214C">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本项目不接受联合体投标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提供非联合体投标声明。</w:t>
            </w:r>
          </w:p>
        </w:tc>
      </w:tr>
      <w:tr w14:paraId="127FB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39" w:hRule="atLeast"/>
          <w:jc w:val="center"/>
        </w:trPr>
        <w:tc>
          <w:tcPr>
            <w:tcW w:w="640" w:type="dxa"/>
            <w:vMerge w:val="continue"/>
            <w:tcBorders>
              <w:left w:val="single" w:color="auto" w:sz="4" w:space="0"/>
              <w:bottom w:val="single" w:color="auto" w:sz="4" w:space="0"/>
              <w:right w:val="single" w:color="auto" w:sz="4" w:space="0"/>
            </w:tcBorders>
            <w:vAlign w:val="center"/>
          </w:tcPr>
          <w:p w14:paraId="5FDFBFDC">
            <w:pPr>
              <w:snapToGrid w:val="0"/>
              <w:spacing w:line="360" w:lineRule="auto"/>
              <w:ind w:firstLine="580"/>
              <w:rPr>
                <w:rFonts w:hint="eastAsia" w:ascii="宋体" w:hAnsi="宋体" w:eastAsia="宋体" w:cs="宋体"/>
                <w:color w:val="auto"/>
                <w:sz w:val="24"/>
                <w:szCs w:val="24"/>
                <w:highlight w:val="none"/>
              </w:rPr>
            </w:pPr>
          </w:p>
        </w:tc>
        <w:tc>
          <w:tcPr>
            <w:tcW w:w="8104" w:type="dxa"/>
            <w:gridSpan w:val="3"/>
            <w:tcBorders>
              <w:left w:val="single" w:color="auto" w:sz="4" w:space="0"/>
              <w:bottom w:val="single" w:color="auto" w:sz="4" w:space="0"/>
              <w:right w:val="single" w:color="auto" w:sz="4" w:space="0"/>
            </w:tcBorders>
            <w:vAlign w:val="center"/>
          </w:tcPr>
          <w:p w14:paraId="4E8F170C">
            <w:pPr>
              <w:keepNext w:val="0"/>
              <w:keepLines w:val="0"/>
              <w:pageBreakBefore w:val="0"/>
              <w:widowControl w:val="0"/>
              <w:kinsoku/>
              <w:wordWrap/>
              <w:overflowPunct/>
              <w:topLinePunct w:val="0"/>
              <w:autoSpaceDE/>
              <w:autoSpaceDN/>
              <w:bidi w:val="0"/>
              <w:adjustRightInd/>
              <w:snapToGrid w:val="0"/>
              <w:spacing w:line="4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注：以上资料审查不合格将视为非响应投标。</w:t>
            </w:r>
          </w:p>
        </w:tc>
      </w:tr>
      <w:tr w14:paraId="0B7AC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68" w:hRule="atLeast"/>
          <w:jc w:val="center"/>
        </w:trPr>
        <w:tc>
          <w:tcPr>
            <w:tcW w:w="640" w:type="dxa"/>
            <w:vMerge w:val="restart"/>
            <w:tcBorders>
              <w:top w:val="single" w:color="auto" w:sz="4" w:space="0"/>
              <w:left w:val="single" w:color="auto" w:sz="4" w:space="0"/>
              <w:right w:val="single" w:color="auto" w:sz="4" w:space="0"/>
            </w:tcBorders>
            <w:vAlign w:val="center"/>
          </w:tcPr>
          <w:p w14:paraId="4B55EA1B">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w:t>
            </w:r>
          </w:p>
          <w:p w14:paraId="286FD032">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w:t>
            </w:r>
          </w:p>
          <w:p w14:paraId="308109C6">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性</w:t>
            </w:r>
          </w:p>
          <w:p w14:paraId="20D83D87">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w:t>
            </w:r>
          </w:p>
          <w:p w14:paraId="566F9816">
            <w:pPr>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查</w:t>
            </w:r>
          </w:p>
        </w:tc>
        <w:tc>
          <w:tcPr>
            <w:tcW w:w="818" w:type="dxa"/>
            <w:tcBorders>
              <w:top w:val="single" w:color="auto" w:sz="4" w:space="0"/>
              <w:left w:val="single" w:color="auto" w:sz="4" w:space="0"/>
              <w:bottom w:val="single" w:color="auto" w:sz="4" w:space="0"/>
              <w:right w:val="single" w:color="auto" w:sz="4" w:space="0"/>
            </w:tcBorders>
            <w:vAlign w:val="center"/>
          </w:tcPr>
          <w:p w14:paraId="5157E6B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14" w:type="dxa"/>
            <w:tcBorders>
              <w:top w:val="single" w:color="auto" w:sz="4" w:space="0"/>
              <w:left w:val="single" w:color="auto" w:sz="4" w:space="0"/>
              <w:right w:val="single" w:color="auto" w:sz="4" w:space="0"/>
            </w:tcBorders>
            <w:vAlign w:val="center"/>
          </w:tcPr>
          <w:p w14:paraId="42A32D54">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5672" w:type="dxa"/>
            <w:tcBorders>
              <w:top w:val="single" w:color="auto" w:sz="4" w:space="0"/>
              <w:left w:val="single" w:color="auto" w:sz="4" w:space="0"/>
              <w:right w:val="single" w:color="auto" w:sz="4" w:space="0"/>
            </w:tcBorders>
            <w:vAlign w:val="center"/>
          </w:tcPr>
          <w:p w14:paraId="5C892916">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与营业执照、税务登记证和组织机构代码证一致</w:t>
            </w:r>
          </w:p>
        </w:tc>
      </w:tr>
      <w:tr w14:paraId="7365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10" w:hRule="atLeast"/>
          <w:jc w:val="center"/>
        </w:trPr>
        <w:tc>
          <w:tcPr>
            <w:tcW w:w="640" w:type="dxa"/>
            <w:vMerge w:val="continue"/>
            <w:tcBorders>
              <w:left w:val="single" w:color="auto" w:sz="4" w:space="0"/>
              <w:right w:val="single" w:color="auto" w:sz="4" w:space="0"/>
            </w:tcBorders>
            <w:vAlign w:val="center"/>
          </w:tcPr>
          <w:p w14:paraId="124AB9BA">
            <w:pPr>
              <w:snapToGrid w:val="0"/>
              <w:spacing w:line="360" w:lineRule="auto"/>
              <w:ind w:firstLine="580"/>
              <w:rPr>
                <w:rFonts w:hint="eastAsia" w:ascii="宋体" w:hAnsi="宋体" w:eastAsia="宋体" w:cs="宋体"/>
                <w:color w:val="auto"/>
                <w:sz w:val="24"/>
                <w:szCs w:val="24"/>
                <w:highlight w:val="none"/>
              </w:rPr>
            </w:pPr>
          </w:p>
        </w:tc>
        <w:tc>
          <w:tcPr>
            <w:tcW w:w="818" w:type="dxa"/>
            <w:tcBorders>
              <w:top w:val="single" w:color="auto" w:sz="4" w:space="0"/>
              <w:left w:val="single" w:color="auto" w:sz="4" w:space="0"/>
              <w:right w:val="single" w:color="auto" w:sz="4" w:space="0"/>
            </w:tcBorders>
            <w:vAlign w:val="center"/>
          </w:tcPr>
          <w:p w14:paraId="3CAF641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614" w:type="dxa"/>
            <w:tcBorders>
              <w:left w:val="single" w:color="auto" w:sz="4" w:space="0"/>
              <w:right w:val="single" w:color="auto" w:sz="4" w:space="0"/>
            </w:tcBorders>
            <w:vAlign w:val="center"/>
          </w:tcPr>
          <w:p w14:paraId="64F1F12D">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项目名称、项目编号</w:t>
            </w:r>
          </w:p>
        </w:tc>
        <w:tc>
          <w:tcPr>
            <w:tcW w:w="5672" w:type="dxa"/>
            <w:tcBorders>
              <w:left w:val="single" w:color="auto" w:sz="4" w:space="0"/>
              <w:right w:val="single" w:color="auto" w:sz="4" w:space="0"/>
            </w:tcBorders>
            <w:vAlign w:val="center"/>
          </w:tcPr>
          <w:p w14:paraId="4E485FC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本项目完全一致</w:t>
            </w:r>
          </w:p>
        </w:tc>
      </w:tr>
      <w:tr w14:paraId="50BBC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640" w:type="dxa"/>
            <w:vMerge w:val="continue"/>
            <w:tcBorders>
              <w:left w:val="single" w:color="auto" w:sz="4" w:space="0"/>
              <w:right w:val="single" w:color="auto" w:sz="4" w:space="0"/>
            </w:tcBorders>
            <w:vAlign w:val="center"/>
          </w:tcPr>
          <w:p w14:paraId="0CE5373E">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2196927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614" w:type="dxa"/>
            <w:tcBorders>
              <w:left w:val="single" w:color="auto" w:sz="4" w:space="0"/>
              <w:right w:val="single" w:color="auto" w:sz="4" w:space="0"/>
            </w:tcBorders>
            <w:vAlign w:val="center"/>
          </w:tcPr>
          <w:p w14:paraId="35FD092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投标文件的签署、盖章</w:t>
            </w:r>
          </w:p>
        </w:tc>
        <w:tc>
          <w:tcPr>
            <w:tcW w:w="5672" w:type="dxa"/>
            <w:tcBorders>
              <w:left w:val="single" w:color="auto" w:sz="4" w:space="0"/>
              <w:right w:val="single" w:color="auto" w:sz="4" w:space="0"/>
            </w:tcBorders>
            <w:vAlign w:val="center"/>
          </w:tcPr>
          <w:p w14:paraId="1952934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签署、盖章均符合招标文件要求，且无遗漏。</w:t>
            </w:r>
          </w:p>
        </w:tc>
      </w:tr>
      <w:tr w14:paraId="6F7A9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640" w:type="dxa"/>
            <w:vMerge w:val="continue"/>
            <w:tcBorders>
              <w:left w:val="single" w:color="auto" w:sz="4" w:space="0"/>
              <w:right w:val="single" w:color="auto" w:sz="4" w:space="0"/>
            </w:tcBorders>
            <w:vAlign w:val="center"/>
          </w:tcPr>
          <w:p w14:paraId="6A07DD50">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7FAF427E">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614" w:type="dxa"/>
            <w:tcBorders>
              <w:left w:val="single" w:color="auto" w:sz="4" w:space="0"/>
              <w:right w:val="single" w:color="auto" w:sz="4" w:space="0"/>
            </w:tcBorders>
            <w:vAlign w:val="center"/>
          </w:tcPr>
          <w:p w14:paraId="0A58A81A">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投标内容</w:t>
            </w:r>
          </w:p>
        </w:tc>
        <w:tc>
          <w:tcPr>
            <w:tcW w:w="5672" w:type="dxa"/>
            <w:tcBorders>
              <w:left w:val="single" w:color="auto" w:sz="4" w:space="0"/>
              <w:right w:val="single" w:color="auto" w:sz="4" w:space="0"/>
            </w:tcBorders>
            <w:vAlign w:val="center"/>
          </w:tcPr>
          <w:p w14:paraId="39BF40B9">
            <w:pPr>
              <w:keepNext w:val="0"/>
              <w:keepLines w:val="0"/>
              <w:pageBreakBefore w:val="0"/>
              <w:widowControl w:val="0"/>
              <w:kinsoku/>
              <w:wordWrap/>
              <w:overflowPunct/>
              <w:topLinePunct w:val="0"/>
              <w:autoSpaceDE/>
              <w:autoSpaceDN/>
              <w:bidi w:val="0"/>
              <w:adjustRightInd/>
              <w:snapToGrid w:val="0"/>
              <w:spacing w:line="40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投标内容不存在漏项或数量与要求不符合招标文件规定情形，投标内容满足招标文件的商务要求、技术中实质性要求。</w:t>
            </w:r>
          </w:p>
        </w:tc>
      </w:tr>
      <w:tr w14:paraId="498B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640" w:type="dxa"/>
            <w:vMerge w:val="continue"/>
            <w:tcBorders>
              <w:left w:val="single" w:color="auto" w:sz="4" w:space="0"/>
              <w:right w:val="single" w:color="auto" w:sz="4" w:space="0"/>
            </w:tcBorders>
            <w:vAlign w:val="center"/>
          </w:tcPr>
          <w:p w14:paraId="6421AED5">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1D8A59F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1614" w:type="dxa"/>
            <w:tcBorders>
              <w:left w:val="single" w:color="auto" w:sz="4" w:space="0"/>
              <w:right w:val="single" w:color="auto" w:sz="4" w:space="0"/>
            </w:tcBorders>
            <w:vAlign w:val="center"/>
          </w:tcPr>
          <w:p w14:paraId="5E0B0601">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5672" w:type="dxa"/>
            <w:tcBorders>
              <w:left w:val="single" w:color="auto" w:sz="4" w:space="0"/>
              <w:right w:val="single" w:color="auto" w:sz="4" w:space="0"/>
            </w:tcBorders>
            <w:vAlign w:val="center"/>
          </w:tcPr>
          <w:p w14:paraId="7E76D5E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符合招标文件要求</w:t>
            </w:r>
          </w:p>
        </w:tc>
      </w:tr>
      <w:tr w14:paraId="6B80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80" w:hRule="atLeast"/>
          <w:jc w:val="center"/>
        </w:trPr>
        <w:tc>
          <w:tcPr>
            <w:tcW w:w="640" w:type="dxa"/>
            <w:vMerge w:val="continue"/>
            <w:tcBorders>
              <w:left w:val="single" w:color="auto" w:sz="4" w:space="0"/>
              <w:right w:val="single" w:color="auto" w:sz="4" w:space="0"/>
            </w:tcBorders>
            <w:vAlign w:val="center"/>
          </w:tcPr>
          <w:p w14:paraId="2FB6BAD7">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6756CCF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1614" w:type="dxa"/>
            <w:tcBorders>
              <w:left w:val="single" w:color="auto" w:sz="4" w:space="0"/>
              <w:right w:val="single" w:color="auto" w:sz="4" w:space="0"/>
            </w:tcBorders>
            <w:vAlign w:val="center"/>
          </w:tcPr>
          <w:p w14:paraId="26D1105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5672" w:type="dxa"/>
            <w:tcBorders>
              <w:left w:val="single" w:color="auto" w:sz="4" w:space="0"/>
              <w:right w:val="single" w:color="auto" w:sz="4" w:space="0"/>
            </w:tcBorders>
            <w:vAlign w:val="center"/>
          </w:tcPr>
          <w:p w14:paraId="3922088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符合招标文件规定</w:t>
            </w:r>
          </w:p>
        </w:tc>
      </w:tr>
      <w:tr w14:paraId="12AA8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72" w:hRule="atLeast"/>
          <w:jc w:val="center"/>
        </w:trPr>
        <w:tc>
          <w:tcPr>
            <w:tcW w:w="640" w:type="dxa"/>
            <w:vMerge w:val="continue"/>
            <w:tcBorders>
              <w:left w:val="single" w:color="auto" w:sz="4" w:space="0"/>
              <w:right w:val="single" w:color="auto" w:sz="4" w:space="0"/>
            </w:tcBorders>
            <w:vAlign w:val="center"/>
          </w:tcPr>
          <w:p w14:paraId="5E1C1ABE">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06B2BF32">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1614" w:type="dxa"/>
            <w:tcBorders>
              <w:left w:val="single" w:color="auto" w:sz="4" w:space="0"/>
              <w:right w:val="single" w:color="auto" w:sz="4" w:space="0"/>
            </w:tcBorders>
            <w:vAlign w:val="center"/>
          </w:tcPr>
          <w:p w14:paraId="4FCE41AC">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交货期</w:t>
            </w:r>
          </w:p>
        </w:tc>
        <w:tc>
          <w:tcPr>
            <w:tcW w:w="5672" w:type="dxa"/>
            <w:tcBorders>
              <w:left w:val="single" w:color="auto" w:sz="4" w:space="0"/>
              <w:right w:val="single" w:color="auto" w:sz="4" w:space="0"/>
            </w:tcBorders>
            <w:vAlign w:val="center"/>
          </w:tcPr>
          <w:p w14:paraId="19A8C66B">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符合招标文件要求</w:t>
            </w:r>
          </w:p>
        </w:tc>
      </w:tr>
      <w:tr w14:paraId="2DF58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93" w:hRule="atLeast"/>
          <w:jc w:val="center"/>
        </w:trPr>
        <w:tc>
          <w:tcPr>
            <w:tcW w:w="640" w:type="dxa"/>
            <w:vMerge w:val="continue"/>
            <w:tcBorders>
              <w:left w:val="single" w:color="auto" w:sz="4" w:space="0"/>
              <w:right w:val="single" w:color="auto" w:sz="4" w:space="0"/>
            </w:tcBorders>
            <w:vAlign w:val="center"/>
          </w:tcPr>
          <w:p w14:paraId="44C2B45C">
            <w:pPr>
              <w:snapToGrid w:val="0"/>
              <w:spacing w:line="360" w:lineRule="auto"/>
              <w:ind w:firstLine="580"/>
              <w:rPr>
                <w:rFonts w:hint="eastAsia" w:ascii="宋体" w:hAnsi="宋体" w:eastAsia="宋体" w:cs="宋体"/>
                <w:color w:val="auto"/>
                <w:sz w:val="24"/>
                <w:szCs w:val="24"/>
                <w:highlight w:val="none"/>
              </w:rPr>
            </w:pPr>
          </w:p>
        </w:tc>
        <w:tc>
          <w:tcPr>
            <w:tcW w:w="818" w:type="dxa"/>
            <w:tcBorders>
              <w:left w:val="single" w:color="auto" w:sz="4" w:space="0"/>
              <w:right w:val="single" w:color="auto" w:sz="4" w:space="0"/>
            </w:tcBorders>
            <w:vAlign w:val="center"/>
          </w:tcPr>
          <w:p w14:paraId="28EC9186">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1614" w:type="dxa"/>
            <w:tcBorders>
              <w:left w:val="single" w:color="auto" w:sz="4" w:space="0"/>
              <w:bottom w:val="single" w:color="auto" w:sz="4" w:space="0"/>
              <w:right w:val="single" w:color="auto" w:sz="4" w:space="0"/>
            </w:tcBorders>
            <w:vAlign w:val="center"/>
          </w:tcPr>
          <w:p w14:paraId="4B2A0A57">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w:t>
            </w:r>
          </w:p>
        </w:tc>
        <w:tc>
          <w:tcPr>
            <w:tcW w:w="5672" w:type="dxa"/>
            <w:tcBorders>
              <w:left w:val="single" w:color="auto" w:sz="4" w:space="0"/>
              <w:bottom w:val="single" w:color="auto" w:sz="4" w:space="0"/>
              <w:right w:val="single" w:color="auto" w:sz="4" w:space="0"/>
            </w:tcBorders>
            <w:vAlign w:val="center"/>
          </w:tcPr>
          <w:p w14:paraId="64164DE3">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没有出现法律法规或招标文件明确规定的其他被视为“无效投标”的情形。</w:t>
            </w:r>
          </w:p>
        </w:tc>
      </w:tr>
    </w:tbl>
    <w:p w14:paraId="5281F99C">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评标委员会将审查每份投标文件是否实质上响应了招标文件的要求。实质上响应的投标应该是与招标文件要求的全部条款、条件和规格相符，没有</w:t>
      </w:r>
      <w:r>
        <w:rPr>
          <w:rFonts w:hint="eastAsia" w:ascii="宋体" w:hAnsi="宋体" w:eastAsia="宋体" w:cs="宋体"/>
          <w:color w:val="auto"/>
          <w:sz w:val="24"/>
          <w:szCs w:val="24"/>
          <w:highlight w:val="none"/>
          <w:lang w:val="en-US" w:eastAsia="zh-CN"/>
        </w:rPr>
        <w:t>重大</w:t>
      </w:r>
      <w:r>
        <w:rPr>
          <w:rFonts w:hint="eastAsia" w:ascii="宋体" w:hAnsi="宋体" w:eastAsia="宋体" w:cs="宋体"/>
          <w:color w:val="auto"/>
          <w:sz w:val="24"/>
          <w:szCs w:val="24"/>
          <w:highlight w:val="none"/>
        </w:rPr>
        <w:t>偏离</w:t>
      </w:r>
      <w:r>
        <w:rPr>
          <w:rFonts w:hint="eastAsia" w:ascii="宋体" w:hAnsi="宋体" w:eastAsia="宋体" w:cs="宋体"/>
          <w:color w:val="auto"/>
          <w:sz w:val="24"/>
          <w:szCs w:val="24"/>
          <w:highlight w:val="none"/>
          <w:lang w:val="en-US" w:eastAsia="zh-CN"/>
        </w:rPr>
        <w:t>或保留</w:t>
      </w:r>
      <w:r>
        <w:rPr>
          <w:rFonts w:hint="eastAsia" w:ascii="宋体" w:hAnsi="宋体" w:eastAsia="宋体" w:cs="宋体"/>
          <w:color w:val="auto"/>
          <w:sz w:val="24"/>
          <w:szCs w:val="24"/>
          <w:highlight w:val="none"/>
        </w:rPr>
        <w:t>的投标。对关键条文的偏离、保留或反对将被认为是实质上的偏离。重大偏离或保留是指实质上影响供货范围、质量和性能；或者实质上与招标文件不一致，而且限制了采购人的权利或供应商的义务。纠正这些偏离或保留将会对其他实质上响应要求的供应商的竞争地位产生不公正的影响。对于投标文件中不构成实质性偏差的不正规、不一致或不规则，采购人可以接受，但这种接受将影响供应商的综合得分。评标委员会只根据投标文件本身的内容确定投标文件的响应性，而不寻求外部的证据。</w:t>
      </w:r>
    </w:p>
    <w:p w14:paraId="7D953DA3">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如发现下列情况之一的，将视为非响应：</w:t>
      </w:r>
    </w:p>
    <w:p w14:paraId="51C589D2">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（1）投标文件无供应商公章、无法定代表人签字或签字人无法定代表人有效授权书的；</w:t>
      </w:r>
    </w:p>
    <w:p w14:paraId="433664FF">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（2）提供的必备资格证明文件不全、无效或达不到招标文件规定要求的；</w:t>
      </w:r>
    </w:p>
    <w:p w14:paraId="1C5D2DBA">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（3）投标有效期不足的；</w:t>
      </w:r>
    </w:p>
    <w:p w14:paraId="0D516410">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（4）供应商不接受</w:t>
      </w:r>
      <w:r>
        <w:rPr>
          <w:rFonts w:hint="eastAsia" w:ascii="宋体" w:hAnsi="宋体" w:cs="宋体"/>
          <w:color w:val="auto"/>
          <w:sz w:val="24"/>
          <w:szCs w:val="24"/>
          <w:highlight w:val="none"/>
          <w:lang w:val="en-US" w:eastAsia="zh-CN"/>
        </w:rPr>
        <w:t>投标人须知</w:t>
      </w:r>
      <w:r>
        <w:rPr>
          <w:rFonts w:hint="eastAsia" w:ascii="宋体" w:hAnsi="宋体" w:eastAsia="宋体" w:cs="宋体"/>
          <w:color w:val="auto"/>
          <w:sz w:val="24"/>
          <w:szCs w:val="24"/>
          <w:highlight w:val="none"/>
        </w:rPr>
        <w:t>规定的或投标文件附有采购人不能接受的条件的；</w:t>
      </w:r>
    </w:p>
    <w:p w14:paraId="5485D08E">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（5）工期或付款支付方式不满足文件要求的；</w:t>
      </w:r>
    </w:p>
    <w:p w14:paraId="30510505">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（6）供应商提供虚假证明资料，除按无效标处理外，还将上报政府采购管理部门按照有关规定进行处罚；</w:t>
      </w:r>
    </w:p>
    <w:p w14:paraId="1569BB79">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 如果投标文件实质上没有响应招标文件的要求，评标委员会将予以拒绝，供应商不得通过修正或撤销</w:t>
      </w:r>
      <w:r>
        <w:rPr>
          <w:rFonts w:hint="eastAsia" w:ascii="宋体" w:hAnsi="宋体" w:cs="宋体"/>
          <w:color w:val="auto"/>
          <w:sz w:val="24"/>
          <w:szCs w:val="24"/>
          <w:highlight w:val="none"/>
          <w:lang w:eastAsia="zh-CN"/>
        </w:rPr>
        <w:t>不符</w:t>
      </w:r>
      <w:r>
        <w:rPr>
          <w:rFonts w:hint="eastAsia" w:ascii="宋体" w:hAnsi="宋体" w:eastAsia="宋体" w:cs="宋体"/>
          <w:color w:val="auto"/>
          <w:sz w:val="24"/>
          <w:szCs w:val="24"/>
          <w:highlight w:val="none"/>
        </w:rPr>
        <w:t>合要求的偏离从而使其投标成为实质上响应的投标。</w:t>
      </w:r>
    </w:p>
    <w:p w14:paraId="0537CEEC">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 评标委员会将只对确定为实质上响应的投标进行审核，看其是否有计算上和累加上的算术错误，修正错误的原则如下：</w:t>
      </w:r>
    </w:p>
    <w:p w14:paraId="676FAEFB">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1）投标报价表中内容与投标文件投标分项报价表内容不一致的，应以投标报价表为准；</w:t>
      </w:r>
    </w:p>
    <w:p w14:paraId="56007272">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2）投标文件的大写金额和小写金额不一致的，以大写金额为准；总价金额与按单价汇总金额不一致的，以单价金额计算结果为准；单价金额小数点有明显错位的，应以总价为准，并修改单价；</w:t>
      </w:r>
    </w:p>
    <w:p w14:paraId="71DA415B">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 评标委员会将按上述修正错误的原则调整投标文件中的投标报价，调整后的价格应对供应商具有约束力。如果供应商不接受修正后的价格，则其投标将被拒绝。</w:t>
      </w:r>
    </w:p>
    <w:p w14:paraId="5F8494F4">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投标文件的详细评审</w:t>
      </w:r>
    </w:p>
    <w:p w14:paraId="1F94C2E8">
      <w:pPr>
        <w:keepNext w:val="0"/>
        <w:keepLines w:val="0"/>
        <w:pageBreakBefore w:val="0"/>
        <w:widowControl w:val="0"/>
        <w:kinsoku/>
        <w:wordWrap/>
        <w:overflowPunct/>
        <w:topLinePunct w:val="0"/>
        <w:autoSpaceDE/>
        <w:autoSpaceDN/>
        <w:bidi w:val="0"/>
        <w:adjustRightInd/>
        <w:snapToGrid w:val="0"/>
        <w:spacing w:line="500" w:lineRule="exac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评标委员会将按照第22条规定只对确定为实质上响应招标文件要求的投标进行详细的评价和比较。</w:t>
      </w:r>
    </w:p>
    <w:p w14:paraId="71B03F52">
      <w:pPr>
        <w:keepNext w:val="0"/>
        <w:keepLines w:val="0"/>
        <w:pageBreakBefore w:val="0"/>
        <w:widowControl w:val="0"/>
        <w:kinsoku/>
        <w:wordWrap/>
        <w:overflowPunct/>
        <w:topLinePunct w:val="0"/>
        <w:autoSpaceDE/>
        <w:autoSpaceDN/>
        <w:bidi w:val="0"/>
        <w:adjustRightInd/>
        <w:spacing w:line="500" w:lineRule="exact"/>
        <w:ind w:left="63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3.</w:t>
      </w:r>
      <w:r>
        <w:rPr>
          <w:rFonts w:hint="eastAsia" w:ascii="宋体" w:hAnsi="宋体" w:eastAsia="宋体" w:cs="宋体"/>
          <w:b/>
          <w:bCs/>
          <w:color w:val="auto"/>
          <w:sz w:val="24"/>
          <w:szCs w:val="24"/>
          <w:highlight w:val="none"/>
        </w:rPr>
        <w:t>评标办法及内容</w:t>
      </w:r>
    </w:p>
    <w:tbl>
      <w:tblPr>
        <w:tblStyle w:val="28"/>
        <w:tblW w:w="884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1230"/>
        <w:gridCol w:w="983"/>
        <w:gridCol w:w="5965"/>
      </w:tblGrid>
      <w:tr w14:paraId="0F3333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jc w:val="center"/>
        </w:trPr>
        <w:tc>
          <w:tcPr>
            <w:tcW w:w="663" w:type="dxa"/>
            <w:vAlign w:val="center"/>
          </w:tcPr>
          <w:p w14:paraId="13503BA2">
            <w:pPr>
              <w:pStyle w:val="27"/>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6"/>
                <w:sz w:val="24"/>
                <w:szCs w:val="24"/>
                <w14:textOutline w14:w="3797" w14:cap="sq" w14:cmpd="sng" w14:algn="ctr">
                  <w14:solidFill>
                    <w14:srgbClr w14:val="000000"/>
                  </w14:solidFill>
                  <w14:prstDash w14:val="solid"/>
                  <w14:bevel/>
                </w14:textOutline>
              </w:rPr>
              <w:t>序号</w:t>
            </w:r>
          </w:p>
        </w:tc>
        <w:tc>
          <w:tcPr>
            <w:tcW w:w="1230" w:type="dxa"/>
            <w:vAlign w:val="center"/>
          </w:tcPr>
          <w:p w14:paraId="4B0C8399">
            <w:pPr>
              <w:pStyle w:val="27"/>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8"/>
                <w:sz w:val="24"/>
                <w:szCs w:val="24"/>
                <w14:textOutline w14:w="3797" w14:cap="sq" w14:cmpd="sng" w14:algn="ctr">
                  <w14:solidFill>
                    <w14:srgbClr w14:val="000000"/>
                  </w14:solidFill>
                  <w14:prstDash w14:val="solid"/>
                  <w14:bevel/>
                </w14:textOutline>
              </w:rPr>
              <w:t>评审要素</w:t>
            </w:r>
          </w:p>
        </w:tc>
        <w:tc>
          <w:tcPr>
            <w:tcW w:w="983" w:type="dxa"/>
            <w:vAlign w:val="center"/>
          </w:tcPr>
          <w:p w14:paraId="332C2011">
            <w:pPr>
              <w:pStyle w:val="27"/>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4"/>
                <w:sz w:val="24"/>
                <w:szCs w:val="24"/>
                <w14:textOutline w14:w="3797" w14:cap="sq" w14:cmpd="sng" w14:algn="ctr">
                  <w14:solidFill>
                    <w14:srgbClr w14:val="000000"/>
                  </w14:solidFill>
                  <w14:prstDash w14:val="solid"/>
                  <w14:bevel/>
                </w14:textOutline>
              </w:rPr>
              <w:t>分值</w:t>
            </w:r>
          </w:p>
        </w:tc>
        <w:tc>
          <w:tcPr>
            <w:tcW w:w="5965" w:type="dxa"/>
            <w:vAlign w:val="center"/>
          </w:tcPr>
          <w:p w14:paraId="7EC60B9B">
            <w:pPr>
              <w:pStyle w:val="27"/>
              <w:keepNext w:val="0"/>
              <w:keepLines w:val="0"/>
              <w:pageBreakBefore w:val="0"/>
              <w:kinsoku/>
              <w:wordWrap/>
              <w:overflowPunct/>
              <w:topLinePunct w:val="0"/>
              <w:autoSpaceDE/>
              <w:autoSpaceDN/>
              <w:bidi w:val="0"/>
              <w:adjustRightInd/>
              <w:snapToGrid/>
              <w:spacing w:line="400" w:lineRule="exact"/>
              <w:ind w:left="0"/>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8"/>
                <w:sz w:val="24"/>
                <w:szCs w:val="24"/>
                <w14:textOutline w14:w="3797" w14:cap="sq" w14:cmpd="sng" w14:algn="ctr">
                  <w14:solidFill>
                    <w14:srgbClr w14:val="000000"/>
                  </w14:solidFill>
                  <w14:prstDash w14:val="solid"/>
                  <w14:bevel/>
                </w14:textOutline>
              </w:rPr>
              <w:t>赋分标准</w:t>
            </w:r>
          </w:p>
        </w:tc>
      </w:tr>
      <w:tr w14:paraId="26AE46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3" w:hRule="atLeast"/>
          <w:jc w:val="center"/>
        </w:trPr>
        <w:tc>
          <w:tcPr>
            <w:tcW w:w="663" w:type="dxa"/>
            <w:vAlign w:val="center"/>
          </w:tcPr>
          <w:p w14:paraId="3BBB504A">
            <w:pPr>
              <w:pStyle w:val="27"/>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30" w:type="dxa"/>
            <w:vAlign w:val="center"/>
          </w:tcPr>
          <w:p w14:paraId="49161940">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6"/>
                <w:sz w:val="24"/>
                <w:szCs w:val="24"/>
              </w:rPr>
              <w:t>投标报价</w:t>
            </w:r>
          </w:p>
        </w:tc>
        <w:tc>
          <w:tcPr>
            <w:tcW w:w="983" w:type="dxa"/>
            <w:vAlign w:val="center"/>
          </w:tcPr>
          <w:p w14:paraId="2E0B5D02">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30</w:t>
            </w:r>
            <w:r>
              <w:rPr>
                <w:rFonts w:hint="eastAsia" w:ascii="宋体" w:hAnsi="宋体" w:eastAsia="宋体" w:cs="宋体"/>
                <w:color w:val="auto"/>
                <w:spacing w:val="-1"/>
                <w:sz w:val="24"/>
                <w:szCs w:val="24"/>
              </w:rPr>
              <w:t>分</w:t>
            </w:r>
          </w:p>
        </w:tc>
        <w:tc>
          <w:tcPr>
            <w:tcW w:w="5965" w:type="dxa"/>
            <w:vAlign w:val="center"/>
          </w:tcPr>
          <w:p w14:paraId="70282424">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center"/>
              <w:textAlignment w:val="auto"/>
              <w:rPr>
                <w:rFonts w:hint="eastAsia" w:ascii="宋体" w:hAnsi="宋体" w:eastAsia="宋体" w:cs="宋体"/>
                <w:color w:val="auto"/>
                <w:spacing w:val="7"/>
                <w:kern w:val="2"/>
                <w:sz w:val="24"/>
                <w:szCs w:val="24"/>
                <w:lang w:val="en-US" w:eastAsia="zh-CN" w:bidi="ar-SA"/>
              </w:rPr>
            </w:pPr>
            <w:r>
              <w:rPr>
                <w:rFonts w:hint="eastAsia" w:ascii="宋体" w:hAnsi="宋体" w:eastAsia="宋体" w:cs="宋体"/>
                <w:color w:val="auto"/>
                <w:spacing w:val="7"/>
                <w:kern w:val="2"/>
                <w:sz w:val="24"/>
                <w:szCs w:val="24"/>
                <w:lang w:val="en-US" w:eastAsia="zh-CN" w:bidi="ar-SA"/>
              </w:rPr>
              <w:t>以满足招标文件要求且投标价格最低的投标报价为评标基准价</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其价格分为满分30分</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其他供应商的价格分按照下列公式计算：</w:t>
            </w:r>
          </w:p>
          <w:p w14:paraId="0DAE639B">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center"/>
              <w:textAlignment w:val="auto"/>
              <w:rPr>
                <w:rFonts w:hint="eastAsia" w:ascii="宋体" w:hAnsi="宋体" w:eastAsia="宋体" w:cs="宋体"/>
                <w:color w:val="auto"/>
                <w:spacing w:val="7"/>
                <w:kern w:val="2"/>
                <w:sz w:val="24"/>
                <w:szCs w:val="24"/>
                <w:lang w:val="en-US" w:eastAsia="zh-CN" w:bidi="ar-SA"/>
              </w:rPr>
            </w:pPr>
            <w:r>
              <w:rPr>
                <w:rFonts w:hint="eastAsia" w:ascii="宋体" w:hAnsi="宋体" w:eastAsia="宋体" w:cs="宋体"/>
                <w:color w:val="auto"/>
                <w:spacing w:val="7"/>
                <w:kern w:val="2"/>
                <w:sz w:val="24"/>
                <w:szCs w:val="24"/>
                <w:lang w:val="en-US" w:eastAsia="zh-CN" w:bidi="ar-SA"/>
              </w:rPr>
              <w:t xml:space="preserve">投标报价得分= </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评标基准价/投标报价</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×30</w:t>
            </w:r>
          </w:p>
          <w:p w14:paraId="011B7D52">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pacing w:val="7"/>
                <w:kern w:val="2"/>
                <w:sz w:val="24"/>
                <w:szCs w:val="24"/>
                <w:lang w:val="en-US" w:eastAsia="zh-CN" w:bidi="ar-SA"/>
              </w:rPr>
              <w:t>注：投标报价明显低于其他投标人，经评标委员会质询后不能</w:t>
            </w:r>
            <w:r>
              <w:rPr>
                <w:rFonts w:hint="eastAsia" w:cs="宋体"/>
                <w:color w:val="auto"/>
                <w:spacing w:val="7"/>
                <w:kern w:val="2"/>
                <w:sz w:val="24"/>
                <w:szCs w:val="24"/>
                <w:lang w:val="en-US" w:eastAsia="zh-CN" w:bidi="ar-SA"/>
              </w:rPr>
              <w:t>在规定时间</w:t>
            </w:r>
            <w:r>
              <w:rPr>
                <w:rFonts w:hint="eastAsia" w:ascii="宋体" w:hAnsi="宋体" w:eastAsia="宋体" w:cs="宋体"/>
                <w:color w:val="auto"/>
                <w:spacing w:val="7"/>
                <w:kern w:val="2"/>
                <w:sz w:val="24"/>
                <w:szCs w:val="24"/>
                <w:lang w:val="en-US" w:eastAsia="zh-CN" w:bidi="ar-SA"/>
              </w:rPr>
              <w:t>内说明理由，或说明理由但评标委员会认为理由不能成立的，客观上形成不良竞争，按无效标处理。</w:t>
            </w:r>
          </w:p>
        </w:tc>
      </w:tr>
      <w:tr w14:paraId="080B4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2" w:hRule="atLeast"/>
          <w:jc w:val="center"/>
        </w:trPr>
        <w:tc>
          <w:tcPr>
            <w:tcW w:w="663" w:type="dxa"/>
            <w:vAlign w:val="center"/>
          </w:tcPr>
          <w:p w14:paraId="6AB87DFF">
            <w:pPr>
              <w:pStyle w:val="27"/>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230" w:type="dxa"/>
            <w:vAlign w:val="center"/>
          </w:tcPr>
          <w:p w14:paraId="77C24225">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节能、环境标志产品</w:t>
            </w:r>
          </w:p>
        </w:tc>
        <w:tc>
          <w:tcPr>
            <w:tcW w:w="983" w:type="dxa"/>
            <w:vAlign w:val="top"/>
          </w:tcPr>
          <w:p w14:paraId="65035E81">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p>
          <w:p w14:paraId="06AC4E90">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p>
          <w:p w14:paraId="3197064E">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p>
          <w:p w14:paraId="460C919F">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p>
          <w:p w14:paraId="485C4EDE">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p>
          <w:p w14:paraId="59BF8724">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p>
          <w:p w14:paraId="49FB082F">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p>
          <w:p w14:paraId="5059677C">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p>
          <w:p w14:paraId="5591F527">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1分</w:t>
            </w:r>
          </w:p>
        </w:tc>
        <w:tc>
          <w:tcPr>
            <w:tcW w:w="5965" w:type="dxa"/>
            <w:vAlign w:val="center"/>
          </w:tcPr>
          <w:p w14:paraId="34D397A6">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both"/>
              <w:textAlignment w:val="auto"/>
              <w:rPr>
                <w:rFonts w:hint="eastAsia" w:ascii="宋体" w:hAnsi="宋体" w:eastAsia="宋体" w:cs="宋体"/>
                <w:color w:val="auto"/>
                <w:spacing w:val="7"/>
                <w:kern w:val="2"/>
                <w:sz w:val="24"/>
                <w:szCs w:val="24"/>
                <w:lang w:val="en-US" w:eastAsia="zh-CN" w:bidi="ar-SA"/>
              </w:rPr>
            </w:pPr>
            <w:r>
              <w:rPr>
                <w:rFonts w:hint="eastAsia" w:ascii="宋体" w:hAnsi="宋体" w:eastAsia="宋体" w:cs="宋体"/>
                <w:color w:val="auto"/>
                <w:spacing w:val="7"/>
                <w:kern w:val="2"/>
                <w:sz w:val="24"/>
                <w:szCs w:val="24"/>
                <w:lang w:val="en-US" w:eastAsia="zh-CN" w:bidi="ar-SA"/>
              </w:rPr>
              <w:t>投标人所投产品属于节能产品、环境标志产品优先采购范围（除政府强制采购的节能产品外）：</w:t>
            </w:r>
          </w:p>
          <w:p w14:paraId="65DF59E0">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both"/>
              <w:textAlignment w:val="auto"/>
              <w:rPr>
                <w:rFonts w:hint="eastAsia" w:ascii="宋体" w:hAnsi="宋体" w:eastAsia="宋体" w:cs="宋体"/>
                <w:color w:val="auto"/>
                <w:spacing w:val="7"/>
                <w:kern w:val="2"/>
                <w:sz w:val="24"/>
                <w:szCs w:val="24"/>
                <w:lang w:val="en-US" w:eastAsia="zh-CN" w:bidi="ar-SA"/>
              </w:rPr>
            </w:pPr>
            <w:r>
              <w:rPr>
                <w:rFonts w:hint="eastAsia" w:cs="宋体"/>
                <w:color w:val="auto"/>
                <w:spacing w:val="7"/>
                <w:kern w:val="2"/>
                <w:sz w:val="24"/>
                <w:szCs w:val="24"/>
                <w:lang w:val="en-US" w:eastAsia="zh-CN" w:bidi="ar-SA"/>
              </w:rPr>
              <w:t>1.</w:t>
            </w:r>
            <w:r>
              <w:rPr>
                <w:rFonts w:hint="eastAsia" w:ascii="宋体" w:hAnsi="宋体" w:eastAsia="宋体" w:cs="宋体"/>
                <w:color w:val="auto"/>
                <w:spacing w:val="7"/>
                <w:kern w:val="2"/>
                <w:sz w:val="24"/>
                <w:szCs w:val="24"/>
                <w:lang w:val="en-US" w:eastAsia="zh-CN" w:bidi="ar-SA"/>
              </w:rPr>
              <w:t>所投产品属于节能产品得 0.5 分；</w:t>
            </w:r>
          </w:p>
          <w:p w14:paraId="5B4E54A3">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both"/>
              <w:textAlignment w:val="auto"/>
              <w:rPr>
                <w:rFonts w:hint="eastAsia" w:ascii="宋体" w:hAnsi="宋体" w:eastAsia="宋体" w:cs="宋体"/>
                <w:color w:val="auto"/>
                <w:spacing w:val="7"/>
                <w:kern w:val="2"/>
                <w:sz w:val="24"/>
                <w:szCs w:val="24"/>
                <w:lang w:val="en-US" w:eastAsia="zh-CN" w:bidi="ar-SA"/>
              </w:rPr>
            </w:pPr>
            <w:r>
              <w:rPr>
                <w:rFonts w:hint="eastAsia" w:ascii="宋体" w:hAnsi="宋体" w:eastAsia="宋体" w:cs="宋体"/>
                <w:color w:val="auto"/>
                <w:spacing w:val="7"/>
                <w:kern w:val="2"/>
                <w:sz w:val="24"/>
                <w:szCs w:val="24"/>
                <w:lang w:val="en-US" w:eastAsia="zh-CN" w:bidi="ar-SA"/>
              </w:rPr>
              <w:t>评审依据：所投产品具有国家确定的认证机构出具的、处于有效期之内的节能产品认证证书（提供证书扫描件）。</w:t>
            </w:r>
          </w:p>
          <w:p w14:paraId="37F8EA07">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both"/>
              <w:textAlignment w:val="auto"/>
              <w:rPr>
                <w:rFonts w:hint="eastAsia" w:ascii="宋体" w:hAnsi="宋体" w:eastAsia="宋体" w:cs="宋体"/>
                <w:color w:val="auto"/>
                <w:spacing w:val="7"/>
                <w:kern w:val="2"/>
                <w:sz w:val="24"/>
                <w:szCs w:val="24"/>
                <w:lang w:val="en-US" w:eastAsia="zh-CN" w:bidi="ar-SA"/>
              </w:rPr>
            </w:pPr>
            <w:r>
              <w:rPr>
                <w:rFonts w:hint="eastAsia" w:cs="宋体"/>
                <w:color w:val="auto"/>
                <w:spacing w:val="7"/>
                <w:kern w:val="2"/>
                <w:sz w:val="24"/>
                <w:szCs w:val="24"/>
                <w:lang w:val="en-US" w:eastAsia="zh-CN" w:bidi="ar-SA"/>
              </w:rPr>
              <w:t>2.</w:t>
            </w:r>
            <w:r>
              <w:rPr>
                <w:rFonts w:hint="eastAsia" w:ascii="宋体" w:hAnsi="宋体" w:eastAsia="宋体" w:cs="宋体"/>
                <w:color w:val="auto"/>
                <w:spacing w:val="7"/>
                <w:kern w:val="2"/>
                <w:sz w:val="24"/>
                <w:szCs w:val="24"/>
                <w:lang w:val="en-US" w:eastAsia="zh-CN" w:bidi="ar-SA"/>
              </w:rPr>
              <w:t>所投产品属于环境标志产品得 0.5 分；</w:t>
            </w:r>
          </w:p>
          <w:p w14:paraId="48024EDB">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both"/>
              <w:textAlignment w:val="auto"/>
              <w:rPr>
                <w:rFonts w:hint="eastAsia" w:ascii="宋体" w:hAnsi="宋体" w:eastAsia="宋体" w:cs="宋体"/>
                <w:color w:val="auto"/>
                <w:spacing w:val="7"/>
                <w:kern w:val="2"/>
                <w:sz w:val="24"/>
                <w:szCs w:val="24"/>
                <w:lang w:val="en-US" w:eastAsia="zh-CN" w:bidi="ar-SA"/>
              </w:rPr>
            </w:pPr>
            <w:r>
              <w:rPr>
                <w:rFonts w:hint="eastAsia" w:ascii="宋体" w:hAnsi="宋体" w:eastAsia="宋体" w:cs="宋体"/>
                <w:color w:val="auto"/>
                <w:spacing w:val="7"/>
                <w:kern w:val="2"/>
                <w:sz w:val="24"/>
                <w:szCs w:val="24"/>
                <w:lang w:val="en-US" w:eastAsia="zh-CN" w:bidi="ar-SA"/>
              </w:rPr>
              <w:t>评审依据：所投产品具有国家确定的认证机构出具的、处于有效期之 内的环境标志产品认证证书（提供证书扫描件）。</w:t>
            </w:r>
          </w:p>
          <w:p w14:paraId="26AF60CE">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both"/>
              <w:textAlignment w:val="auto"/>
              <w:rPr>
                <w:rFonts w:hint="eastAsia" w:ascii="宋体" w:hAnsi="宋体" w:eastAsia="宋体" w:cs="宋体"/>
                <w:color w:val="auto"/>
                <w:spacing w:val="7"/>
                <w:kern w:val="2"/>
                <w:sz w:val="24"/>
                <w:szCs w:val="24"/>
                <w:lang w:val="en-US" w:eastAsia="zh-CN" w:bidi="ar-SA"/>
              </w:rPr>
            </w:pPr>
            <w:r>
              <w:rPr>
                <w:rFonts w:hint="eastAsia" w:ascii="宋体" w:hAnsi="宋体" w:eastAsia="宋体" w:cs="宋体"/>
                <w:color w:val="auto"/>
                <w:spacing w:val="7"/>
                <w:kern w:val="2"/>
                <w:sz w:val="24"/>
                <w:szCs w:val="24"/>
                <w:lang w:val="en-US" w:eastAsia="zh-CN" w:bidi="ar-SA"/>
              </w:rPr>
              <w:t>注：节能产品、环境标志产品优先采购范围以品目清单为准。财政部、发展改革委、生态环境部等部门根据产品节能环保性能、技术水平和市场成熟程度等因素，确定实施政府优先采购和强制采购的产品类别 及所依据的相关标准规范，以品目清单的形式发布并适时调整。</w:t>
            </w:r>
          </w:p>
        </w:tc>
      </w:tr>
      <w:tr w14:paraId="4473A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2" w:hRule="atLeast"/>
          <w:jc w:val="center"/>
        </w:trPr>
        <w:tc>
          <w:tcPr>
            <w:tcW w:w="663" w:type="dxa"/>
            <w:vAlign w:val="center"/>
          </w:tcPr>
          <w:p w14:paraId="7FDDE305">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3</w:t>
            </w:r>
          </w:p>
        </w:tc>
        <w:tc>
          <w:tcPr>
            <w:tcW w:w="1230" w:type="dxa"/>
            <w:vAlign w:val="center"/>
          </w:tcPr>
          <w:p w14:paraId="331C2A93">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技术指标</w:t>
            </w:r>
          </w:p>
        </w:tc>
        <w:tc>
          <w:tcPr>
            <w:tcW w:w="983" w:type="dxa"/>
            <w:vAlign w:val="center"/>
          </w:tcPr>
          <w:p w14:paraId="0B6F38BD">
            <w:pPr>
              <w:pStyle w:val="27"/>
              <w:keepNext w:val="0"/>
              <w:keepLines w:val="0"/>
              <w:pageBreakBefore w:val="0"/>
              <w:widowControl w:val="0"/>
              <w:kinsoku/>
              <w:wordWrap/>
              <w:overflowPunct/>
              <w:topLinePunct w:val="0"/>
              <w:autoSpaceDE/>
              <w:autoSpaceDN/>
              <w:bidi w:val="0"/>
              <w:adjustRightInd/>
              <w:snapToGrid/>
              <w:spacing w:line="400" w:lineRule="exact"/>
              <w:ind w:right="0" w:firstLine="252" w:firstLineChars="100"/>
              <w:jc w:val="both"/>
              <w:textAlignment w:val="auto"/>
              <w:rPr>
                <w:rFonts w:hint="eastAsia" w:ascii="宋体" w:hAnsi="宋体" w:eastAsia="宋体" w:cs="宋体"/>
                <w:color w:val="auto"/>
                <w:spacing w:val="6"/>
                <w:sz w:val="24"/>
                <w:szCs w:val="24"/>
                <w:lang w:val="en-US" w:eastAsia="zh-CN"/>
              </w:rPr>
            </w:pPr>
            <w:r>
              <w:rPr>
                <w:rFonts w:hint="eastAsia" w:cs="宋体"/>
                <w:color w:val="auto"/>
                <w:spacing w:val="6"/>
                <w:sz w:val="24"/>
                <w:szCs w:val="24"/>
                <w:lang w:val="en-US" w:eastAsia="zh-CN"/>
              </w:rPr>
              <w:t>4</w:t>
            </w:r>
            <w:r>
              <w:rPr>
                <w:rFonts w:hint="eastAsia" w:ascii="宋体" w:hAnsi="宋体" w:eastAsia="宋体" w:cs="宋体"/>
                <w:color w:val="auto"/>
                <w:spacing w:val="6"/>
                <w:sz w:val="24"/>
                <w:szCs w:val="24"/>
                <w:lang w:val="en-US" w:eastAsia="zh-CN"/>
              </w:rPr>
              <w:t>0分</w:t>
            </w:r>
          </w:p>
        </w:tc>
        <w:tc>
          <w:tcPr>
            <w:tcW w:w="5965" w:type="dxa"/>
            <w:vAlign w:val="center"/>
          </w:tcPr>
          <w:p w14:paraId="1755F8C1">
            <w:pPr>
              <w:pStyle w:val="27"/>
              <w:keepNext w:val="0"/>
              <w:keepLines w:val="0"/>
              <w:pageBreakBefore w:val="0"/>
              <w:widowControl w:val="0"/>
              <w:kinsoku/>
              <w:wordWrap/>
              <w:overflowPunct/>
              <w:topLinePunct w:val="0"/>
              <w:autoSpaceDE/>
              <w:autoSpaceDN/>
              <w:bidi w:val="0"/>
              <w:adjustRightInd/>
              <w:snapToGrid/>
              <w:spacing w:line="400" w:lineRule="exact"/>
              <w:ind w:right="85" w:firstLine="508" w:firstLineChars="200"/>
              <w:jc w:val="center"/>
              <w:textAlignment w:val="auto"/>
              <w:rPr>
                <w:rFonts w:hint="eastAsia" w:ascii="宋体" w:hAnsi="宋体" w:eastAsia="宋体" w:cs="宋体"/>
                <w:color w:val="auto"/>
                <w:spacing w:val="7"/>
                <w:kern w:val="2"/>
                <w:sz w:val="24"/>
                <w:szCs w:val="24"/>
                <w:lang w:val="en-US" w:eastAsia="zh-CN" w:bidi="ar-SA"/>
              </w:rPr>
            </w:pPr>
            <w:r>
              <w:rPr>
                <w:rFonts w:hint="eastAsia" w:ascii="宋体" w:hAnsi="宋体" w:eastAsia="宋体" w:cs="宋体"/>
                <w:color w:val="auto"/>
                <w:spacing w:val="7"/>
                <w:kern w:val="2"/>
                <w:sz w:val="24"/>
                <w:szCs w:val="24"/>
                <w:lang w:val="en-US" w:eastAsia="zh-CN" w:bidi="ar-SA"/>
              </w:rPr>
              <w:t>供应商根据招标文件采购需求及服务要求的内容进行响应</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技术指标和性能完全响应得</w:t>
            </w:r>
            <w:r>
              <w:rPr>
                <w:rFonts w:hint="eastAsia" w:cs="宋体"/>
                <w:color w:val="auto"/>
                <w:spacing w:val="7"/>
                <w:kern w:val="2"/>
                <w:sz w:val="24"/>
                <w:szCs w:val="24"/>
                <w:lang w:val="en-US" w:eastAsia="zh-CN" w:bidi="ar-SA"/>
              </w:rPr>
              <w:t>4</w:t>
            </w:r>
            <w:r>
              <w:rPr>
                <w:rFonts w:hint="eastAsia" w:ascii="宋体" w:hAnsi="宋体" w:eastAsia="宋体" w:cs="宋体"/>
                <w:color w:val="auto"/>
                <w:spacing w:val="7"/>
                <w:kern w:val="2"/>
                <w:sz w:val="24"/>
                <w:szCs w:val="24"/>
                <w:lang w:val="en-US" w:eastAsia="zh-CN" w:bidi="ar-SA"/>
              </w:rPr>
              <w:t>0分</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其中带</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▲”号参数每负偏离一项扣2分，提供充足的佐证材料予以证明</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佐证材料包括但不限于技术白皮书、检测报告、厂家产品说明等证明材料</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在技术参数偏离表</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备注</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栏中标明证明材料的页码</w:t>
            </w:r>
            <w:r>
              <w:rPr>
                <w:rFonts w:hint="eastAsia" w:cs="宋体"/>
                <w:color w:val="auto"/>
                <w:spacing w:val="7"/>
                <w:kern w:val="2"/>
                <w:sz w:val="24"/>
                <w:szCs w:val="24"/>
                <w:lang w:val="en-US" w:eastAsia="zh-CN" w:bidi="ar-SA"/>
              </w:rPr>
              <w:t>，无技术支持材料视为负偏离</w:t>
            </w:r>
            <w:r>
              <w:rPr>
                <w:rFonts w:hint="eastAsia" w:ascii="宋体" w:hAnsi="宋体" w:eastAsia="宋体" w:cs="宋体"/>
                <w:color w:val="auto"/>
                <w:spacing w:val="7"/>
                <w:kern w:val="2"/>
                <w:sz w:val="24"/>
                <w:szCs w:val="24"/>
                <w:lang w:val="en-US" w:eastAsia="zh-CN" w:bidi="ar-SA"/>
              </w:rPr>
              <w:t>。非</w:t>
            </w:r>
            <w:r>
              <w:rPr>
                <w:rFonts w:hint="eastAsia" w:cs="宋体"/>
                <w:color w:val="auto"/>
                <w:spacing w:val="7"/>
                <w:kern w:val="2"/>
                <w:sz w:val="24"/>
                <w:szCs w:val="24"/>
                <w:lang w:val="en-US" w:eastAsia="zh-CN" w:bidi="ar-SA"/>
              </w:rPr>
              <w:t>“</w:t>
            </w:r>
            <w:r>
              <w:rPr>
                <w:rFonts w:hint="eastAsia" w:ascii="宋体" w:hAnsi="宋体" w:eastAsia="宋体" w:cs="宋体"/>
                <w:color w:val="auto"/>
                <w:spacing w:val="7"/>
                <w:kern w:val="2"/>
                <w:sz w:val="24"/>
                <w:szCs w:val="24"/>
                <w:lang w:val="en-US" w:eastAsia="zh-CN" w:bidi="ar-SA"/>
              </w:rPr>
              <w:t>▲”参数为一般参数，每负偏离一项扣1分。扣完为止。</w:t>
            </w:r>
          </w:p>
        </w:tc>
      </w:tr>
      <w:tr w14:paraId="62627D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jc w:val="center"/>
        </w:trPr>
        <w:tc>
          <w:tcPr>
            <w:tcW w:w="663" w:type="dxa"/>
            <w:vAlign w:val="center"/>
          </w:tcPr>
          <w:p w14:paraId="3E1DBC83">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cs="宋体"/>
                <w:color w:val="auto"/>
                <w:spacing w:val="6"/>
                <w:sz w:val="24"/>
                <w:szCs w:val="24"/>
                <w:lang w:val="en-US" w:eastAsia="zh-CN"/>
              </w:rPr>
              <w:t>4</w:t>
            </w:r>
          </w:p>
        </w:tc>
        <w:tc>
          <w:tcPr>
            <w:tcW w:w="1230" w:type="dxa"/>
            <w:shd w:val="clear" w:color="auto" w:fill="auto"/>
            <w:vAlign w:val="center"/>
          </w:tcPr>
          <w:p w14:paraId="33301BA3">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rPr>
              <w:t>供货方案</w:t>
            </w:r>
          </w:p>
        </w:tc>
        <w:tc>
          <w:tcPr>
            <w:tcW w:w="983" w:type="dxa"/>
            <w:shd w:val="clear" w:color="auto" w:fill="auto"/>
            <w:vAlign w:val="center"/>
          </w:tcPr>
          <w:p w14:paraId="57BF4520">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cs="宋体"/>
                <w:color w:val="auto"/>
                <w:spacing w:val="6"/>
                <w:sz w:val="24"/>
                <w:szCs w:val="24"/>
                <w:lang w:val="en-US" w:eastAsia="zh-CN"/>
              </w:rPr>
              <w:t>3</w:t>
            </w:r>
            <w:r>
              <w:rPr>
                <w:rFonts w:hint="eastAsia" w:ascii="宋体" w:hAnsi="宋体" w:eastAsia="宋体" w:cs="宋体"/>
                <w:color w:val="auto"/>
                <w:spacing w:val="6"/>
                <w:sz w:val="24"/>
                <w:szCs w:val="24"/>
                <w:lang w:val="en-US" w:eastAsia="zh-CN"/>
              </w:rPr>
              <w:t>分</w:t>
            </w:r>
          </w:p>
        </w:tc>
        <w:tc>
          <w:tcPr>
            <w:tcW w:w="5965" w:type="dxa"/>
            <w:shd w:val="clear" w:color="auto" w:fill="auto"/>
            <w:vAlign w:val="center"/>
          </w:tcPr>
          <w:p w14:paraId="62A4C044">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内容完整、可实施</w:t>
            </w:r>
            <w:r>
              <w:rPr>
                <w:rFonts w:hint="eastAsia" w:cs="宋体"/>
                <w:color w:val="auto"/>
                <w:spacing w:val="6"/>
                <w:sz w:val="24"/>
                <w:szCs w:val="24"/>
                <w:lang w:val="en-US" w:eastAsia="zh-CN"/>
              </w:rPr>
              <w:t>且</w:t>
            </w:r>
            <w:r>
              <w:rPr>
                <w:rFonts w:hint="eastAsia" w:ascii="宋体" w:hAnsi="宋体" w:eastAsia="宋体" w:cs="宋体"/>
                <w:color w:val="auto"/>
                <w:spacing w:val="6"/>
                <w:sz w:val="24"/>
                <w:szCs w:val="24"/>
                <w:lang w:val="en-US" w:eastAsia="zh-CN"/>
              </w:rPr>
              <w:t>有针对性得</w:t>
            </w:r>
            <w:r>
              <w:rPr>
                <w:rFonts w:hint="eastAsia" w:cs="宋体"/>
                <w:color w:val="auto"/>
                <w:spacing w:val="6"/>
                <w:sz w:val="24"/>
                <w:szCs w:val="24"/>
                <w:lang w:val="en-US" w:eastAsia="zh-CN"/>
              </w:rPr>
              <w:t>3</w:t>
            </w:r>
            <w:r>
              <w:rPr>
                <w:rFonts w:hint="eastAsia" w:ascii="宋体" w:hAnsi="宋体" w:eastAsia="宋体" w:cs="宋体"/>
                <w:color w:val="auto"/>
                <w:spacing w:val="6"/>
                <w:sz w:val="24"/>
                <w:szCs w:val="24"/>
                <w:lang w:val="en-US" w:eastAsia="zh-CN"/>
              </w:rPr>
              <w:t>分；内容完整、可实施得</w:t>
            </w:r>
            <w:r>
              <w:rPr>
                <w:rFonts w:hint="eastAsia" w:cs="宋体"/>
                <w:color w:val="auto"/>
                <w:spacing w:val="6"/>
                <w:sz w:val="24"/>
                <w:szCs w:val="24"/>
                <w:lang w:val="en-US" w:eastAsia="zh-CN"/>
              </w:rPr>
              <w:t>2</w:t>
            </w:r>
            <w:bookmarkStart w:id="0" w:name="_GoBack"/>
            <w:bookmarkEnd w:id="0"/>
            <w:r>
              <w:rPr>
                <w:rFonts w:hint="eastAsia" w:ascii="宋体" w:hAnsi="宋体" w:eastAsia="宋体" w:cs="宋体"/>
                <w:color w:val="auto"/>
                <w:spacing w:val="6"/>
                <w:sz w:val="24"/>
                <w:szCs w:val="24"/>
                <w:lang w:val="en-US" w:eastAsia="zh-CN"/>
              </w:rPr>
              <w:t>分；方案基本完整得1分；未提供不得分。</w:t>
            </w:r>
          </w:p>
        </w:tc>
      </w:tr>
      <w:tr w14:paraId="21512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663" w:type="dxa"/>
            <w:vAlign w:val="center"/>
          </w:tcPr>
          <w:p w14:paraId="05D175F4">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cs="宋体"/>
                <w:color w:val="auto"/>
                <w:spacing w:val="6"/>
                <w:sz w:val="24"/>
                <w:szCs w:val="24"/>
                <w:lang w:val="en-US" w:eastAsia="zh-CN"/>
              </w:rPr>
              <w:t>5</w:t>
            </w:r>
          </w:p>
        </w:tc>
        <w:tc>
          <w:tcPr>
            <w:tcW w:w="1230" w:type="dxa"/>
            <w:shd w:val="clear" w:color="auto" w:fill="auto"/>
            <w:vAlign w:val="center"/>
          </w:tcPr>
          <w:p w14:paraId="5F01830F">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rPr>
              <w:t>安装调试方案</w:t>
            </w:r>
          </w:p>
        </w:tc>
        <w:tc>
          <w:tcPr>
            <w:tcW w:w="983" w:type="dxa"/>
            <w:shd w:val="clear" w:color="auto" w:fill="auto"/>
            <w:vAlign w:val="center"/>
          </w:tcPr>
          <w:p w14:paraId="76DAEA42">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3分</w:t>
            </w:r>
          </w:p>
        </w:tc>
        <w:tc>
          <w:tcPr>
            <w:tcW w:w="5965" w:type="dxa"/>
            <w:shd w:val="clear" w:color="auto" w:fill="auto"/>
            <w:vAlign w:val="center"/>
          </w:tcPr>
          <w:p w14:paraId="66211B93">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内容完整、可实施</w:t>
            </w:r>
            <w:r>
              <w:rPr>
                <w:rFonts w:hint="eastAsia" w:cs="宋体"/>
                <w:color w:val="auto"/>
                <w:spacing w:val="6"/>
                <w:sz w:val="24"/>
                <w:szCs w:val="24"/>
                <w:lang w:val="en-US" w:eastAsia="zh-CN"/>
              </w:rPr>
              <w:t>且</w:t>
            </w:r>
            <w:r>
              <w:rPr>
                <w:rFonts w:hint="eastAsia" w:ascii="宋体" w:hAnsi="宋体" w:eastAsia="宋体" w:cs="宋体"/>
                <w:color w:val="auto"/>
                <w:spacing w:val="6"/>
                <w:sz w:val="24"/>
                <w:szCs w:val="24"/>
                <w:lang w:val="en-US" w:eastAsia="zh-CN"/>
              </w:rPr>
              <w:t>有针对性得3分；内容完整、可实施得2分；方案基本完整得1分；未提供不得分。</w:t>
            </w:r>
          </w:p>
        </w:tc>
      </w:tr>
      <w:tr w14:paraId="33639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jc w:val="center"/>
        </w:trPr>
        <w:tc>
          <w:tcPr>
            <w:tcW w:w="663" w:type="dxa"/>
            <w:vAlign w:val="center"/>
          </w:tcPr>
          <w:p w14:paraId="2D996069">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cs="宋体"/>
                <w:color w:val="auto"/>
                <w:spacing w:val="6"/>
                <w:sz w:val="24"/>
                <w:szCs w:val="24"/>
                <w:lang w:val="en-US" w:eastAsia="zh-CN"/>
              </w:rPr>
              <w:t>6</w:t>
            </w:r>
          </w:p>
        </w:tc>
        <w:tc>
          <w:tcPr>
            <w:tcW w:w="1230" w:type="dxa"/>
            <w:shd w:val="clear" w:color="auto" w:fill="auto"/>
            <w:vAlign w:val="center"/>
          </w:tcPr>
          <w:p w14:paraId="1E8132AA">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rPr>
              <w:t>验收方案</w:t>
            </w:r>
          </w:p>
        </w:tc>
        <w:tc>
          <w:tcPr>
            <w:tcW w:w="983" w:type="dxa"/>
            <w:shd w:val="clear" w:color="auto" w:fill="auto"/>
            <w:vAlign w:val="center"/>
          </w:tcPr>
          <w:p w14:paraId="67880DF3">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3分</w:t>
            </w:r>
          </w:p>
        </w:tc>
        <w:tc>
          <w:tcPr>
            <w:tcW w:w="5965" w:type="dxa"/>
            <w:shd w:val="clear" w:color="auto" w:fill="auto"/>
            <w:vAlign w:val="center"/>
          </w:tcPr>
          <w:p w14:paraId="30968F43">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内容完整、可实施</w:t>
            </w:r>
            <w:r>
              <w:rPr>
                <w:rFonts w:hint="eastAsia" w:cs="宋体"/>
                <w:color w:val="auto"/>
                <w:spacing w:val="6"/>
                <w:sz w:val="24"/>
                <w:szCs w:val="24"/>
                <w:lang w:val="en-US" w:eastAsia="zh-CN"/>
              </w:rPr>
              <w:t>且</w:t>
            </w:r>
            <w:r>
              <w:rPr>
                <w:rFonts w:hint="eastAsia" w:ascii="宋体" w:hAnsi="宋体" w:eastAsia="宋体" w:cs="宋体"/>
                <w:color w:val="auto"/>
                <w:spacing w:val="6"/>
                <w:sz w:val="24"/>
                <w:szCs w:val="24"/>
                <w:lang w:val="en-US" w:eastAsia="zh-CN"/>
              </w:rPr>
              <w:t>有针对性得3分；内容完整、可实施得2分；方案基本完整得1分；未提供不得分。</w:t>
            </w:r>
          </w:p>
        </w:tc>
      </w:tr>
      <w:tr w14:paraId="440F0A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jc w:val="center"/>
        </w:trPr>
        <w:tc>
          <w:tcPr>
            <w:tcW w:w="663" w:type="dxa"/>
            <w:vAlign w:val="center"/>
          </w:tcPr>
          <w:p w14:paraId="6AE1EC89">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cs="宋体"/>
                <w:color w:val="auto"/>
                <w:spacing w:val="6"/>
                <w:sz w:val="24"/>
                <w:szCs w:val="24"/>
                <w:lang w:val="en-US" w:eastAsia="zh-CN"/>
              </w:rPr>
              <w:t>7</w:t>
            </w:r>
          </w:p>
        </w:tc>
        <w:tc>
          <w:tcPr>
            <w:tcW w:w="1230" w:type="dxa"/>
            <w:shd w:val="clear" w:color="auto" w:fill="auto"/>
            <w:vAlign w:val="center"/>
          </w:tcPr>
          <w:p w14:paraId="6798D225">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rPr>
              <w:t>售后服务范围及保障措施</w:t>
            </w:r>
          </w:p>
        </w:tc>
        <w:tc>
          <w:tcPr>
            <w:tcW w:w="983" w:type="dxa"/>
            <w:shd w:val="clear" w:color="auto" w:fill="auto"/>
            <w:vAlign w:val="center"/>
          </w:tcPr>
          <w:p w14:paraId="27BB490A">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center"/>
              <w:textAlignment w:val="auto"/>
              <w:rPr>
                <w:rFonts w:hint="eastAsia" w:ascii="宋体" w:hAnsi="宋体" w:eastAsia="宋体" w:cs="宋体"/>
                <w:color w:val="auto"/>
                <w:spacing w:val="6"/>
                <w:sz w:val="24"/>
                <w:szCs w:val="24"/>
                <w:lang w:val="en-US" w:eastAsia="zh-CN"/>
              </w:rPr>
            </w:pPr>
            <w:r>
              <w:rPr>
                <w:rFonts w:hint="eastAsia" w:cs="宋体"/>
                <w:color w:val="auto"/>
                <w:spacing w:val="6"/>
                <w:sz w:val="24"/>
                <w:szCs w:val="24"/>
                <w:lang w:val="en-US" w:eastAsia="zh-CN"/>
              </w:rPr>
              <w:t>11</w:t>
            </w:r>
            <w:r>
              <w:rPr>
                <w:rFonts w:hint="eastAsia" w:ascii="宋体" w:hAnsi="宋体" w:eastAsia="宋体" w:cs="宋体"/>
                <w:color w:val="auto"/>
                <w:spacing w:val="6"/>
                <w:sz w:val="24"/>
                <w:szCs w:val="24"/>
                <w:lang w:val="en-US" w:eastAsia="zh-CN"/>
              </w:rPr>
              <w:t>分</w:t>
            </w:r>
          </w:p>
        </w:tc>
        <w:tc>
          <w:tcPr>
            <w:tcW w:w="5965" w:type="dxa"/>
            <w:shd w:val="clear" w:color="auto" w:fill="auto"/>
            <w:vAlign w:val="center"/>
          </w:tcPr>
          <w:p w14:paraId="7C504460">
            <w:pPr>
              <w:keepNext w:val="0"/>
              <w:keepLines w:val="0"/>
              <w:widowControl/>
              <w:suppressLineNumbers w:val="0"/>
              <w:jc w:val="left"/>
              <w:rPr>
                <w:rFonts w:hint="eastAsia" w:ascii="宋体" w:hAnsi="宋体" w:eastAsia="宋体" w:cs="宋体"/>
                <w:color w:val="auto"/>
                <w:spacing w:val="6"/>
                <w:kern w:val="2"/>
                <w:sz w:val="24"/>
                <w:szCs w:val="24"/>
                <w:lang w:val="en-US" w:eastAsia="zh-CN" w:bidi="ar-SA"/>
              </w:rPr>
            </w:pPr>
            <w:r>
              <w:rPr>
                <w:rFonts w:hint="eastAsia" w:ascii="宋体" w:hAnsi="宋体" w:eastAsia="宋体" w:cs="宋体"/>
                <w:color w:val="auto"/>
                <w:spacing w:val="6"/>
                <w:kern w:val="2"/>
                <w:sz w:val="24"/>
                <w:szCs w:val="24"/>
                <w:lang w:val="en-US" w:eastAsia="zh-CN" w:bidi="ar-SA"/>
              </w:rPr>
              <w:t xml:space="preserve">依据投标人提供的本项目的售后服务方案评审，内容包含： </w:t>
            </w:r>
          </w:p>
          <w:p w14:paraId="5228E40B">
            <w:pPr>
              <w:keepNext w:val="0"/>
              <w:keepLines w:val="0"/>
              <w:widowControl/>
              <w:suppressLineNumbers w:val="0"/>
              <w:jc w:val="left"/>
              <w:rPr>
                <w:rFonts w:hint="eastAsia" w:ascii="宋体" w:hAnsi="宋体" w:eastAsia="宋体" w:cs="宋体"/>
                <w:color w:val="auto"/>
                <w:spacing w:val="6"/>
                <w:kern w:val="2"/>
                <w:sz w:val="24"/>
                <w:szCs w:val="24"/>
                <w:lang w:val="en-US" w:eastAsia="zh-CN" w:bidi="ar-SA"/>
              </w:rPr>
            </w:pPr>
            <w:r>
              <w:rPr>
                <w:rFonts w:hint="default" w:ascii="宋体" w:hAnsi="宋体" w:eastAsia="宋体" w:cs="宋体"/>
                <w:color w:val="auto"/>
                <w:spacing w:val="6"/>
                <w:kern w:val="2"/>
                <w:sz w:val="24"/>
                <w:szCs w:val="24"/>
                <w:lang w:val="en-US" w:eastAsia="zh-CN" w:bidi="ar-SA"/>
              </w:rPr>
              <w:t>1</w:t>
            </w:r>
            <w:r>
              <w:rPr>
                <w:rFonts w:hint="eastAsia" w:ascii="宋体" w:hAnsi="宋体" w:eastAsia="宋体" w:cs="宋体"/>
                <w:color w:val="auto"/>
                <w:spacing w:val="6"/>
                <w:kern w:val="2"/>
                <w:sz w:val="24"/>
                <w:szCs w:val="24"/>
                <w:lang w:val="en-US" w:eastAsia="zh-CN" w:bidi="ar-SA"/>
              </w:rPr>
              <w:t xml:space="preserve">、售后服务范围及保障措施：内容完整、可实施、且有针对性得 </w:t>
            </w:r>
            <w:r>
              <w:rPr>
                <w:rFonts w:hint="default" w:ascii="宋体" w:hAnsi="宋体" w:eastAsia="宋体" w:cs="宋体"/>
                <w:color w:val="auto"/>
                <w:spacing w:val="6"/>
                <w:kern w:val="2"/>
                <w:sz w:val="24"/>
                <w:szCs w:val="24"/>
                <w:lang w:val="en-US" w:eastAsia="zh-CN" w:bidi="ar-SA"/>
              </w:rPr>
              <w:t xml:space="preserve">3 </w:t>
            </w:r>
            <w:r>
              <w:rPr>
                <w:rFonts w:hint="eastAsia" w:ascii="宋体" w:hAnsi="宋体" w:eastAsia="宋体" w:cs="宋体"/>
                <w:color w:val="auto"/>
                <w:spacing w:val="6"/>
                <w:kern w:val="2"/>
                <w:sz w:val="24"/>
                <w:szCs w:val="24"/>
                <w:lang w:val="en-US" w:eastAsia="zh-CN" w:bidi="ar-SA"/>
              </w:rPr>
              <w:t xml:space="preserve">分；内容完整、可实施得 </w:t>
            </w:r>
            <w:r>
              <w:rPr>
                <w:rFonts w:hint="default" w:ascii="宋体" w:hAnsi="宋体" w:eastAsia="宋体" w:cs="宋体"/>
                <w:color w:val="auto"/>
                <w:spacing w:val="6"/>
                <w:kern w:val="2"/>
                <w:sz w:val="24"/>
                <w:szCs w:val="24"/>
                <w:lang w:val="en-US" w:eastAsia="zh-CN" w:bidi="ar-SA"/>
              </w:rPr>
              <w:t xml:space="preserve">2 </w:t>
            </w:r>
            <w:r>
              <w:rPr>
                <w:rFonts w:hint="eastAsia" w:ascii="宋体" w:hAnsi="宋体" w:eastAsia="宋体" w:cs="宋体"/>
                <w:color w:val="auto"/>
                <w:spacing w:val="6"/>
                <w:kern w:val="2"/>
                <w:sz w:val="24"/>
                <w:szCs w:val="24"/>
                <w:lang w:val="en-US" w:eastAsia="zh-CN" w:bidi="ar-SA"/>
              </w:rPr>
              <w:t xml:space="preserve">分；方案基本完整得 </w:t>
            </w:r>
            <w:r>
              <w:rPr>
                <w:rFonts w:hint="default" w:ascii="宋体" w:hAnsi="宋体" w:eastAsia="宋体" w:cs="宋体"/>
                <w:color w:val="auto"/>
                <w:spacing w:val="6"/>
                <w:kern w:val="2"/>
                <w:sz w:val="24"/>
                <w:szCs w:val="24"/>
                <w:lang w:val="en-US" w:eastAsia="zh-CN" w:bidi="ar-SA"/>
              </w:rPr>
              <w:t xml:space="preserve">1 </w:t>
            </w:r>
            <w:r>
              <w:rPr>
                <w:rFonts w:hint="eastAsia" w:ascii="宋体" w:hAnsi="宋体" w:eastAsia="宋体" w:cs="宋体"/>
                <w:color w:val="auto"/>
                <w:spacing w:val="6"/>
                <w:kern w:val="2"/>
                <w:sz w:val="24"/>
                <w:szCs w:val="24"/>
                <w:lang w:val="en-US" w:eastAsia="zh-CN" w:bidi="ar-SA"/>
              </w:rPr>
              <w:t xml:space="preserve">分；未提供不得分。 </w:t>
            </w:r>
          </w:p>
          <w:p w14:paraId="11EE4905">
            <w:pPr>
              <w:keepNext w:val="0"/>
              <w:keepLines w:val="0"/>
              <w:widowControl/>
              <w:suppressLineNumbers w:val="0"/>
              <w:jc w:val="left"/>
              <w:rPr>
                <w:rFonts w:hint="eastAsia" w:ascii="宋体" w:hAnsi="宋体" w:eastAsia="宋体" w:cs="宋体"/>
                <w:color w:val="auto"/>
                <w:spacing w:val="6"/>
                <w:kern w:val="2"/>
                <w:sz w:val="24"/>
                <w:szCs w:val="24"/>
                <w:lang w:val="en-US" w:eastAsia="zh-CN" w:bidi="ar-SA"/>
              </w:rPr>
            </w:pPr>
            <w:r>
              <w:rPr>
                <w:rFonts w:hint="default" w:ascii="宋体" w:hAnsi="宋体" w:eastAsia="宋体" w:cs="宋体"/>
                <w:color w:val="auto"/>
                <w:spacing w:val="6"/>
                <w:kern w:val="2"/>
                <w:sz w:val="24"/>
                <w:szCs w:val="24"/>
                <w:lang w:val="en-US" w:eastAsia="zh-CN" w:bidi="ar-SA"/>
              </w:rPr>
              <w:t>2</w:t>
            </w:r>
            <w:r>
              <w:rPr>
                <w:rFonts w:hint="eastAsia" w:ascii="宋体" w:hAnsi="宋体" w:eastAsia="宋体" w:cs="宋体"/>
                <w:color w:val="auto"/>
                <w:spacing w:val="6"/>
                <w:kern w:val="2"/>
                <w:sz w:val="24"/>
                <w:szCs w:val="24"/>
                <w:lang w:val="en-US" w:eastAsia="zh-CN" w:bidi="ar-SA"/>
              </w:rPr>
              <w:t xml:space="preserve">、培训方案：内容完整、可实施、且有针对性得 </w:t>
            </w:r>
            <w:r>
              <w:rPr>
                <w:rFonts w:hint="default" w:ascii="宋体" w:hAnsi="宋体" w:eastAsia="宋体" w:cs="宋体"/>
                <w:color w:val="auto"/>
                <w:spacing w:val="6"/>
                <w:kern w:val="2"/>
                <w:sz w:val="24"/>
                <w:szCs w:val="24"/>
                <w:lang w:val="en-US" w:eastAsia="zh-CN" w:bidi="ar-SA"/>
              </w:rPr>
              <w:t xml:space="preserve">3 </w:t>
            </w:r>
            <w:r>
              <w:rPr>
                <w:rFonts w:hint="eastAsia" w:ascii="宋体" w:hAnsi="宋体" w:eastAsia="宋体" w:cs="宋体"/>
                <w:color w:val="auto"/>
                <w:spacing w:val="6"/>
                <w:kern w:val="2"/>
                <w:sz w:val="24"/>
                <w:szCs w:val="24"/>
                <w:lang w:val="en-US" w:eastAsia="zh-CN" w:bidi="ar-SA"/>
              </w:rPr>
              <w:t xml:space="preserve">分；内容完整、 可实施得 </w:t>
            </w:r>
            <w:r>
              <w:rPr>
                <w:rFonts w:hint="default" w:ascii="宋体" w:hAnsi="宋体" w:eastAsia="宋体" w:cs="宋体"/>
                <w:color w:val="auto"/>
                <w:spacing w:val="6"/>
                <w:kern w:val="2"/>
                <w:sz w:val="24"/>
                <w:szCs w:val="24"/>
                <w:lang w:val="en-US" w:eastAsia="zh-CN" w:bidi="ar-SA"/>
              </w:rPr>
              <w:t xml:space="preserve">2 </w:t>
            </w:r>
            <w:r>
              <w:rPr>
                <w:rFonts w:hint="eastAsia" w:ascii="宋体" w:hAnsi="宋体" w:eastAsia="宋体" w:cs="宋体"/>
                <w:color w:val="auto"/>
                <w:spacing w:val="6"/>
                <w:kern w:val="2"/>
                <w:sz w:val="24"/>
                <w:szCs w:val="24"/>
                <w:lang w:val="en-US" w:eastAsia="zh-CN" w:bidi="ar-SA"/>
              </w:rPr>
              <w:t xml:space="preserve">分；方案基本完整得 </w:t>
            </w:r>
            <w:r>
              <w:rPr>
                <w:rFonts w:hint="default" w:ascii="宋体" w:hAnsi="宋体" w:eastAsia="宋体" w:cs="宋体"/>
                <w:color w:val="auto"/>
                <w:spacing w:val="6"/>
                <w:kern w:val="2"/>
                <w:sz w:val="24"/>
                <w:szCs w:val="24"/>
                <w:lang w:val="en-US" w:eastAsia="zh-CN" w:bidi="ar-SA"/>
              </w:rPr>
              <w:t xml:space="preserve">1 </w:t>
            </w:r>
            <w:r>
              <w:rPr>
                <w:rFonts w:hint="eastAsia" w:ascii="宋体" w:hAnsi="宋体" w:eastAsia="宋体" w:cs="宋体"/>
                <w:color w:val="auto"/>
                <w:spacing w:val="6"/>
                <w:kern w:val="2"/>
                <w:sz w:val="24"/>
                <w:szCs w:val="24"/>
                <w:lang w:val="en-US" w:eastAsia="zh-CN" w:bidi="ar-SA"/>
              </w:rPr>
              <w:t xml:space="preserve">分；未提供不得分。 </w:t>
            </w:r>
          </w:p>
          <w:p w14:paraId="5DA2F744">
            <w:pPr>
              <w:keepNext w:val="0"/>
              <w:keepLines w:val="0"/>
              <w:widowControl/>
              <w:suppressLineNumbers w:val="0"/>
              <w:jc w:val="left"/>
              <w:rPr>
                <w:rFonts w:hint="eastAsia" w:ascii="宋体" w:hAnsi="宋体" w:eastAsia="宋体" w:cs="宋体"/>
                <w:color w:val="auto"/>
                <w:spacing w:val="6"/>
                <w:kern w:val="2"/>
                <w:sz w:val="24"/>
                <w:szCs w:val="24"/>
                <w:lang w:val="en-US" w:eastAsia="zh-CN" w:bidi="ar-SA"/>
              </w:rPr>
            </w:pPr>
            <w:r>
              <w:rPr>
                <w:rFonts w:hint="default" w:ascii="宋体" w:hAnsi="宋体" w:eastAsia="宋体" w:cs="宋体"/>
                <w:color w:val="auto"/>
                <w:spacing w:val="6"/>
                <w:kern w:val="2"/>
                <w:sz w:val="24"/>
                <w:szCs w:val="24"/>
                <w:lang w:val="en-US" w:eastAsia="zh-CN" w:bidi="ar-SA"/>
              </w:rPr>
              <w:t>3</w:t>
            </w:r>
            <w:r>
              <w:rPr>
                <w:rFonts w:hint="eastAsia" w:ascii="宋体" w:hAnsi="宋体" w:eastAsia="宋体" w:cs="宋体"/>
                <w:color w:val="auto"/>
                <w:spacing w:val="6"/>
                <w:kern w:val="2"/>
                <w:sz w:val="24"/>
                <w:szCs w:val="24"/>
                <w:lang w:val="en-US" w:eastAsia="zh-CN" w:bidi="ar-SA"/>
              </w:rPr>
              <w:t xml:space="preserve">、故障处理及补救措施：内容完整、可实施、且有针对性得 </w:t>
            </w:r>
            <w:r>
              <w:rPr>
                <w:rFonts w:hint="default" w:ascii="宋体" w:hAnsi="宋体" w:eastAsia="宋体" w:cs="宋体"/>
                <w:color w:val="auto"/>
                <w:spacing w:val="6"/>
                <w:kern w:val="2"/>
                <w:sz w:val="24"/>
                <w:szCs w:val="24"/>
                <w:lang w:val="en-US" w:eastAsia="zh-CN" w:bidi="ar-SA"/>
              </w:rPr>
              <w:t xml:space="preserve">3 </w:t>
            </w:r>
            <w:r>
              <w:rPr>
                <w:rFonts w:hint="eastAsia" w:ascii="宋体" w:hAnsi="宋体" w:eastAsia="宋体" w:cs="宋体"/>
                <w:color w:val="auto"/>
                <w:spacing w:val="6"/>
                <w:kern w:val="2"/>
                <w:sz w:val="24"/>
                <w:szCs w:val="24"/>
                <w:lang w:val="en-US" w:eastAsia="zh-CN" w:bidi="ar-SA"/>
              </w:rPr>
              <w:t xml:space="preserve">分； 内容完整、可实施得 </w:t>
            </w:r>
            <w:r>
              <w:rPr>
                <w:rFonts w:hint="default" w:ascii="宋体" w:hAnsi="宋体" w:eastAsia="宋体" w:cs="宋体"/>
                <w:color w:val="auto"/>
                <w:spacing w:val="6"/>
                <w:kern w:val="2"/>
                <w:sz w:val="24"/>
                <w:szCs w:val="24"/>
                <w:lang w:val="en-US" w:eastAsia="zh-CN" w:bidi="ar-SA"/>
              </w:rPr>
              <w:t xml:space="preserve">2 </w:t>
            </w:r>
            <w:r>
              <w:rPr>
                <w:rFonts w:hint="eastAsia" w:ascii="宋体" w:hAnsi="宋体" w:eastAsia="宋体" w:cs="宋体"/>
                <w:color w:val="auto"/>
                <w:spacing w:val="6"/>
                <w:kern w:val="2"/>
                <w:sz w:val="24"/>
                <w:szCs w:val="24"/>
                <w:lang w:val="en-US" w:eastAsia="zh-CN" w:bidi="ar-SA"/>
              </w:rPr>
              <w:t xml:space="preserve">分；方案基本完整得 </w:t>
            </w:r>
            <w:r>
              <w:rPr>
                <w:rFonts w:hint="default" w:ascii="宋体" w:hAnsi="宋体" w:eastAsia="宋体" w:cs="宋体"/>
                <w:color w:val="auto"/>
                <w:spacing w:val="6"/>
                <w:kern w:val="2"/>
                <w:sz w:val="24"/>
                <w:szCs w:val="24"/>
                <w:lang w:val="en-US" w:eastAsia="zh-CN" w:bidi="ar-SA"/>
              </w:rPr>
              <w:t xml:space="preserve">1 </w:t>
            </w:r>
            <w:r>
              <w:rPr>
                <w:rFonts w:hint="eastAsia" w:ascii="宋体" w:hAnsi="宋体" w:eastAsia="宋体" w:cs="宋体"/>
                <w:color w:val="auto"/>
                <w:spacing w:val="6"/>
                <w:kern w:val="2"/>
                <w:sz w:val="24"/>
                <w:szCs w:val="24"/>
                <w:lang w:val="en-US" w:eastAsia="zh-CN" w:bidi="ar-SA"/>
              </w:rPr>
              <w:t xml:space="preserve">分；未提供不得分。 </w:t>
            </w:r>
          </w:p>
          <w:p w14:paraId="4D20E1D2">
            <w:pPr>
              <w:keepNext w:val="0"/>
              <w:keepLines w:val="0"/>
              <w:widowControl/>
              <w:suppressLineNumbers w:val="0"/>
              <w:jc w:val="left"/>
              <w:rPr>
                <w:rFonts w:hint="eastAsia" w:ascii="宋体" w:hAnsi="宋体" w:eastAsia="宋体" w:cs="宋体"/>
                <w:color w:val="auto"/>
                <w:spacing w:val="6"/>
                <w:sz w:val="24"/>
                <w:szCs w:val="24"/>
                <w:lang w:val="en-US" w:eastAsia="zh-CN"/>
              </w:rPr>
            </w:pPr>
            <w:r>
              <w:rPr>
                <w:rFonts w:hint="default" w:ascii="宋体" w:hAnsi="宋体" w:eastAsia="宋体" w:cs="宋体"/>
                <w:color w:val="auto"/>
                <w:spacing w:val="6"/>
                <w:kern w:val="2"/>
                <w:sz w:val="24"/>
                <w:szCs w:val="24"/>
                <w:lang w:val="en-US" w:eastAsia="zh-CN" w:bidi="ar-SA"/>
              </w:rPr>
              <w:t>4</w:t>
            </w:r>
            <w:r>
              <w:rPr>
                <w:rFonts w:hint="eastAsia" w:ascii="宋体" w:hAnsi="宋体" w:eastAsia="宋体" w:cs="宋体"/>
                <w:color w:val="auto"/>
                <w:spacing w:val="6"/>
                <w:kern w:val="2"/>
                <w:sz w:val="24"/>
                <w:szCs w:val="24"/>
                <w:lang w:val="en-US" w:eastAsia="zh-CN" w:bidi="ar-SA"/>
              </w:rPr>
              <w:t xml:space="preserve">、备品配件服务承诺：内容完整、可实施得 </w:t>
            </w:r>
            <w:r>
              <w:rPr>
                <w:rFonts w:hint="default" w:ascii="宋体" w:hAnsi="宋体" w:eastAsia="宋体" w:cs="宋体"/>
                <w:color w:val="auto"/>
                <w:spacing w:val="6"/>
                <w:kern w:val="2"/>
                <w:sz w:val="24"/>
                <w:szCs w:val="24"/>
                <w:lang w:val="en-US" w:eastAsia="zh-CN" w:bidi="ar-SA"/>
              </w:rPr>
              <w:t xml:space="preserve">2 </w:t>
            </w:r>
            <w:r>
              <w:rPr>
                <w:rFonts w:hint="eastAsia" w:ascii="宋体" w:hAnsi="宋体" w:eastAsia="宋体" w:cs="宋体"/>
                <w:color w:val="auto"/>
                <w:spacing w:val="6"/>
                <w:kern w:val="2"/>
                <w:sz w:val="24"/>
                <w:szCs w:val="24"/>
                <w:lang w:val="en-US" w:eastAsia="zh-CN" w:bidi="ar-SA"/>
              </w:rPr>
              <w:t xml:space="preserve">分；方案基本完整得 </w:t>
            </w:r>
            <w:r>
              <w:rPr>
                <w:rFonts w:hint="default" w:ascii="宋体" w:hAnsi="宋体" w:eastAsia="宋体" w:cs="宋体"/>
                <w:color w:val="auto"/>
                <w:spacing w:val="6"/>
                <w:kern w:val="2"/>
                <w:sz w:val="24"/>
                <w:szCs w:val="24"/>
                <w:lang w:val="en-US" w:eastAsia="zh-CN" w:bidi="ar-SA"/>
              </w:rPr>
              <w:t xml:space="preserve">1 </w:t>
            </w:r>
            <w:r>
              <w:rPr>
                <w:rFonts w:hint="eastAsia" w:ascii="宋体" w:hAnsi="宋体" w:eastAsia="宋体" w:cs="宋体"/>
                <w:color w:val="auto"/>
                <w:spacing w:val="6"/>
                <w:kern w:val="2"/>
                <w:sz w:val="24"/>
                <w:szCs w:val="24"/>
                <w:lang w:val="en-US" w:eastAsia="zh-CN" w:bidi="ar-SA"/>
              </w:rPr>
              <w:t>分；未提供不得分。</w:t>
            </w:r>
          </w:p>
        </w:tc>
      </w:tr>
      <w:tr w14:paraId="18998A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jc w:val="center"/>
        </w:trPr>
        <w:tc>
          <w:tcPr>
            <w:tcW w:w="663" w:type="dxa"/>
            <w:vAlign w:val="center"/>
          </w:tcPr>
          <w:p w14:paraId="5EC3641B">
            <w:pPr>
              <w:pStyle w:val="27"/>
              <w:keepNext w:val="0"/>
              <w:keepLines w:val="0"/>
              <w:pageBreakBefore w:val="0"/>
              <w:widowControl w:val="0"/>
              <w:kinsoku/>
              <w:wordWrap/>
              <w:overflowPunct/>
              <w:topLinePunct w:val="0"/>
              <w:autoSpaceDE/>
              <w:autoSpaceDN/>
              <w:bidi w:val="0"/>
              <w:adjustRightInd/>
              <w:snapToGrid/>
              <w:spacing w:line="400" w:lineRule="exact"/>
              <w:ind w:left="0" w:right="0"/>
              <w:jc w:val="center"/>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8</w:t>
            </w:r>
          </w:p>
        </w:tc>
        <w:tc>
          <w:tcPr>
            <w:tcW w:w="1230" w:type="dxa"/>
            <w:vAlign w:val="center"/>
          </w:tcPr>
          <w:p w14:paraId="16CA4AEE">
            <w:pPr>
              <w:pStyle w:val="27"/>
              <w:keepNext w:val="0"/>
              <w:keepLines w:val="0"/>
              <w:pageBreakBefore w:val="0"/>
              <w:widowControl w:val="0"/>
              <w:kinsoku/>
              <w:wordWrap/>
              <w:overflowPunct/>
              <w:topLinePunct w:val="0"/>
              <w:autoSpaceDE/>
              <w:autoSpaceDN/>
              <w:bidi w:val="0"/>
              <w:adjustRightInd/>
              <w:snapToGrid/>
              <w:spacing w:line="400" w:lineRule="exact"/>
              <w:ind w:left="0" w:right="0" w:hanging="19" w:hangingChars="8"/>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业绩</w:t>
            </w:r>
          </w:p>
        </w:tc>
        <w:tc>
          <w:tcPr>
            <w:tcW w:w="983" w:type="dxa"/>
            <w:tcBorders>
              <w:top w:val="single" w:color="auto" w:sz="4" w:space="0"/>
              <w:bottom w:val="single" w:color="auto" w:sz="4" w:space="0"/>
            </w:tcBorders>
            <w:vAlign w:val="center"/>
          </w:tcPr>
          <w:p w14:paraId="6B222C1B">
            <w:pPr>
              <w:pStyle w:val="27"/>
              <w:keepNext w:val="0"/>
              <w:keepLines w:val="0"/>
              <w:pageBreakBefore w:val="0"/>
              <w:kinsoku/>
              <w:wordWrap/>
              <w:overflowPunct/>
              <w:topLinePunct w:val="0"/>
              <w:autoSpaceDE/>
              <w:autoSpaceDN/>
              <w:bidi w:val="0"/>
              <w:adjustRightInd/>
              <w:snapToGrid/>
              <w:spacing w:line="400" w:lineRule="exact"/>
              <w:ind w:left="0" w:hanging="19" w:hangingChars="8"/>
              <w:jc w:val="center"/>
              <w:textAlignment w:val="auto"/>
              <w:rPr>
                <w:rFonts w:hint="eastAsia" w:ascii="宋体" w:hAnsi="宋体" w:eastAsia="宋体" w:cs="宋体"/>
                <w:color w:val="auto"/>
                <w:sz w:val="24"/>
                <w:szCs w:val="24"/>
                <w:lang w:val="en-US" w:eastAsia="zh-CN"/>
              </w:rPr>
            </w:pPr>
            <w:r>
              <w:rPr>
                <w:rFonts w:hint="eastAsia" w:cs="宋体"/>
                <w:color w:val="auto"/>
                <w:sz w:val="24"/>
                <w:szCs w:val="24"/>
                <w:lang w:val="en-US" w:eastAsia="zh-CN"/>
              </w:rPr>
              <w:t>9</w:t>
            </w:r>
            <w:r>
              <w:rPr>
                <w:rFonts w:hint="eastAsia" w:ascii="宋体" w:hAnsi="宋体" w:eastAsia="宋体" w:cs="宋体"/>
                <w:color w:val="auto"/>
                <w:sz w:val="24"/>
                <w:szCs w:val="24"/>
                <w:lang w:val="en-US" w:eastAsia="zh-CN"/>
              </w:rPr>
              <w:t>分</w:t>
            </w:r>
          </w:p>
        </w:tc>
        <w:tc>
          <w:tcPr>
            <w:tcW w:w="5965" w:type="dxa"/>
            <w:tcBorders>
              <w:top w:val="single" w:color="auto" w:sz="4" w:space="0"/>
              <w:bottom w:val="single" w:color="auto" w:sz="4" w:space="0"/>
            </w:tcBorders>
            <w:vAlign w:val="center"/>
          </w:tcPr>
          <w:p w14:paraId="2EA5BE51">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both"/>
              <w:textAlignment w:val="auto"/>
              <w:rPr>
                <w:rFonts w:hint="eastAsia" w:ascii="宋体" w:hAnsi="宋体" w:eastAsia="宋体" w:cs="宋体"/>
                <w:color w:val="auto"/>
                <w:spacing w:val="6"/>
                <w:sz w:val="24"/>
                <w:szCs w:val="24"/>
                <w:lang w:val="en-US" w:eastAsia="zh-CN"/>
              </w:rPr>
            </w:pPr>
            <w:r>
              <w:rPr>
                <w:rFonts w:hint="eastAsia" w:ascii="宋体" w:hAnsi="宋体" w:eastAsia="宋体" w:cs="宋体"/>
                <w:color w:val="auto"/>
                <w:spacing w:val="6"/>
                <w:sz w:val="24"/>
                <w:szCs w:val="24"/>
                <w:lang w:val="en-US" w:eastAsia="zh-CN"/>
              </w:rPr>
              <w:t xml:space="preserve">   提供202</w:t>
            </w:r>
            <w:r>
              <w:rPr>
                <w:rFonts w:hint="eastAsia" w:cs="宋体"/>
                <w:color w:val="auto"/>
                <w:spacing w:val="6"/>
                <w:sz w:val="24"/>
                <w:szCs w:val="24"/>
                <w:lang w:val="en-US" w:eastAsia="zh-CN"/>
              </w:rPr>
              <w:t>3</w:t>
            </w:r>
            <w:r>
              <w:rPr>
                <w:rFonts w:hint="eastAsia" w:ascii="宋体" w:hAnsi="宋体" w:eastAsia="宋体" w:cs="宋体"/>
                <w:color w:val="auto"/>
                <w:spacing w:val="6"/>
                <w:sz w:val="24"/>
                <w:szCs w:val="24"/>
                <w:lang w:val="en-US" w:eastAsia="zh-CN"/>
              </w:rPr>
              <w:t xml:space="preserve"> 年 1 月至今（以合同签订时间为准）所投核心产品（同品牌同型号）对用户的销售业绩，每提供一份有效合同得</w:t>
            </w:r>
            <w:r>
              <w:rPr>
                <w:rFonts w:hint="eastAsia" w:cs="宋体"/>
                <w:color w:val="auto"/>
                <w:spacing w:val="6"/>
                <w:sz w:val="24"/>
                <w:szCs w:val="24"/>
                <w:lang w:val="en-US" w:eastAsia="zh-CN"/>
              </w:rPr>
              <w:t>3</w:t>
            </w:r>
            <w:r>
              <w:rPr>
                <w:rFonts w:hint="eastAsia" w:ascii="宋体" w:hAnsi="宋体" w:eastAsia="宋体" w:cs="宋体"/>
                <w:color w:val="auto"/>
                <w:spacing w:val="6"/>
                <w:sz w:val="24"/>
                <w:szCs w:val="24"/>
                <w:lang w:val="en-US" w:eastAsia="zh-CN"/>
              </w:rPr>
              <w:t>分，最高得</w:t>
            </w:r>
            <w:r>
              <w:rPr>
                <w:rFonts w:hint="eastAsia" w:cs="宋体"/>
                <w:color w:val="auto"/>
                <w:spacing w:val="6"/>
                <w:sz w:val="24"/>
                <w:szCs w:val="24"/>
                <w:lang w:val="en-US" w:eastAsia="zh-CN"/>
              </w:rPr>
              <w:t>9</w:t>
            </w:r>
            <w:r>
              <w:rPr>
                <w:rFonts w:hint="eastAsia" w:ascii="宋体" w:hAnsi="宋体" w:eastAsia="宋体" w:cs="宋体"/>
                <w:color w:val="auto"/>
                <w:spacing w:val="6"/>
                <w:sz w:val="24"/>
                <w:szCs w:val="24"/>
                <w:lang w:val="en-US" w:eastAsia="zh-CN"/>
              </w:rPr>
              <w:t>分。</w:t>
            </w:r>
          </w:p>
          <w:p w14:paraId="1D5915FB">
            <w:pPr>
              <w:pStyle w:val="27"/>
              <w:keepNext w:val="0"/>
              <w:keepLines w:val="0"/>
              <w:pageBreakBefore w:val="0"/>
              <w:widowControl w:val="0"/>
              <w:kinsoku/>
              <w:wordWrap/>
              <w:overflowPunct/>
              <w:topLinePunct w:val="0"/>
              <w:autoSpaceDE/>
              <w:autoSpaceDN/>
              <w:bidi w:val="0"/>
              <w:adjustRightInd/>
              <w:snapToGrid/>
              <w:spacing w:line="400" w:lineRule="exact"/>
              <w:ind w:left="0" w:right="0" w:hanging="20" w:hangingChars="8"/>
              <w:jc w:val="both"/>
              <w:textAlignment w:val="auto"/>
              <w:rPr>
                <w:rFonts w:hint="eastAsia" w:ascii="宋体" w:hAnsi="宋体" w:eastAsia="宋体" w:cs="宋体"/>
                <w:color w:val="auto"/>
                <w:spacing w:val="15"/>
                <w:sz w:val="24"/>
                <w:szCs w:val="24"/>
                <w:lang w:val="en-US" w:eastAsia="zh-CN"/>
              </w:rPr>
            </w:pPr>
            <w:r>
              <w:rPr>
                <w:rFonts w:hint="eastAsia" w:ascii="宋体" w:hAnsi="宋体" w:eastAsia="宋体" w:cs="宋体"/>
                <w:color w:val="auto"/>
                <w:spacing w:val="6"/>
                <w:sz w:val="24"/>
                <w:szCs w:val="24"/>
                <w:lang w:val="en-US" w:eastAsia="zh-CN"/>
              </w:rPr>
              <w:t>评审依据：以加盖公章的业绩合同复印件为准，合同至少需包含合同首页、产品页、签章页</w:t>
            </w:r>
            <w:r>
              <w:rPr>
                <w:rFonts w:hint="eastAsia" w:ascii="宋体" w:hAnsi="宋体" w:eastAsia="宋体" w:cs="宋体"/>
                <w:color w:val="auto"/>
                <w:spacing w:val="15"/>
                <w:sz w:val="24"/>
                <w:szCs w:val="24"/>
                <w:lang w:val="en-US" w:eastAsia="zh-CN"/>
              </w:rPr>
              <w:t>。</w:t>
            </w:r>
          </w:p>
        </w:tc>
      </w:tr>
      <w:tr w14:paraId="181D0E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jc w:val="center"/>
        </w:trPr>
        <w:tc>
          <w:tcPr>
            <w:tcW w:w="8841" w:type="dxa"/>
            <w:gridSpan w:val="4"/>
            <w:vAlign w:val="center"/>
          </w:tcPr>
          <w:p w14:paraId="5E3D7F18">
            <w:pPr>
              <w:pStyle w:val="27"/>
              <w:keepNext w:val="0"/>
              <w:keepLines w:val="0"/>
              <w:pageBreakBefore w:val="0"/>
              <w:kinsoku/>
              <w:wordWrap/>
              <w:overflowPunct/>
              <w:topLinePunct w:val="0"/>
              <w:autoSpaceDE/>
              <w:autoSpaceDN/>
              <w:bidi w:val="0"/>
              <w:adjustRightInd/>
              <w:snapToGrid/>
              <w:spacing w:line="400" w:lineRule="exact"/>
              <w:ind w:right="85"/>
              <w:textAlignment w:val="auto"/>
              <w:rPr>
                <w:rFonts w:hint="eastAsia" w:ascii="宋体" w:hAnsi="宋体" w:eastAsia="宋体" w:cs="宋体"/>
                <w:color w:val="auto"/>
                <w:spacing w:val="15"/>
                <w:sz w:val="24"/>
                <w:szCs w:val="24"/>
                <w:lang w:val="en-US" w:eastAsia="zh-CN"/>
              </w:rPr>
            </w:pPr>
            <w:r>
              <w:rPr>
                <w:rFonts w:hint="eastAsia" w:ascii="宋体" w:hAnsi="宋体" w:eastAsia="宋体" w:cs="宋体"/>
                <w:color w:val="auto"/>
                <w:spacing w:val="15"/>
                <w:sz w:val="24"/>
                <w:szCs w:val="24"/>
                <w:lang w:val="en-US" w:eastAsia="zh-CN"/>
              </w:rPr>
              <w:t>备注：</w:t>
            </w:r>
          </w:p>
          <w:p w14:paraId="6DF0D57E">
            <w:pPr>
              <w:pStyle w:val="25"/>
              <w:ind w:firstLine="480"/>
              <w:rPr>
                <w:rFonts w:hint="eastAsia" w:ascii="宋体" w:hAnsi="宋体" w:eastAsia="宋体" w:cs="宋体"/>
                <w:color w:val="auto"/>
                <w:spacing w:val="15"/>
                <w:sz w:val="24"/>
                <w:szCs w:val="24"/>
                <w:lang w:val="en-US" w:eastAsia="zh-CN"/>
              </w:rPr>
            </w:pPr>
            <w:r>
              <w:rPr>
                <w:rFonts w:hint="eastAsia" w:ascii="宋体" w:hAnsi="宋体" w:eastAsia="宋体" w:cs="宋体"/>
                <w:color w:val="auto"/>
                <w:spacing w:val="15"/>
                <w:sz w:val="24"/>
                <w:szCs w:val="24"/>
                <w:lang w:val="en-US" w:eastAsia="zh-CN"/>
              </w:rPr>
              <w:t>1.评分的取值按四舍五入法，保留小数点后两位；</w:t>
            </w:r>
          </w:p>
          <w:p w14:paraId="5F72FF92">
            <w:pPr>
              <w:pStyle w:val="25"/>
              <w:ind w:firstLine="480"/>
              <w:rPr>
                <w:rFonts w:hint="eastAsia" w:ascii="宋体" w:hAnsi="宋体" w:eastAsia="宋体" w:cs="宋体"/>
                <w:color w:val="auto"/>
                <w:spacing w:val="15"/>
                <w:sz w:val="24"/>
                <w:szCs w:val="24"/>
                <w:lang w:val="en-US" w:eastAsia="zh-CN"/>
              </w:rPr>
            </w:pPr>
            <w:r>
              <w:rPr>
                <w:rFonts w:hint="eastAsia" w:ascii="宋体" w:hAnsi="宋体" w:eastAsia="宋体" w:cs="宋体"/>
                <w:color w:val="auto"/>
                <w:spacing w:val="15"/>
                <w:sz w:val="24"/>
                <w:szCs w:val="24"/>
                <w:lang w:val="en-US" w:eastAsia="zh-CN"/>
              </w:rPr>
              <w:t>2.评分标准中要求提供复印件的证明材料须清晰可辨。</w:t>
            </w:r>
          </w:p>
        </w:tc>
      </w:tr>
    </w:tbl>
    <w:p w14:paraId="3A7E4410">
      <w:pPr>
        <w:pageBreakBefore w:val="0"/>
        <w:widowControl w:val="0"/>
        <w:kinsoku/>
        <w:wordWrap/>
        <w:overflowPunct/>
        <w:topLinePunct w:val="0"/>
        <w:autoSpaceDE/>
        <w:autoSpaceDN/>
        <w:bidi w:val="0"/>
        <w:snapToGrid w:val="0"/>
        <w:spacing w:line="500" w:lineRule="atLeast"/>
        <w:ind w:firstLine="580"/>
        <w:textAlignment w:val="auto"/>
        <w:rPr>
          <w:rFonts w:hint="eastAsia" w:ascii="宋体" w:hAnsi="宋体" w:eastAsia="宋体" w:cs="宋体"/>
          <w:color w:val="auto"/>
          <w:spacing w:val="6"/>
          <w:kern w:val="2"/>
          <w:sz w:val="24"/>
          <w:szCs w:val="24"/>
          <w:highlight w:val="none"/>
          <w:lang w:val="en-US" w:eastAsia="zh-CN" w:bidi="ar-SA"/>
        </w:rPr>
      </w:pPr>
      <w:r>
        <w:rPr>
          <w:rFonts w:hint="eastAsia" w:ascii="宋体" w:hAnsi="宋体" w:eastAsia="宋体" w:cs="宋体"/>
          <w:color w:val="auto"/>
          <w:sz w:val="24"/>
          <w:szCs w:val="24"/>
          <w:highlight w:val="none"/>
        </w:rPr>
        <w:t>采用综合评分法，即在最大限度地满足招标文件实质性要求前提下，按照招标文件中规定的各项因素进行综合评审后，以评审总得分顺序推荐中标候选人。具体评审因素和分值如下。</w:t>
      </w:r>
    </w:p>
    <w:p w14:paraId="000C8BB8">
      <w:pPr>
        <w:keepNext w:val="0"/>
        <w:keepLines w:val="0"/>
        <w:pageBreakBefore w:val="0"/>
        <w:widowControl w:val="0"/>
        <w:kinsoku/>
        <w:wordWrap/>
        <w:overflowPunct/>
        <w:topLinePunct w:val="0"/>
        <w:autoSpaceDE/>
        <w:autoSpaceDN/>
        <w:bidi w:val="0"/>
        <w:adjustRightInd/>
        <w:spacing w:line="500" w:lineRule="exact"/>
        <w:ind w:left="63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4.本项目落实政府采购政策</w:t>
      </w:r>
    </w:p>
    <w:p w14:paraId="4C7ACB66">
      <w:pPr>
        <w:pageBreakBefore w:val="0"/>
        <w:widowControl w:val="0"/>
        <w:kinsoku/>
        <w:wordWrap/>
        <w:overflowPunct/>
        <w:topLinePunct w:val="0"/>
        <w:autoSpaceDE/>
        <w:autoSpaceDN/>
        <w:bidi w:val="0"/>
        <w:spacing w:line="500" w:lineRule="atLeas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lang w:eastAsia="zh-CN"/>
        </w:rPr>
        <w:t>“工业”。</w:t>
      </w:r>
    </w:p>
    <w:p w14:paraId="17598AEF">
      <w:pPr>
        <w:pageBreakBefore w:val="0"/>
        <w:widowControl w:val="0"/>
        <w:kinsoku/>
        <w:wordWrap/>
        <w:overflowPunct/>
        <w:topLinePunct w:val="0"/>
        <w:autoSpaceDE/>
        <w:autoSpaceDN/>
        <w:bidi w:val="0"/>
        <w:snapToGrid w:val="0"/>
        <w:spacing w:line="500" w:lineRule="atLeast"/>
        <w:ind w:firstLine="5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4.1.根据《关于进一步加大政府采购支持中小企业力度的通知》（财库〔2022〕19 号）、《政府采购促进中小企业发展管理办法》（财库〔2020〕46 号）、《财政部 司法部关于政府采购支持监狱企业发展有关问题的通知》（财库〔2014〕68 号）和《财政部 民政部 中国残疾人联合会关于促进残疾人就业政府采购政策的通知》（财库〔2017〕141 号）的规定，对满足价格扣除条件且在投标文件中提交了《中小企业声明函》、《残疾人福利性单位声明函》或省级以上监狱管理局、戒毒管理局（含新疆生产建设兵团）出具的属于监狱企业的证明文件的投标人，其投标报价扣除 10% 后参与评审。对于同时属于小微企业、监狱企业或残疾人福利性单位的，不重复进行投标报价扣除。 </w:t>
      </w:r>
    </w:p>
    <w:p w14:paraId="585A21E6">
      <w:pPr>
        <w:pageBreakBefore w:val="0"/>
        <w:widowControl w:val="0"/>
        <w:kinsoku/>
        <w:wordWrap/>
        <w:overflowPunct/>
        <w:topLinePunct w:val="0"/>
        <w:autoSpaceDE/>
        <w:autoSpaceDN/>
        <w:bidi w:val="0"/>
        <w:snapToGrid w:val="0"/>
        <w:spacing w:line="500" w:lineRule="atLeast"/>
        <w:ind w:firstLine="5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4.2.联合协议或分包意向协议（如有）中约定，小型、微型企业的合同金额占到合同总金额30%以上的，可给予联合体 4%的价格扣除。联合体各方均为小型、微型企业和监狱企业的，联合体视同为小型、微型企业和监狱企业。 </w:t>
      </w:r>
    </w:p>
    <w:p w14:paraId="1E21F723">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4.3根据《关于调整优化节能产品、环境标志产品政府采购执行机制的通知》（财库〔2019〕9 号）的规定，投标人所投产品属于节能产品、环境标志产品品目清单范围内，且投标人所投产品具有有效期内的产品认证证书，在评标时予以优先采购，具体见评审因素和指标内容。 </w:t>
      </w:r>
    </w:p>
    <w:p w14:paraId="53069008">
      <w:pPr>
        <w:pageBreakBefore w:val="0"/>
        <w:widowControl w:val="0"/>
        <w:numPr>
          <w:ilvl w:val="0"/>
          <w:numId w:val="0"/>
        </w:numPr>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4.4.如投标人所投产品为政府强制采购的节能产品，投标人应提供有效期内的认证证书或相关证明，否则其投标将被认定为投标无效。</w:t>
      </w:r>
    </w:p>
    <w:p w14:paraId="07750439">
      <w:pPr>
        <w:pageBreakBefore w:val="0"/>
        <w:widowControl w:val="0"/>
        <w:numPr>
          <w:ilvl w:val="0"/>
          <w:numId w:val="0"/>
        </w:numPr>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4.5.如投标人所投产品属于网络关键设备和网络安全专用产品的，投标人所投产品</w:t>
      </w:r>
    </w:p>
    <w:p w14:paraId="6A1FEA9C">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应为经具备资格的机构安全认证合格或者安全检测符合要求的产品。投标人应提供相关证明，否则其投标将被认定为投标无效。 </w:t>
      </w:r>
    </w:p>
    <w:p w14:paraId="18ED20FC">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4.6.政府采购货物项目和服务项目中涉及的货物，当采购项目或采购包的采购标的仅包含单一产品时，政府采购活动中既有本国产品又有非本国产品参与竞争的，依法对本国产品给予价格评审优惠，对本国产品的报价给予20%的价格扣除，用扣除后的价格参与评审。当采购项目或者采购包的采购标的中含有多种产品，供应商为该采购项目或者采购包提供的符合本国产品标准的产品成本之和占该供应商提供的全部产品成本之和的比例达到 80%以上时，且供应商在投标（响应）文件中对此作出承诺的，则依法对该供应商提供的全部产品给予价格评审优惠，即对该供应商提供的全部产品的总报价给予 20%的价格扣除，用扣除后的价格参与评审。全部产品是指货物或服务采购项目或采购包中包含的全部货物、服务产品。本项目适用情形详见“投标人须知前附表”的规定。 </w:t>
      </w:r>
    </w:p>
    <w:p w14:paraId="1592856C">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对供应商所出具的《声明函》完整性、准确性进行审查。符合澄清补正情形的，应以书面形式要求供应商澄清补正，澄清补正后仍不符合要求的，不享受价格评审优惠。当涉及政府采购政策叠加适用，统一在原投标报价的基础上进行价格扣除。 </w:t>
      </w:r>
    </w:p>
    <w:p w14:paraId="443E3A48">
      <w:pPr>
        <w:pageBreakBefore w:val="0"/>
        <w:widowControl w:val="0"/>
        <w:kinsoku/>
        <w:wordWrap/>
        <w:overflowPunct/>
        <w:topLinePunct w:val="0"/>
        <w:autoSpaceDE/>
        <w:autoSpaceDN/>
        <w:bidi w:val="0"/>
        <w:spacing w:line="500" w:lineRule="atLeas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4.7本项目</w:t>
      </w:r>
      <w:r>
        <w:rPr>
          <w:rFonts w:hint="eastAsia" w:ascii="宋体" w:hAnsi="宋体" w:cs="宋体"/>
          <w:b/>
          <w:bCs/>
          <w:color w:val="auto"/>
          <w:sz w:val="24"/>
          <w:szCs w:val="24"/>
          <w:highlight w:val="none"/>
          <w:lang w:val="en-US" w:eastAsia="zh-CN"/>
        </w:rPr>
        <w:t>为非单一产品政府采购项目，核心产品为</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kern w:val="0"/>
          <w:sz w:val="24"/>
          <w:szCs w:val="24"/>
          <w:lang w:val="en-US" w:eastAsia="zh-CN" w:bidi="ar"/>
        </w:rPr>
        <w:t>连续性血液净化设备（CRRT）</w:t>
      </w:r>
      <w:r>
        <w:rPr>
          <w:rFonts w:hint="eastAsia" w:ascii="宋体" w:hAnsi="宋体" w:cs="宋体"/>
          <w:b/>
          <w:bCs/>
          <w:color w:val="auto"/>
          <w:sz w:val="24"/>
          <w:szCs w:val="24"/>
          <w:highlight w:val="none"/>
          <w:lang w:val="en-US" w:eastAsia="zh-CN"/>
        </w:rPr>
        <w:t>、呼吸机</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评标方法为综合评分法，提供相同品牌核心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 </w:t>
      </w:r>
    </w:p>
    <w:p w14:paraId="68AA48E7">
      <w:pPr>
        <w:keepNext w:val="0"/>
        <w:keepLines w:val="0"/>
        <w:pageBreakBefore w:val="0"/>
        <w:widowControl w:val="0"/>
        <w:kinsoku/>
        <w:wordWrap/>
        <w:overflowPunct/>
        <w:topLinePunct w:val="0"/>
        <w:autoSpaceDE/>
        <w:autoSpaceDN/>
        <w:bidi w:val="0"/>
        <w:adjustRightInd/>
        <w:spacing w:line="500" w:lineRule="exact"/>
        <w:ind w:left="630"/>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 xml:space="preserve">异常低价审查 </w:t>
      </w:r>
    </w:p>
    <w:p w14:paraId="458E095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5.1 评审中出现下列情形之一的，评标委员会应当启动异常低价投标审查程序： </w:t>
      </w:r>
    </w:p>
    <w:p w14:paraId="7FBE16E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（1）投标报价低于全部通过符合性审查供应商投标报价平均值 50%的，即投标报 </w:t>
      </w:r>
    </w:p>
    <w:p w14:paraId="26182F52">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价</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全部通过符合性审查供应商投标报价平均值×50%； </w:t>
      </w:r>
    </w:p>
    <w:p w14:paraId="69D5AB07">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（2）投标报价低于通过符合性审查的次低报价供应商投标报价 50%的，即投标报 </w:t>
      </w:r>
    </w:p>
    <w:p w14:paraId="3A7E444D">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价</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通过符合性审查的次低报价供应商投标报价×50%； </w:t>
      </w:r>
    </w:p>
    <w:p w14:paraId="60BBB99F">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（3）投标报价低于采购项目最高限价 45%的，即投标报价</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采购项目最高限价×45%； </w:t>
      </w:r>
    </w:p>
    <w:p w14:paraId="7E131BE9">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 </w:t>
      </w:r>
    </w:p>
    <w:p w14:paraId="21F6E94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不能诚信履约的其他情形评审委员会可根据项目具体情况、市场行情、供应商过往履约记录等综合判断，若认为报价过低可能导致产品质量问题或无法诚信履约，也可启动异常低价审查。 </w:t>
      </w:r>
    </w:p>
    <w:p w14:paraId="55D1ADC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注：采购人可根据项目实际情况，在上述第 1 至第 3 项基础上提高启动异常低价审查的数值标准，但最高不得超过 65%。 </w:t>
      </w:r>
    </w:p>
    <w:p w14:paraId="1673FB34">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若相关法律法规对供应商报价有特殊规定，则从其规定。 </w:t>
      </w:r>
    </w:p>
    <w:p w14:paraId="76D26E1D">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5.2 评标委员会启动异常低价投标审查后，属于前述第（1）项至第（4）项情形的，应当要求相关供应商在评审现场合理的时间内对投标价格作出解释</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 xml:space="preserve">提供项目具体成本测算等与报价合理性相关的书面说明及必要的证明材料，包括但不限于原材料成本、人工成本、制造费用等，给予相关供应商的合理时间一般不少于 30 分钟。其中，属于第（3）项情形，供应商已随投标文件一并提交相关书面说明及必要的证明材料的，在评审现场可不再重复提交。 </w:t>
      </w:r>
    </w:p>
    <w:p w14:paraId="2C8072FC">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标委员会依据专业经验，参考同类项目中标（成交）价格、类似产品及工程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 </w:t>
      </w:r>
    </w:p>
    <w:p w14:paraId="6387BA0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评标委员会在评审现场及时获取同类项目中标（成交）价格、类似产品及工程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p>
    <w:p w14:paraId="7DEB0A7B">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异常低价投标审查的启动原因、审查意见和审查结果应当在评审报告中记录，并随供应商提供的相关书面说明及证明材料，以及评标委员会有关互联网浏览、查询历史一并归档。</w:t>
      </w:r>
    </w:p>
    <w:p w14:paraId="4008979D">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政府采购信用担保及融资</w:t>
      </w:r>
    </w:p>
    <w:p w14:paraId="7825B870">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支持和促进中小企业发展，进一步发挥政府采购政策功能作用，有效缓解中小企业融资难等问题，根据财政部财库〔2011〕124号文件的精神，陕西省财政厅制订了《陕西省政府采购信用担保试点工作实施方案（试行）》和《陕西省中小企业政府采购信用融资办法》陕财办采〔2018〕23号文件，为参与陕西省政府采购项目的供应商提供政府采购信用担保，并按照程序确定了合作的担保机构。投标供应商在缴纳投标保证金及中标供应商缴纳履约保证金时可自愿选择通过担保机构保函的形式缴纳；中标（成交）供应商如果需要融资贷款服务的，可凭中标（成交）通知书、政府采购合同等相关资料，按照文件规定的程序申请办理，具体规定</w:t>
      </w:r>
      <w:r>
        <w:rPr>
          <w:rFonts w:hint="eastAsia" w:ascii="宋体" w:hAnsi="宋体" w:cs="宋体"/>
          <w:color w:val="auto"/>
          <w:sz w:val="24"/>
          <w:szCs w:val="24"/>
          <w:highlight w:val="none"/>
          <w:lang w:eastAsia="zh-CN"/>
        </w:rPr>
        <w:t>可登录</w:t>
      </w:r>
      <w:r>
        <w:rPr>
          <w:rFonts w:hint="eastAsia" w:ascii="宋体" w:hAnsi="宋体" w:eastAsia="宋体" w:cs="宋体"/>
          <w:color w:val="auto"/>
          <w:sz w:val="24"/>
          <w:szCs w:val="24"/>
          <w:highlight w:val="none"/>
        </w:rPr>
        <w:t>陕西省政府采购网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www.ccgp-shaanxi.gov.cn/</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重要通知专栏中查询了解。</w:t>
      </w:r>
    </w:p>
    <w:p w14:paraId="36A37267">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八、推荐中标候选单位</w:t>
      </w:r>
    </w:p>
    <w:p w14:paraId="20ADF685">
      <w:pPr>
        <w:pageBreakBefore w:val="0"/>
        <w:widowControl w:val="0"/>
        <w:kinsoku/>
        <w:wordWrap/>
        <w:overflowPunct/>
        <w:topLinePunct w:val="0"/>
        <w:autoSpaceDE/>
        <w:autoSpaceDN/>
        <w:bidi w:val="0"/>
        <w:snapToGrid w:val="0"/>
        <w:spacing w:line="500" w:lineRule="atLeast"/>
        <w:ind w:firstLine="5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评标小组根据以上内容进行综合打分，由高到低进行汇总排序，推荐出一个以上三个以下中标候选单位。</w:t>
      </w:r>
    </w:p>
    <w:p w14:paraId="25A32C8B">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九、确定中标单位</w:t>
      </w:r>
    </w:p>
    <w:p w14:paraId="4C6DF7B1">
      <w:pPr>
        <w:pageBreakBefore w:val="0"/>
        <w:widowControl w:val="0"/>
        <w:kinsoku/>
        <w:wordWrap/>
        <w:overflowPunct/>
        <w:topLinePunct w:val="0"/>
        <w:autoSpaceDE/>
        <w:autoSpaceDN/>
        <w:bidi w:val="0"/>
        <w:snapToGrid w:val="0"/>
        <w:spacing w:line="500" w:lineRule="atLeast"/>
        <w:ind w:firstLine="578"/>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依据评审结果编写评标结果报告，送招标单位。</w:t>
      </w:r>
    </w:p>
    <w:p w14:paraId="02C5BD37">
      <w:pPr>
        <w:pageBreakBefore w:val="0"/>
        <w:widowControl w:val="0"/>
        <w:kinsoku/>
        <w:wordWrap/>
        <w:overflowPunct/>
        <w:topLinePunct w:val="0"/>
        <w:autoSpaceDE/>
        <w:autoSpaceDN/>
        <w:bidi w:val="0"/>
        <w:snapToGrid w:val="0"/>
        <w:spacing w:line="500" w:lineRule="atLeast"/>
        <w:ind w:firstLine="578"/>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在投标文件规定的有效期内，招标人在审查评标结果报告的基础上确定中标单位，招标组织单位向确定的中标单位发出“中标通知书”。</w:t>
      </w:r>
    </w:p>
    <w:p w14:paraId="3803D38B">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十、合同</w:t>
      </w:r>
    </w:p>
    <w:p w14:paraId="667C56DB">
      <w:pPr>
        <w:pageBreakBefore w:val="0"/>
        <w:widowControl w:val="0"/>
        <w:kinsoku/>
        <w:wordWrap/>
        <w:overflowPunct/>
        <w:topLinePunct w:val="0"/>
        <w:autoSpaceDE/>
        <w:autoSpaceDN/>
        <w:bidi w:val="0"/>
        <w:adjustRightInd w:val="0"/>
        <w:snapToGrid w:val="0"/>
        <w:spacing w:line="500" w:lineRule="atLeast"/>
        <w:ind w:firstLine="645"/>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1、中标通知书发出后，中标单位与招标人洽谈合同条款，并签订合同。招标文件及中标单位投标文件均作为合同的组成部分。</w:t>
      </w:r>
      <w:r>
        <w:rPr>
          <w:rFonts w:hint="eastAsia" w:ascii="宋体" w:hAnsi="宋体" w:eastAsia="宋体" w:cs="宋体"/>
          <w:color w:val="auto"/>
          <w:sz w:val="24"/>
          <w:szCs w:val="24"/>
          <w:highlight w:val="none"/>
          <w:lang w:val="en-US" w:eastAsia="zh-CN"/>
        </w:rPr>
        <w:t xml:space="preserve">                                                                                                                                                                                                                                                                                                                                                                                                                                                                                                                                                                                                                                                                                                                                                                                                                                                                                                                                                                                                                                                                    </w:t>
      </w:r>
    </w:p>
    <w:p w14:paraId="530DB316">
      <w:pPr>
        <w:pageBreakBefore w:val="0"/>
        <w:widowControl w:val="0"/>
        <w:kinsoku/>
        <w:wordWrap/>
        <w:overflowPunct/>
        <w:topLinePunct w:val="0"/>
        <w:autoSpaceDE/>
        <w:autoSpaceDN/>
        <w:bidi w:val="0"/>
        <w:adjustRightInd w:val="0"/>
        <w:snapToGrid w:val="0"/>
        <w:spacing w:line="500" w:lineRule="atLeas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监督机构在合同履行期间以及履行期后，可以随时检查项目的执行情况，对采购标准、招标内容进行调查核实，并对发现的问题进行处理。</w:t>
      </w:r>
    </w:p>
    <w:p w14:paraId="6D9A51EF">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十一、中标服务费</w:t>
      </w:r>
    </w:p>
    <w:p w14:paraId="12C4413C">
      <w:pPr>
        <w:pageBreakBefore w:val="0"/>
        <w:widowControl w:val="0"/>
        <w:kinsoku/>
        <w:wordWrap/>
        <w:overflowPunct/>
        <w:topLinePunct w:val="0"/>
        <w:autoSpaceDE/>
        <w:autoSpaceDN/>
        <w:bidi w:val="0"/>
        <w:adjustRightInd w:val="0"/>
        <w:snapToGrid w:val="0"/>
        <w:spacing w:line="500" w:lineRule="atLeast"/>
        <w:ind w:firstLine="64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成交服务费参照</w:t>
      </w:r>
      <w:r>
        <w:rPr>
          <w:rFonts w:hint="eastAsia" w:ascii="宋体" w:hAnsi="宋体" w:cs="宋体"/>
          <w:color w:val="auto"/>
          <w:sz w:val="24"/>
          <w:szCs w:val="24"/>
          <w:highlight w:val="none"/>
          <w:lang w:val="en-US" w:eastAsia="zh-CN"/>
        </w:rPr>
        <w:t>国家发展和改革委员会</w:t>
      </w:r>
      <w:r>
        <w:rPr>
          <w:rFonts w:hint="eastAsia" w:ascii="宋体" w:hAnsi="宋体" w:eastAsia="宋体" w:cs="宋体"/>
          <w:color w:val="auto"/>
          <w:sz w:val="24"/>
          <w:szCs w:val="24"/>
          <w:highlight w:val="none"/>
          <w:lang w:val="en-US" w:eastAsia="zh-CN"/>
        </w:rPr>
        <w:t>《招标代理服务收费管理暂行办法》（计价格</w:t>
      </w:r>
      <w:r>
        <w:rPr>
          <w:rFonts w:hint="eastAsia" w:ascii="宋体" w:hAnsi="宋体" w:cs="宋体"/>
          <w:color w:val="auto"/>
          <w:sz w:val="24"/>
          <w:szCs w:val="24"/>
          <w:highlight w:val="none"/>
          <w:lang w:val="en-US" w:eastAsia="zh-CN"/>
        </w:rPr>
        <w:t>〔2002〕1980号</w:t>
      </w:r>
      <w:r>
        <w:rPr>
          <w:rFonts w:hint="eastAsia" w:ascii="宋体" w:hAnsi="宋体" w:eastAsia="宋体" w:cs="宋体"/>
          <w:color w:val="auto"/>
          <w:sz w:val="24"/>
          <w:szCs w:val="24"/>
          <w:highlight w:val="none"/>
          <w:lang w:val="en-US" w:eastAsia="zh-CN"/>
        </w:rPr>
        <w:t>）计取</w:t>
      </w:r>
      <w:r>
        <w:rPr>
          <w:rFonts w:hint="eastAsia" w:ascii="宋体" w:hAnsi="宋体" w:eastAsia="宋体" w:cs="宋体"/>
          <w:color w:val="auto"/>
          <w:sz w:val="24"/>
          <w:szCs w:val="24"/>
          <w:highlight w:val="none"/>
        </w:rPr>
        <w:t>，由成交单位支付</w:t>
      </w:r>
      <w:r>
        <w:rPr>
          <w:rFonts w:hint="eastAsia" w:ascii="宋体" w:hAnsi="宋体" w:eastAsia="宋体" w:cs="宋体"/>
          <w:color w:val="auto"/>
          <w:sz w:val="24"/>
          <w:szCs w:val="24"/>
          <w:highlight w:val="none"/>
          <w:lang w:val="en-US" w:eastAsia="zh-CN"/>
        </w:rPr>
        <w:t>向代理机构支付</w:t>
      </w:r>
      <w:r>
        <w:rPr>
          <w:rFonts w:hint="eastAsia" w:ascii="宋体" w:hAnsi="宋体" w:eastAsia="宋体" w:cs="宋体"/>
          <w:color w:val="auto"/>
          <w:sz w:val="24"/>
          <w:szCs w:val="24"/>
          <w:highlight w:val="none"/>
        </w:rPr>
        <w:t>，领取成交通知书的同时</w:t>
      </w:r>
      <w:r>
        <w:rPr>
          <w:rFonts w:hint="eastAsia" w:ascii="宋体" w:hAnsi="宋体" w:eastAsia="宋体" w:cs="宋体"/>
          <w:b/>
          <w:bCs/>
          <w:color w:val="auto"/>
          <w:sz w:val="24"/>
          <w:szCs w:val="24"/>
          <w:highlight w:val="none"/>
        </w:rPr>
        <w:t>无偿提交装订成册并加盖鲜章的纸质版文件2套及电子版U盘1份</w:t>
      </w:r>
      <w:r>
        <w:rPr>
          <w:rFonts w:hint="eastAsia" w:ascii="宋体" w:hAnsi="宋体" w:eastAsia="宋体" w:cs="宋体"/>
          <w:color w:val="auto"/>
          <w:sz w:val="24"/>
          <w:szCs w:val="24"/>
          <w:highlight w:val="none"/>
        </w:rPr>
        <w:t>。</w:t>
      </w:r>
    </w:p>
    <w:p w14:paraId="72B35D69">
      <w:pPr>
        <w:pStyle w:val="3"/>
        <w:pageBreakBefore w:val="0"/>
        <w:widowControl w:val="0"/>
        <w:kinsoku/>
        <w:wordWrap/>
        <w:overflowPunct/>
        <w:topLinePunct w:val="0"/>
        <w:autoSpaceDE/>
        <w:autoSpaceDN/>
        <w:bidi w:val="0"/>
        <w:spacing w:line="500" w:lineRule="atLeas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十二、其他事项</w:t>
      </w:r>
    </w:p>
    <w:p w14:paraId="7FCA2D0A">
      <w:pPr>
        <w:pageBreakBefore w:val="0"/>
        <w:widowControl w:val="0"/>
        <w:kinsoku/>
        <w:wordWrap/>
        <w:overflowPunct/>
        <w:topLinePunct w:val="0"/>
        <w:autoSpaceDE/>
        <w:autoSpaceDN/>
        <w:bidi w:val="0"/>
        <w:adjustRightInd w:val="0"/>
        <w:snapToGrid w:val="0"/>
        <w:spacing w:line="500" w:lineRule="atLeast"/>
        <w:ind w:firstLine="64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开标时，实际投标单位或有效投标单位不足三家，报请有关监督部门确定，可以进行重新招标或采用其他采购的方式组织招标。</w:t>
      </w:r>
    </w:p>
    <w:p w14:paraId="5E785D35">
      <w:pPr>
        <w:pageBreakBefore w:val="0"/>
        <w:widowControl w:val="0"/>
        <w:kinsoku/>
        <w:wordWrap/>
        <w:overflowPunct/>
        <w:topLinePunct w:val="0"/>
        <w:autoSpaceDE/>
        <w:autoSpaceDN/>
        <w:bidi w:val="0"/>
        <w:adjustRightInd w:val="0"/>
        <w:snapToGrid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定标或确定中标单位后，中标单位无正当理由拖延或拒签合同，采购人有权取消其中标资格，并按评标结果顺序重新确定中标单位，同时报请监督机构予以通报，取消其进入政府采购市场的资格，其投标保证金不予退还。</w:t>
      </w:r>
    </w:p>
    <w:p w14:paraId="5787CAE9">
      <w:pPr>
        <w:pageBreakBefore w:val="0"/>
        <w:widowControl w:val="0"/>
        <w:kinsoku/>
        <w:wordWrap/>
        <w:overflowPunct/>
        <w:topLinePunct w:val="0"/>
        <w:autoSpaceDE/>
        <w:autoSpaceDN/>
        <w:bidi w:val="0"/>
        <w:spacing w:line="500" w:lineRule="atLeast"/>
        <w:ind w:firstLine="540" w:firstLineChars="225"/>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拒绝商业贿赂</w:t>
      </w:r>
    </w:p>
    <w:p w14:paraId="62584C98">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投标人必须填写一份《拒绝政府采购领域商业贿赂承诺书》（格式见投标格式第</w:t>
      </w:r>
      <w:r>
        <w:rPr>
          <w:rFonts w:hint="eastAsia" w:ascii="宋体" w:hAnsi="宋体" w:eastAsia="宋体" w:cs="宋体"/>
          <w:color w:val="auto"/>
          <w:sz w:val="24"/>
          <w:szCs w:val="24"/>
          <w:highlight w:val="none"/>
          <w:lang w:val="en-US" w:eastAsia="zh-CN"/>
        </w:rPr>
        <w:t>六</w:t>
      </w:r>
      <w:r>
        <w:rPr>
          <w:rFonts w:hint="eastAsia" w:ascii="宋体" w:hAnsi="宋体" w:eastAsia="宋体" w:cs="宋体"/>
          <w:color w:val="auto"/>
          <w:sz w:val="24"/>
          <w:szCs w:val="24"/>
          <w:highlight w:val="none"/>
        </w:rPr>
        <w:t>部分）编制在投标文件中。</w:t>
      </w:r>
      <w:r>
        <w:rPr>
          <w:rFonts w:hint="eastAsia" w:ascii="宋体" w:hAnsi="宋体" w:eastAsia="宋体" w:cs="宋体"/>
          <w:color w:val="auto"/>
          <w:sz w:val="24"/>
          <w:szCs w:val="24"/>
          <w:highlight w:val="none"/>
          <w:lang w:val="en-US" w:eastAsia="zh-CN"/>
        </w:rPr>
        <w:t xml:space="preserve">                                                                                                                                                                                                                    </w:t>
      </w:r>
    </w:p>
    <w:p w14:paraId="30351EC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公开招标拟转为竞争性谈判程序</w:t>
      </w:r>
    </w:p>
    <w:p w14:paraId="2B8D5B03">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过程中提交投标文件或者经评审实质性响应招标文件要求的供应商只有两家时，采购人、采购代理机构依据《政府采购非招标采购方式管理办法》（财政部令第74号）第二十七条第二款规定并经本级财政部门批准后可以与该两家供应商进行竞争性谈判采购，具体程序如下：</w:t>
      </w:r>
    </w:p>
    <w:p w14:paraId="06059FFA">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4.1谈判小组</w:t>
      </w:r>
    </w:p>
    <w:p w14:paraId="75A12863">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（1）原公开招标组建的评标委员会现转为谈判小组。</w:t>
      </w:r>
    </w:p>
    <w:p w14:paraId="2B6F2C54">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（2）谈判小组负责谈判工作，对谈判响应文件进行审查和评估，并向采购人提交书面提交评审报告，推荐成交候选人。</w:t>
      </w:r>
    </w:p>
    <w:p w14:paraId="319D6F3C">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谈判程序： </w:t>
      </w:r>
    </w:p>
    <w:p w14:paraId="159A2FAE">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谈判的全过程分为第一次谈判报价（原参加公开招标的投标供应商的投标报价作为第一次谈判报价）、资质审查、谈判过程、第二次谈判报价、最终评审等阶段，最终报价采取集中报价形式。</w:t>
      </w:r>
    </w:p>
    <w:p w14:paraId="48F62F41">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资质审查合格的各供应商，只有在谈判响应文件（原参加公开招标的投标供应商的投标文件作为谈判响应文件）及谈判承诺符合谈判文件要求和满足技术、商务需要的才有最终报价和评审的机会。谈判小组按其最终承诺和报价内容，推荐成交候选单位排序。</w:t>
      </w:r>
    </w:p>
    <w:p w14:paraId="581BB1FB">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（1）第一次报价：原参加公开招标的投标供应商的投标报价作为第一次谈判报价</w:t>
      </w:r>
    </w:p>
    <w:p w14:paraId="6A598A7A">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（2）符合性评审：主要对各供应商资格以及谈判响应文件进行商务和技术符合性的审定。</w:t>
      </w:r>
    </w:p>
    <w:p w14:paraId="00A8E66D">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（3）谈判过程：谈判小组应在符合性评审的基础上对各供应商的谈判响应文件认真阅读，并对采购内容等有关要求进行谈判</w:t>
      </w:r>
    </w:p>
    <w:p w14:paraId="3D5F017F">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 谈判方案（原投标方案）</w:t>
      </w:r>
    </w:p>
    <w:p w14:paraId="0378C181">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 服务措施</w:t>
      </w:r>
    </w:p>
    <w:p w14:paraId="6FE7F611">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 综合评定，推荐候选成交单位。</w:t>
      </w:r>
    </w:p>
    <w:p w14:paraId="0662DA1F">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 谈判澄清：采购代理机构有权就谈判响应文件中有疑义之处或前后表述不一致的问题，向供应商提出询问或澄清。供应商必须在谈判文件规定的时间内派技术和商务人员进行澄清，有关澄清的内容应以书面形式（包括电传、传真）提交，并由供应商法定代表人或被授权人签名确认。</w:t>
      </w:r>
    </w:p>
    <w:p w14:paraId="5A617296">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（4）第二次谈判报价</w:t>
      </w:r>
    </w:p>
    <w:p w14:paraId="1820F872">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通过资质审查合格，供应商的谈判响应文件及谈判承诺符合谈判文件要求和满足技术、商务需要的，在规定的时间内报出第二次谈判报价。</w:t>
      </w:r>
    </w:p>
    <w:p w14:paraId="587B16BC">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（5）最终评审</w:t>
      </w:r>
    </w:p>
    <w:p w14:paraId="0BC4CAA9">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谈判小组根据符合采购需求、质量和服务，以综合评审有效报价（第二次谈判报价）最低者推荐为成交第一候选人，其次低价者第二候选人，以此类推。若成交候选人的报价相同时，谈判小组将分别依次序以：技术方案、商务响应的优劣的原则，确定成交候选人排序。</w:t>
      </w:r>
    </w:p>
    <w:p w14:paraId="72B45936">
      <w:pPr>
        <w:pageBreakBefore w:val="0"/>
        <w:widowControl w:val="0"/>
        <w:kinsoku/>
        <w:wordWrap/>
        <w:overflowPunct/>
        <w:topLinePunct w:val="0"/>
        <w:autoSpaceDE/>
        <w:autoSpaceDN/>
        <w:bidi w:val="0"/>
        <w:spacing w:line="500" w:lineRule="atLeas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29.3 谈判小组根据原始谈判记录和谈判结果编写谈判结果报告，报采购人。</w:t>
      </w:r>
    </w:p>
    <w:p w14:paraId="5B9A691D">
      <w:pPr>
        <w:numPr>
          <w:ilvl w:val="0"/>
          <w:numId w:val="0"/>
        </w:numPr>
        <w:rPr>
          <w:rFonts w:hint="eastAsia" w:ascii="宋体" w:hAnsi="宋体" w:eastAsia="宋体" w:cs="宋体"/>
          <w:color w:val="auto"/>
          <w:sz w:val="24"/>
          <w:szCs w:val="24"/>
          <w:highlight w:val="none"/>
          <w:lang w:val="en-US" w:eastAsia="zh-CN"/>
        </w:rPr>
      </w:pPr>
    </w:p>
    <w:p w14:paraId="601158E9">
      <w:pPr>
        <w:rPr>
          <w:rFonts w:hint="eastAsia" w:ascii="宋体" w:hAnsi="宋体" w:eastAsia="宋体" w:cs="宋体"/>
          <w:b/>
          <w:bCs/>
          <w:color w:val="auto"/>
          <w:sz w:val="32"/>
          <w:szCs w:val="32"/>
          <w:highlight w:val="none"/>
          <w:lang w:val="en-US" w:eastAsia="zh-CN"/>
        </w:rPr>
        <w:sectPr>
          <w:footerReference r:id="rId5" w:type="default"/>
          <w:pgSz w:w="11905" w:h="16840"/>
          <w:pgMar w:top="1385" w:right="1361" w:bottom="1361" w:left="1474" w:header="0" w:footer="850" w:gutter="0"/>
          <w:pgBorders>
            <w:top w:val="none" w:sz="0" w:space="0"/>
            <w:left w:val="none" w:sz="0" w:space="0"/>
            <w:bottom w:val="none" w:sz="0" w:space="0"/>
            <w:right w:val="none" w:sz="0" w:space="0"/>
          </w:pgBorders>
          <w:pgNumType w:fmt="numberInDash" w:start="2"/>
          <w:cols w:space="720" w:num="1"/>
        </w:sectPr>
      </w:pPr>
    </w:p>
    <w:p w14:paraId="3A84F7AA">
      <w:pPr>
        <w:pStyle w:val="2"/>
        <w:numPr>
          <w:ilvl w:val="0"/>
          <w:numId w:val="3"/>
        </w:numPr>
        <w:bidi w:val="0"/>
        <w:spacing w:line="240" w:lineRule="auto"/>
        <w:jc w:val="center"/>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lang w:val="en-US" w:eastAsia="zh-CN"/>
        </w:rPr>
        <w:t xml:space="preserve"> </w:t>
      </w:r>
      <w:r>
        <w:rPr>
          <w:rFonts w:hint="eastAsia" w:ascii="宋体" w:hAnsi="宋体" w:eastAsia="宋体" w:cs="宋体"/>
          <w:b/>
          <w:color w:val="auto"/>
          <w:sz w:val="36"/>
          <w:szCs w:val="20"/>
          <w:highlight w:val="none"/>
        </w:rPr>
        <w:t>采购内容</w:t>
      </w:r>
      <w:r>
        <w:rPr>
          <w:rFonts w:hint="eastAsia" w:ascii="宋体" w:hAnsi="宋体" w:eastAsia="宋体" w:cs="宋体"/>
          <w:b/>
          <w:color w:val="auto"/>
          <w:sz w:val="36"/>
          <w:szCs w:val="20"/>
          <w:highlight w:val="none"/>
          <w:lang w:val="en-US" w:eastAsia="zh-CN"/>
        </w:rPr>
        <w:t>及要求</w:t>
      </w:r>
    </w:p>
    <w:p w14:paraId="35044702">
      <w:pPr>
        <w:pStyle w:val="25"/>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注：当采购包的评标方法为综合评分法时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02955276">
      <w:pPr>
        <w:pStyle w:val="25"/>
        <w:spacing w:line="360" w:lineRule="auto"/>
        <w:outlineLvl w:val="2"/>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一、</w:t>
      </w:r>
      <w:r>
        <w:rPr>
          <w:rFonts w:hint="eastAsia" w:ascii="宋体" w:hAnsi="宋体" w:eastAsia="宋体" w:cs="宋体"/>
          <w:b/>
          <w:color w:val="auto"/>
          <w:sz w:val="24"/>
          <w:szCs w:val="24"/>
        </w:rPr>
        <w:t>采购项目概况</w:t>
      </w:r>
    </w:p>
    <w:p w14:paraId="2F5A564D">
      <w:pPr>
        <w:pStyle w:val="25"/>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重症医学科专科服务能力提升项目设备</w:t>
      </w:r>
    </w:p>
    <w:p w14:paraId="37C4E5E1">
      <w:pPr>
        <w:pStyle w:val="25"/>
        <w:spacing w:line="360" w:lineRule="auto"/>
        <w:outlineLvl w:val="2"/>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二、</w:t>
      </w:r>
      <w:r>
        <w:rPr>
          <w:rFonts w:hint="eastAsia" w:ascii="宋体" w:hAnsi="宋体" w:eastAsia="宋体" w:cs="宋体"/>
          <w:b/>
          <w:color w:val="auto"/>
          <w:sz w:val="24"/>
          <w:szCs w:val="24"/>
        </w:rPr>
        <w:t>采购内容</w:t>
      </w:r>
    </w:p>
    <w:p w14:paraId="724EC872">
      <w:pPr>
        <w:pStyle w:val="2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采购包1：</w:t>
      </w:r>
    </w:p>
    <w:p w14:paraId="593FA14B">
      <w:pPr>
        <w:pStyle w:val="2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采购包最高限价（元）</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2,</w:t>
      </w:r>
      <w:r>
        <w:rPr>
          <w:rFonts w:hint="eastAsia" w:ascii="宋体" w:hAnsi="宋体" w:eastAsia="宋体" w:cs="宋体"/>
          <w:color w:val="auto"/>
          <w:sz w:val="24"/>
          <w:szCs w:val="24"/>
          <w:lang w:val="en-US" w:eastAsia="zh-CN"/>
        </w:rPr>
        <w:t>28</w:t>
      </w:r>
      <w:r>
        <w:rPr>
          <w:rFonts w:hint="eastAsia" w:ascii="宋体" w:hAnsi="宋体" w:eastAsia="宋体" w:cs="宋体"/>
          <w:color w:val="auto"/>
          <w:sz w:val="24"/>
          <w:szCs w:val="24"/>
        </w:rPr>
        <w:t>0,000.00</w:t>
      </w:r>
    </w:p>
    <w:p w14:paraId="1C9BECC1">
      <w:pPr>
        <w:pStyle w:val="25"/>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供应商报价不允许超过标的金额</w:t>
      </w:r>
    </w:p>
    <w:p w14:paraId="19A079D3">
      <w:pPr>
        <w:rPr>
          <w:rFonts w:hint="eastAsia" w:ascii="宋体" w:hAnsi="宋体" w:eastAsia="宋体" w:cs="宋体"/>
          <w:color w:val="auto"/>
          <w:sz w:val="24"/>
          <w:szCs w:val="24"/>
        </w:rPr>
      </w:pPr>
    </w:p>
    <w:tbl>
      <w:tblPr>
        <w:tblStyle w:val="1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9"/>
        <w:gridCol w:w="2309"/>
        <w:gridCol w:w="1896"/>
        <w:gridCol w:w="2724"/>
      </w:tblGrid>
      <w:tr w14:paraId="1A28B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09" w:type="dxa"/>
            <w:vAlign w:val="center"/>
          </w:tcPr>
          <w:p w14:paraId="5D58567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kern w:val="0"/>
                <w:sz w:val="24"/>
                <w:szCs w:val="24"/>
                <w:lang w:val="en-US" w:eastAsia="zh-CN" w:bidi="ar"/>
              </w:rPr>
              <w:t>设备名称</w:t>
            </w:r>
          </w:p>
        </w:tc>
        <w:tc>
          <w:tcPr>
            <w:tcW w:w="2309" w:type="dxa"/>
            <w:vAlign w:val="center"/>
          </w:tcPr>
          <w:p w14:paraId="0F0BC64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kern w:val="0"/>
                <w:sz w:val="24"/>
                <w:szCs w:val="24"/>
                <w:lang w:val="en-US" w:eastAsia="zh-CN" w:bidi="ar"/>
              </w:rPr>
              <w:t>单位</w:t>
            </w:r>
          </w:p>
        </w:tc>
        <w:tc>
          <w:tcPr>
            <w:tcW w:w="1896" w:type="dxa"/>
            <w:vAlign w:val="center"/>
          </w:tcPr>
          <w:p w14:paraId="110A0CC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kern w:val="0"/>
                <w:sz w:val="24"/>
                <w:szCs w:val="24"/>
                <w:lang w:val="en-US" w:eastAsia="zh-CN" w:bidi="ar"/>
              </w:rPr>
              <w:t>数量</w:t>
            </w:r>
          </w:p>
        </w:tc>
        <w:tc>
          <w:tcPr>
            <w:tcW w:w="2724" w:type="dxa"/>
            <w:vAlign w:val="center"/>
          </w:tcPr>
          <w:p w14:paraId="1CB452C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kern w:val="0"/>
                <w:sz w:val="24"/>
                <w:szCs w:val="24"/>
                <w:lang w:val="en-US" w:eastAsia="zh-CN" w:bidi="ar"/>
              </w:rPr>
              <w:t>备注</w:t>
            </w:r>
          </w:p>
        </w:tc>
      </w:tr>
      <w:tr w14:paraId="57210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09" w:type="dxa"/>
            <w:vAlign w:val="center"/>
          </w:tcPr>
          <w:p w14:paraId="35BB7C4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连续性血液净化设备（CRRT）</w:t>
            </w:r>
          </w:p>
        </w:tc>
        <w:tc>
          <w:tcPr>
            <w:tcW w:w="2309" w:type="dxa"/>
            <w:vAlign w:val="center"/>
          </w:tcPr>
          <w:p w14:paraId="1A22A4E7">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台</w:t>
            </w:r>
          </w:p>
        </w:tc>
        <w:tc>
          <w:tcPr>
            <w:tcW w:w="1896" w:type="dxa"/>
            <w:vAlign w:val="center"/>
          </w:tcPr>
          <w:p w14:paraId="272D2DD7">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2</w:t>
            </w:r>
          </w:p>
        </w:tc>
        <w:tc>
          <w:tcPr>
            <w:tcW w:w="2724" w:type="dxa"/>
            <w:vAlign w:val="center"/>
          </w:tcPr>
          <w:p w14:paraId="1A2F3C7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p>
        </w:tc>
      </w:tr>
      <w:tr w14:paraId="1960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09" w:type="dxa"/>
            <w:vAlign w:val="center"/>
          </w:tcPr>
          <w:p w14:paraId="792B42B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呼吸机</w:t>
            </w:r>
          </w:p>
        </w:tc>
        <w:tc>
          <w:tcPr>
            <w:tcW w:w="2309" w:type="dxa"/>
            <w:vAlign w:val="center"/>
          </w:tcPr>
          <w:p w14:paraId="6A738787">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台</w:t>
            </w:r>
          </w:p>
        </w:tc>
        <w:tc>
          <w:tcPr>
            <w:tcW w:w="1896" w:type="dxa"/>
            <w:vAlign w:val="center"/>
          </w:tcPr>
          <w:p w14:paraId="23E7A79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7</w:t>
            </w:r>
          </w:p>
        </w:tc>
        <w:tc>
          <w:tcPr>
            <w:tcW w:w="2724" w:type="dxa"/>
            <w:vAlign w:val="center"/>
          </w:tcPr>
          <w:p w14:paraId="3DE84E5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兼备有创、无创、高流量模式</w:t>
            </w:r>
          </w:p>
        </w:tc>
      </w:tr>
      <w:tr w14:paraId="0375F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09" w:type="dxa"/>
            <w:vAlign w:val="center"/>
          </w:tcPr>
          <w:p w14:paraId="54A0919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转运呼吸机</w:t>
            </w:r>
          </w:p>
        </w:tc>
        <w:tc>
          <w:tcPr>
            <w:tcW w:w="2309" w:type="dxa"/>
            <w:vAlign w:val="center"/>
          </w:tcPr>
          <w:p w14:paraId="099F6C1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台</w:t>
            </w:r>
          </w:p>
        </w:tc>
        <w:tc>
          <w:tcPr>
            <w:tcW w:w="1896" w:type="dxa"/>
            <w:vAlign w:val="center"/>
          </w:tcPr>
          <w:p w14:paraId="442F113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1</w:t>
            </w:r>
          </w:p>
        </w:tc>
        <w:tc>
          <w:tcPr>
            <w:tcW w:w="2724" w:type="dxa"/>
            <w:vAlign w:val="center"/>
          </w:tcPr>
          <w:p w14:paraId="3D2A15E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p>
        </w:tc>
      </w:tr>
      <w:tr w14:paraId="5094D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9" w:hRule="atLeast"/>
        </w:trPr>
        <w:tc>
          <w:tcPr>
            <w:tcW w:w="2309" w:type="dxa"/>
            <w:vAlign w:val="center"/>
          </w:tcPr>
          <w:p w14:paraId="7B373ED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多参数心电监护仪</w:t>
            </w:r>
          </w:p>
        </w:tc>
        <w:tc>
          <w:tcPr>
            <w:tcW w:w="2309" w:type="dxa"/>
            <w:vAlign w:val="center"/>
          </w:tcPr>
          <w:p w14:paraId="4DD2A668">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台</w:t>
            </w:r>
          </w:p>
        </w:tc>
        <w:tc>
          <w:tcPr>
            <w:tcW w:w="1896" w:type="dxa"/>
            <w:vAlign w:val="center"/>
          </w:tcPr>
          <w:p w14:paraId="74D1CE4F">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8</w:t>
            </w:r>
          </w:p>
        </w:tc>
        <w:tc>
          <w:tcPr>
            <w:tcW w:w="2724" w:type="dxa"/>
            <w:vAlign w:val="center"/>
          </w:tcPr>
          <w:p w14:paraId="62C659E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8 台均配有创模块、呼末二氧化碳模块及中心静脉压模块，其中 2 台配 PICCO 模块</w:t>
            </w:r>
          </w:p>
        </w:tc>
      </w:tr>
      <w:tr w14:paraId="5FCD6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09" w:type="dxa"/>
            <w:vAlign w:val="center"/>
          </w:tcPr>
          <w:p w14:paraId="5173BFDC">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便携式转运监护仪</w:t>
            </w:r>
          </w:p>
        </w:tc>
        <w:tc>
          <w:tcPr>
            <w:tcW w:w="2309" w:type="dxa"/>
            <w:vAlign w:val="center"/>
          </w:tcPr>
          <w:p w14:paraId="40CB19F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台</w:t>
            </w:r>
          </w:p>
        </w:tc>
        <w:tc>
          <w:tcPr>
            <w:tcW w:w="1896" w:type="dxa"/>
            <w:vAlign w:val="center"/>
          </w:tcPr>
          <w:p w14:paraId="3736021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2</w:t>
            </w:r>
          </w:p>
        </w:tc>
        <w:tc>
          <w:tcPr>
            <w:tcW w:w="2724" w:type="dxa"/>
            <w:vAlign w:val="center"/>
          </w:tcPr>
          <w:p w14:paraId="6D1FCAD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p>
        </w:tc>
      </w:tr>
      <w:tr w14:paraId="3E297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2309" w:type="dxa"/>
            <w:vAlign w:val="center"/>
          </w:tcPr>
          <w:p w14:paraId="5FC486E1">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除颤仪</w:t>
            </w:r>
          </w:p>
        </w:tc>
        <w:tc>
          <w:tcPr>
            <w:tcW w:w="2309" w:type="dxa"/>
            <w:vAlign w:val="center"/>
          </w:tcPr>
          <w:p w14:paraId="2BB1DECF">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台</w:t>
            </w:r>
          </w:p>
        </w:tc>
        <w:tc>
          <w:tcPr>
            <w:tcW w:w="1896" w:type="dxa"/>
            <w:vAlign w:val="center"/>
          </w:tcPr>
          <w:p w14:paraId="71C1142B">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color w:val="auto"/>
                <w:kern w:val="0"/>
                <w:sz w:val="24"/>
                <w:szCs w:val="24"/>
                <w:lang w:val="en-US" w:eastAsia="zh-CN" w:bidi="ar"/>
              </w:rPr>
              <w:t>1</w:t>
            </w:r>
          </w:p>
        </w:tc>
        <w:tc>
          <w:tcPr>
            <w:tcW w:w="2724" w:type="dxa"/>
            <w:vAlign w:val="center"/>
          </w:tcPr>
          <w:p w14:paraId="525ED970">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p>
        </w:tc>
      </w:tr>
      <w:tr w14:paraId="2C8BA0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trPr>
        <w:tc>
          <w:tcPr>
            <w:tcW w:w="2309" w:type="dxa"/>
            <w:vAlign w:val="center"/>
          </w:tcPr>
          <w:p w14:paraId="45933892">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电动智能转运床</w:t>
            </w:r>
          </w:p>
        </w:tc>
        <w:tc>
          <w:tcPr>
            <w:tcW w:w="2309" w:type="dxa"/>
            <w:vAlign w:val="center"/>
          </w:tcPr>
          <w:p w14:paraId="598EEB14">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张</w:t>
            </w:r>
          </w:p>
        </w:tc>
        <w:tc>
          <w:tcPr>
            <w:tcW w:w="1896" w:type="dxa"/>
            <w:vAlign w:val="center"/>
          </w:tcPr>
          <w:p w14:paraId="24652E0A">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w:t>
            </w:r>
          </w:p>
        </w:tc>
        <w:tc>
          <w:tcPr>
            <w:tcW w:w="2724" w:type="dxa"/>
            <w:vAlign w:val="center"/>
          </w:tcPr>
          <w:p w14:paraId="4501F62E">
            <w:pPr>
              <w:keepNext w:val="0"/>
              <w:keepLines w:val="0"/>
              <w:widowControl/>
              <w:suppressLineNumbers w:val="0"/>
              <w:snapToGrid w:val="0"/>
              <w:spacing w:before="0" w:beforeAutospacing="0" w:after="0" w:afterAutospacing="0" w:line="240" w:lineRule="auto"/>
              <w:ind w:left="0" w:leftChars="0" w:right="0" w:rightChars="0" w:firstLine="0" w:firstLineChars="0"/>
              <w:jc w:val="center"/>
              <w:rPr>
                <w:rFonts w:hint="eastAsia" w:ascii="宋体" w:hAnsi="宋体" w:eastAsia="宋体" w:cs="宋体"/>
                <w:b/>
                <w:color w:val="auto"/>
                <w:sz w:val="24"/>
                <w:szCs w:val="24"/>
                <w:highlight w:val="none"/>
                <w:vertAlign w:val="baseline"/>
                <w:lang w:val="en-US" w:eastAsia="zh-CN"/>
              </w:rPr>
            </w:pPr>
          </w:p>
        </w:tc>
      </w:tr>
    </w:tbl>
    <w:p w14:paraId="413B47D0">
      <w:pPr>
        <w:pStyle w:val="25"/>
        <w:spacing w:line="360" w:lineRule="auto"/>
        <w:outlineLvl w:val="2"/>
        <w:rPr>
          <w:rFonts w:hint="eastAsia" w:ascii="宋体" w:hAnsi="宋体" w:eastAsia="宋体" w:cs="宋体"/>
          <w:b/>
          <w:color w:val="auto"/>
          <w:sz w:val="24"/>
          <w:szCs w:val="24"/>
          <w:lang w:val="en-US" w:eastAsia="zh-CN"/>
        </w:rPr>
      </w:pPr>
    </w:p>
    <w:p w14:paraId="5EBEB4E4">
      <w:pPr>
        <w:pStyle w:val="25"/>
        <w:spacing w:line="360" w:lineRule="auto"/>
        <w:outlineLvl w:val="2"/>
        <w:rPr>
          <w:rFonts w:hint="eastAsia" w:ascii="宋体" w:hAnsi="宋体" w:eastAsia="宋体" w:cs="宋体"/>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技术要求</w:t>
      </w:r>
    </w:p>
    <w:tbl>
      <w:tblPr>
        <w:tblStyle w:val="1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98"/>
        <w:gridCol w:w="1740"/>
        <w:gridCol w:w="6840"/>
      </w:tblGrid>
      <w:tr w14:paraId="371F6C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21" w:hRule="atLeast"/>
        </w:trPr>
        <w:tc>
          <w:tcPr>
            <w:tcW w:w="698" w:type="dxa"/>
            <w:vAlign w:val="center"/>
          </w:tcPr>
          <w:p w14:paraId="2D257145">
            <w:pPr>
              <w:pStyle w:val="25"/>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序号</w:t>
            </w:r>
          </w:p>
        </w:tc>
        <w:tc>
          <w:tcPr>
            <w:tcW w:w="1740" w:type="dxa"/>
            <w:vAlign w:val="center"/>
          </w:tcPr>
          <w:p w14:paraId="54216CA8">
            <w:pPr>
              <w:pStyle w:val="2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设备名称</w:t>
            </w:r>
          </w:p>
        </w:tc>
        <w:tc>
          <w:tcPr>
            <w:tcW w:w="6840" w:type="dxa"/>
            <w:vAlign w:val="center"/>
          </w:tcPr>
          <w:p w14:paraId="1207901E">
            <w:pPr>
              <w:pStyle w:val="25"/>
              <w:jc w:val="center"/>
              <w:rPr>
                <w:rFonts w:hint="eastAsia" w:ascii="宋体" w:hAnsi="宋体" w:eastAsia="宋体" w:cs="宋体"/>
                <w:color w:val="auto"/>
                <w:sz w:val="24"/>
                <w:szCs w:val="24"/>
              </w:rPr>
            </w:pPr>
            <w:r>
              <w:rPr>
                <w:rFonts w:hint="eastAsia" w:ascii="宋体" w:hAnsi="宋体" w:eastAsia="宋体" w:cs="宋体"/>
                <w:color w:val="auto"/>
                <w:sz w:val="24"/>
                <w:szCs w:val="24"/>
              </w:rPr>
              <w:t>技术参数与性能指标</w:t>
            </w:r>
          </w:p>
        </w:tc>
      </w:tr>
      <w:tr w14:paraId="2DCCB0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8" w:type="dxa"/>
            <w:vAlign w:val="center"/>
          </w:tcPr>
          <w:p w14:paraId="2EC914BA">
            <w:pPr>
              <w:pStyle w:val="25"/>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740" w:type="dxa"/>
            <w:vAlign w:val="center"/>
          </w:tcPr>
          <w:p w14:paraId="447E93CC">
            <w:pPr>
              <w:pStyle w:val="25"/>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连续性血液净化设备（CRRT）</w:t>
            </w:r>
          </w:p>
          <w:p w14:paraId="53A88748">
            <w:pPr>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（核心产品）</w:t>
            </w:r>
          </w:p>
        </w:tc>
        <w:tc>
          <w:tcPr>
            <w:tcW w:w="6840" w:type="dxa"/>
          </w:tcPr>
          <w:p w14:paraId="40E3E1E8">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rPr>
            </w:pPr>
            <w:r>
              <w:rPr>
                <w:rFonts w:hint="eastAsia" w:ascii="宋体" w:hAnsi="宋体" w:eastAsia="宋体" w:cs="宋体"/>
                <w:b/>
                <w:bCs/>
                <w:color w:val="auto"/>
                <w:sz w:val="24"/>
                <w:szCs w:val="24"/>
              </w:rPr>
              <w:t>一、功能</w:t>
            </w:r>
            <w:r>
              <w:rPr>
                <w:rFonts w:hint="eastAsia" w:ascii="宋体" w:hAnsi="宋体" w:eastAsia="宋体" w:cs="宋体"/>
                <w:b/>
                <w:bCs/>
                <w:color w:val="auto"/>
                <w:sz w:val="24"/>
                <w:szCs w:val="24"/>
                <w:lang w:eastAsia="zh-CN"/>
              </w:rPr>
              <w:t>、</w:t>
            </w:r>
            <w:r>
              <w:rPr>
                <w:rFonts w:hint="eastAsia" w:ascii="宋体" w:hAnsi="宋体" w:eastAsia="宋体" w:cs="宋体"/>
                <w:bCs/>
                <w:color w:val="auto"/>
                <w:sz w:val="24"/>
                <w:szCs w:val="24"/>
              </w:rPr>
              <w:t>临床用于连续性血液净化治疗、血浆置换治疗、血浆吸附治疗、血液灌流治疗等。</w:t>
            </w:r>
          </w:p>
          <w:p w14:paraId="56FB3D1D">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Cs/>
                <w:color w:val="auto"/>
                <w:sz w:val="24"/>
                <w:szCs w:val="24"/>
              </w:rPr>
            </w:pPr>
            <w:r>
              <w:rPr>
                <w:rFonts w:hint="eastAsia" w:ascii="宋体" w:hAnsi="宋体" w:eastAsia="宋体" w:cs="宋体"/>
                <w:b/>
                <w:bCs/>
                <w:color w:val="auto"/>
                <w:sz w:val="24"/>
                <w:szCs w:val="24"/>
              </w:rPr>
              <w:t>二、治疗模式：</w:t>
            </w:r>
            <w:r>
              <w:rPr>
                <w:rFonts w:hint="eastAsia" w:ascii="宋体" w:hAnsi="宋体" w:eastAsia="宋体" w:cs="宋体"/>
                <w:bCs/>
                <w:color w:val="auto"/>
                <w:sz w:val="24"/>
                <w:szCs w:val="24"/>
              </w:rPr>
              <w:t>支持连续性</w:t>
            </w:r>
            <w:r>
              <w:rPr>
                <w:rFonts w:hint="eastAsia" w:ascii="宋体" w:hAnsi="宋体" w:cs="宋体"/>
                <w:bCs/>
                <w:color w:val="auto"/>
                <w:sz w:val="24"/>
                <w:szCs w:val="24"/>
                <w:lang w:eastAsia="zh-CN"/>
              </w:rPr>
              <w:t>静脉</w:t>
            </w:r>
            <w:r>
              <w:rPr>
                <w:rFonts w:hint="eastAsia" w:ascii="宋体" w:hAnsi="宋体" w:eastAsia="宋体" w:cs="宋体"/>
                <w:bCs/>
                <w:color w:val="auto"/>
                <w:sz w:val="24"/>
                <w:szCs w:val="24"/>
              </w:rPr>
              <w:t>血液透析（CVVHD）、连续性</w:t>
            </w:r>
            <w:r>
              <w:rPr>
                <w:rFonts w:hint="eastAsia" w:ascii="宋体" w:hAnsi="宋体" w:cs="宋体"/>
                <w:bCs/>
                <w:color w:val="auto"/>
                <w:sz w:val="24"/>
                <w:szCs w:val="24"/>
                <w:lang w:eastAsia="zh-CN"/>
              </w:rPr>
              <w:t>静脉</w:t>
            </w:r>
            <w:r>
              <w:rPr>
                <w:rFonts w:hint="eastAsia" w:ascii="宋体" w:hAnsi="宋体" w:eastAsia="宋体" w:cs="宋体"/>
                <w:bCs/>
                <w:color w:val="auto"/>
                <w:sz w:val="24"/>
                <w:szCs w:val="24"/>
              </w:rPr>
              <w:t>血液滤过（CVVH）、血浆吸附（PA）</w:t>
            </w:r>
            <w:r>
              <w:rPr>
                <w:rFonts w:hint="eastAsia" w:ascii="宋体" w:hAnsi="宋体" w:eastAsia="宋体" w:cs="宋体"/>
                <w:bCs/>
                <w:color w:val="auto"/>
                <w:sz w:val="24"/>
                <w:szCs w:val="24"/>
                <w:lang w:eastAsia="zh-CN"/>
              </w:rPr>
              <w:t>连续性透析滤过（</w:t>
            </w:r>
            <w:r>
              <w:rPr>
                <w:rFonts w:hint="eastAsia" w:ascii="宋体" w:hAnsi="宋体" w:eastAsia="宋体" w:cs="宋体"/>
                <w:bCs/>
                <w:color w:val="auto"/>
                <w:sz w:val="24"/>
                <w:szCs w:val="24"/>
                <w:lang w:val="en-US" w:eastAsia="zh-CN"/>
              </w:rPr>
              <w:t>CVVHDF</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、单重血浆置换（PE</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CN"/>
              </w:rPr>
              <w:t xml:space="preserve">、 </w:t>
            </w:r>
            <w:r>
              <w:rPr>
                <w:rFonts w:hint="eastAsia" w:ascii="宋体" w:hAnsi="宋体" w:eastAsia="宋体" w:cs="宋体"/>
                <w:b w:val="0"/>
                <w:bCs w:val="0"/>
                <w:i w:val="0"/>
                <w:iCs w:val="0"/>
                <w:color w:val="auto"/>
                <w:kern w:val="2"/>
                <w:sz w:val="24"/>
                <w:szCs w:val="24"/>
                <w:highlight w:val="none"/>
                <w:vertAlign w:val="baseline"/>
                <w:lang w:val="en-US" w:eastAsia="zh-CN" w:bidi="ar-SA"/>
              </w:rPr>
              <w:t>缓慢性连续性超滤（SCUF）、血液灌流（HP）</w:t>
            </w:r>
            <w:r>
              <w:rPr>
                <w:rFonts w:hint="eastAsia" w:ascii="宋体" w:hAnsi="宋体" w:cs="宋体"/>
                <w:b w:val="0"/>
                <w:bCs w:val="0"/>
                <w:i w:val="0"/>
                <w:iCs w:val="0"/>
                <w:color w:val="auto"/>
                <w:kern w:val="2"/>
                <w:sz w:val="24"/>
                <w:szCs w:val="24"/>
                <w:highlight w:val="none"/>
                <w:vertAlign w:val="baseline"/>
                <w:lang w:val="en-US" w:eastAsia="zh-CN" w:bidi="ar-SA"/>
              </w:rPr>
              <w:t>等</w:t>
            </w:r>
            <w:r>
              <w:rPr>
                <w:rFonts w:hint="eastAsia" w:ascii="宋体" w:hAnsi="宋体" w:eastAsia="宋体" w:cs="宋体"/>
                <w:bCs/>
                <w:color w:val="auto"/>
                <w:sz w:val="24"/>
                <w:szCs w:val="24"/>
              </w:rPr>
              <w:t>治疗功能</w:t>
            </w:r>
            <w:r>
              <w:rPr>
                <w:rFonts w:hint="eastAsia" w:ascii="宋体" w:hAnsi="宋体" w:eastAsia="宋体" w:cs="宋体"/>
                <w:bCs/>
                <w:color w:val="auto"/>
                <w:sz w:val="24"/>
                <w:szCs w:val="24"/>
                <w:lang w:eastAsia="zh-CN"/>
              </w:rPr>
              <w:t>需取得国家注册</w:t>
            </w:r>
            <w:r>
              <w:rPr>
                <w:rFonts w:hint="eastAsia" w:ascii="宋体" w:hAnsi="宋体" w:eastAsia="宋体" w:cs="宋体"/>
                <w:bCs/>
                <w:color w:val="auto"/>
                <w:sz w:val="24"/>
                <w:szCs w:val="24"/>
              </w:rPr>
              <w:t>。</w:t>
            </w:r>
          </w:p>
          <w:p w14:paraId="149A9276">
            <w:pPr>
              <w:keepNext w:val="0"/>
              <w:keepLines w:val="0"/>
              <w:pageBreakBefore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三、技术要求</w:t>
            </w:r>
          </w:p>
          <w:p w14:paraId="73CA5A48">
            <w:pPr>
              <w:keepNext w:val="0"/>
              <w:keepLines w:val="0"/>
              <w:pageBreakBefore w:val="0"/>
              <w:numPr>
                <w:ilvl w:val="0"/>
                <w:numId w:val="4"/>
              </w:numPr>
              <w:kinsoku/>
              <w:wordWrap/>
              <w:overflowPunct/>
              <w:topLinePunct w:val="0"/>
              <w:autoSpaceDE/>
              <w:autoSpaceDN/>
              <w:bidi w:val="0"/>
              <w:adjustRightInd/>
              <w:snapToGrid/>
              <w:spacing w:line="440" w:lineRule="exact"/>
              <w:ind w:left="0" w:firstLine="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采用</w:t>
            </w:r>
            <w:r>
              <w:rPr>
                <w:rFonts w:hint="eastAsia" w:ascii="宋体" w:hAnsi="宋体" w:cs="宋体"/>
                <w:bCs/>
                <w:color w:val="auto"/>
                <w:sz w:val="24"/>
                <w:szCs w:val="24"/>
                <w:lang w:val="en-US" w:eastAsia="zh-CN"/>
              </w:rPr>
              <w:t>彩色</w:t>
            </w:r>
            <w:r>
              <w:rPr>
                <w:rFonts w:hint="eastAsia" w:ascii="宋体" w:hAnsi="宋体" w:eastAsia="宋体" w:cs="宋体"/>
                <w:bCs/>
                <w:color w:val="auto"/>
                <w:sz w:val="24"/>
                <w:szCs w:val="24"/>
              </w:rPr>
              <w:t>液晶触摸显示屏，</w:t>
            </w:r>
            <w:r>
              <w:rPr>
                <w:rFonts w:hint="eastAsia" w:ascii="宋体" w:hAnsi="宋体" w:cs="宋体"/>
                <w:bCs/>
                <w:color w:val="auto"/>
                <w:sz w:val="24"/>
                <w:szCs w:val="24"/>
                <w:lang w:eastAsia="zh-CN"/>
              </w:rPr>
              <w:t>具有</w:t>
            </w:r>
            <w:r>
              <w:rPr>
                <w:rFonts w:hint="eastAsia" w:ascii="宋体" w:hAnsi="宋体" w:eastAsia="宋体" w:cs="宋体"/>
                <w:bCs/>
                <w:color w:val="auto"/>
                <w:sz w:val="24"/>
                <w:szCs w:val="24"/>
              </w:rPr>
              <w:t>中文操作界面。</w:t>
            </w:r>
          </w:p>
          <w:p w14:paraId="256FE231">
            <w:pPr>
              <w:keepNext w:val="0"/>
              <w:keepLines w:val="0"/>
              <w:pageBreakBefore w:val="0"/>
              <w:numPr>
                <w:ilvl w:val="0"/>
                <w:numId w:val="4"/>
              </w:numPr>
              <w:kinsoku/>
              <w:wordWrap/>
              <w:overflowPunct/>
              <w:topLinePunct w:val="0"/>
              <w:autoSpaceDE/>
              <w:autoSpaceDN/>
              <w:bidi w:val="0"/>
              <w:adjustRightInd/>
              <w:snapToGrid/>
              <w:spacing w:line="440" w:lineRule="exact"/>
              <w:ind w:left="0" w:firstLine="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管路和血液滤过器分离，可兼容多种品牌的透析器、血浆分离器和灌流器等。</w:t>
            </w:r>
          </w:p>
          <w:p w14:paraId="6A9F3585">
            <w:pPr>
              <w:keepNext w:val="0"/>
              <w:keepLines w:val="0"/>
              <w:pageBreakBefore w:val="0"/>
              <w:numPr>
                <w:ilvl w:val="0"/>
                <w:numId w:val="4"/>
              </w:numPr>
              <w:kinsoku/>
              <w:wordWrap/>
              <w:overflowPunct/>
              <w:topLinePunct w:val="0"/>
              <w:autoSpaceDE/>
              <w:autoSpaceDN/>
              <w:bidi w:val="0"/>
              <w:adjustRightInd/>
              <w:snapToGrid/>
              <w:spacing w:line="440" w:lineRule="exact"/>
              <w:ind w:left="0" w:firstLine="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rPr>
              <w:t>肝素泵，支持 10ml、20ml、30ml、50ml 规格的注射器。</w:t>
            </w:r>
          </w:p>
          <w:p w14:paraId="6DDCD90A">
            <w:pPr>
              <w:keepNext w:val="0"/>
              <w:keepLines w:val="0"/>
              <w:pageBreakBefore w:val="0"/>
              <w:numPr>
                <w:ilvl w:val="0"/>
                <w:numId w:val="4"/>
              </w:numPr>
              <w:kinsoku/>
              <w:wordWrap/>
              <w:overflowPunct/>
              <w:topLinePunct w:val="0"/>
              <w:autoSpaceDE/>
              <w:autoSpaceDN/>
              <w:bidi w:val="0"/>
              <w:adjustRightInd/>
              <w:snapToGrid/>
              <w:spacing w:line="440" w:lineRule="exact"/>
              <w:ind w:left="0" w:firstLine="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流量控制范围</w:t>
            </w:r>
          </w:p>
          <w:p w14:paraId="7B69768E">
            <w:pPr>
              <w:keepNext w:val="0"/>
              <w:keepLines w:val="0"/>
              <w:pageBreakBefore w:val="0"/>
              <w:numPr>
                <w:ilvl w:val="4"/>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4.</w:t>
            </w:r>
            <w:r>
              <w:rPr>
                <w:rFonts w:hint="eastAsia" w:ascii="宋体" w:hAnsi="宋体" w:eastAsia="宋体" w:cs="宋体"/>
                <w:bCs/>
                <w:color w:val="auto"/>
                <w:sz w:val="24"/>
                <w:szCs w:val="24"/>
              </w:rPr>
              <w:t>1血泵流量范围：30mL/min～500mL/min。</w:t>
            </w:r>
          </w:p>
          <w:p w14:paraId="23BABF1D">
            <w:pPr>
              <w:keepNext w:val="0"/>
              <w:keepLines w:val="0"/>
              <w:pageBreakBefore w:val="0"/>
              <w:numPr>
                <w:ilvl w:val="4"/>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4</w:t>
            </w:r>
            <w:r>
              <w:rPr>
                <w:rFonts w:hint="eastAsia" w:ascii="宋体" w:hAnsi="宋体" w:eastAsia="宋体" w:cs="宋体"/>
                <w:bCs/>
                <w:color w:val="auto"/>
                <w:sz w:val="24"/>
                <w:szCs w:val="24"/>
              </w:rPr>
              <w:t>.2置换液流量范围：100～</w:t>
            </w:r>
            <w:r>
              <w:rPr>
                <w:rFonts w:hint="eastAsia" w:ascii="宋体" w:hAnsi="宋体" w:eastAsia="宋体" w:cs="宋体"/>
                <w:bCs/>
                <w:color w:val="auto"/>
                <w:sz w:val="24"/>
                <w:szCs w:val="24"/>
                <w:lang w:val="en-US" w:eastAsia="zh-CN"/>
              </w:rPr>
              <w:t>8</w:t>
            </w:r>
            <w:r>
              <w:rPr>
                <w:rFonts w:hint="eastAsia" w:ascii="宋体" w:hAnsi="宋体" w:eastAsia="宋体" w:cs="宋体"/>
                <w:bCs/>
                <w:color w:val="auto"/>
                <w:sz w:val="24"/>
                <w:szCs w:val="24"/>
              </w:rPr>
              <w:t>000mL/h。</w:t>
            </w:r>
          </w:p>
          <w:p w14:paraId="219D1C6F">
            <w:pPr>
              <w:keepNext w:val="0"/>
              <w:keepLines w:val="0"/>
              <w:pageBreakBefore w:val="0"/>
              <w:numPr>
                <w:ilvl w:val="4"/>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4.3</w:t>
            </w:r>
            <w:r>
              <w:rPr>
                <w:rFonts w:hint="eastAsia" w:ascii="宋体" w:hAnsi="宋体" w:eastAsia="宋体" w:cs="宋体"/>
                <w:bCs/>
                <w:color w:val="auto"/>
                <w:sz w:val="24"/>
                <w:szCs w:val="24"/>
              </w:rPr>
              <w:t>废液流量范围：100～1</w:t>
            </w:r>
            <w:r>
              <w:rPr>
                <w:rFonts w:hint="eastAsia" w:ascii="宋体" w:hAnsi="宋体" w:eastAsia="宋体" w:cs="宋体"/>
                <w:bCs/>
                <w:color w:val="auto"/>
                <w:sz w:val="24"/>
                <w:szCs w:val="24"/>
                <w:lang w:val="en-US" w:eastAsia="zh-CN"/>
              </w:rPr>
              <w:t>0</w:t>
            </w:r>
            <w:r>
              <w:rPr>
                <w:rFonts w:hint="eastAsia" w:ascii="宋体" w:hAnsi="宋体" w:eastAsia="宋体" w:cs="宋体"/>
                <w:bCs/>
                <w:color w:val="auto"/>
                <w:sz w:val="24"/>
                <w:szCs w:val="24"/>
              </w:rPr>
              <w:t>000mL/h。</w:t>
            </w:r>
          </w:p>
          <w:p w14:paraId="3D47AA47">
            <w:pPr>
              <w:keepNext w:val="0"/>
              <w:keepLines w:val="0"/>
              <w:pageBreakBefore w:val="0"/>
              <w:numPr>
                <w:ilvl w:val="0"/>
                <w:numId w:val="4"/>
              </w:numPr>
              <w:kinsoku/>
              <w:wordWrap/>
              <w:overflowPunct/>
              <w:topLinePunct w:val="0"/>
              <w:autoSpaceDE/>
              <w:autoSpaceDN/>
              <w:bidi w:val="0"/>
              <w:adjustRightInd/>
              <w:snapToGrid/>
              <w:spacing w:line="440" w:lineRule="exact"/>
              <w:ind w:left="0" w:firstLine="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rPr>
              <w:t>压力监测范围</w:t>
            </w:r>
          </w:p>
          <w:p w14:paraId="1F668598">
            <w:pPr>
              <w:keepNext w:val="0"/>
              <w:keepLines w:val="0"/>
              <w:pageBreakBefore w:val="0"/>
              <w:numPr>
                <w:ilvl w:val="4"/>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5</w:t>
            </w:r>
            <w:r>
              <w:rPr>
                <w:rFonts w:hint="eastAsia" w:ascii="宋体" w:hAnsi="宋体" w:eastAsia="宋体" w:cs="宋体"/>
                <w:bCs/>
                <w:color w:val="auto"/>
                <w:sz w:val="24"/>
                <w:szCs w:val="24"/>
              </w:rPr>
              <w:t>.1动脉压监测范围</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rPr>
              <w:t>3</w:t>
            </w:r>
            <w:r>
              <w:rPr>
                <w:rFonts w:hint="eastAsia" w:ascii="宋体" w:hAnsi="宋体" w:eastAsia="宋体" w:cs="宋体"/>
                <w:bCs/>
                <w:color w:val="auto"/>
                <w:sz w:val="24"/>
                <w:szCs w:val="24"/>
              </w:rPr>
              <w:t>00mmHg～+</w:t>
            </w:r>
            <w:r>
              <w:rPr>
                <w:rFonts w:hint="eastAsia" w:ascii="宋体" w:hAnsi="宋体" w:eastAsia="宋体" w:cs="宋体"/>
                <w:bCs/>
                <w:color w:val="auto"/>
                <w:sz w:val="24"/>
                <w:szCs w:val="24"/>
                <w:lang w:val="en-US"/>
              </w:rPr>
              <w:t>5</w:t>
            </w:r>
            <w:r>
              <w:rPr>
                <w:rFonts w:hint="eastAsia" w:ascii="宋体" w:hAnsi="宋体" w:eastAsia="宋体" w:cs="宋体"/>
                <w:bCs/>
                <w:color w:val="auto"/>
                <w:sz w:val="24"/>
                <w:szCs w:val="24"/>
              </w:rPr>
              <w:t>00mmHg。</w:t>
            </w:r>
          </w:p>
          <w:p w14:paraId="487A5806">
            <w:pPr>
              <w:keepNext w:val="0"/>
              <w:keepLines w:val="0"/>
              <w:pageBreakBefore w:val="0"/>
              <w:numPr>
                <w:ilvl w:val="4"/>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5</w:t>
            </w:r>
            <w:r>
              <w:rPr>
                <w:rFonts w:hint="eastAsia" w:ascii="宋体" w:hAnsi="宋体" w:eastAsia="宋体" w:cs="宋体"/>
                <w:bCs/>
                <w:color w:val="auto"/>
                <w:sz w:val="24"/>
                <w:szCs w:val="24"/>
              </w:rPr>
              <w:t>.2静脉压监测范围</w:t>
            </w:r>
            <w:r>
              <w:rPr>
                <w:rFonts w:hint="eastAsia" w:ascii="宋体" w:hAnsi="宋体" w:cs="宋体"/>
                <w:bCs/>
                <w:color w:val="auto"/>
                <w:sz w:val="24"/>
                <w:szCs w:val="24"/>
                <w:lang w:eastAsia="zh-CN"/>
              </w:rPr>
              <w:t>：</w:t>
            </w:r>
            <w:r>
              <w:rPr>
                <w:rFonts w:hint="eastAsia" w:ascii="宋体" w:hAnsi="宋体" w:eastAsia="宋体" w:cs="宋体"/>
                <w:bCs/>
                <w:color w:val="auto"/>
                <w:sz w:val="24"/>
                <w:szCs w:val="24"/>
              </w:rPr>
              <w:t xml:space="preserve"> -</w:t>
            </w:r>
            <w:r>
              <w:rPr>
                <w:rFonts w:hint="eastAsia" w:ascii="宋体" w:hAnsi="宋体" w:eastAsia="宋体" w:cs="宋体"/>
                <w:bCs/>
                <w:color w:val="auto"/>
                <w:sz w:val="24"/>
                <w:szCs w:val="24"/>
                <w:lang w:val="en-US"/>
              </w:rPr>
              <w:t>300</w:t>
            </w:r>
            <w:r>
              <w:rPr>
                <w:rFonts w:hint="eastAsia" w:ascii="宋体" w:hAnsi="宋体" w:eastAsia="宋体" w:cs="宋体"/>
                <w:bCs/>
                <w:color w:val="auto"/>
                <w:sz w:val="24"/>
                <w:szCs w:val="24"/>
              </w:rPr>
              <w:t>mmHg～+</w:t>
            </w:r>
            <w:r>
              <w:rPr>
                <w:rFonts w:hint="eastAsia" w:ascii="宋体" w:hAnsi="宋体" w:eastAsia="宋体" w:cs="宋体"/>
                <w:bCs/>
                <w:color w:val="auto"/>
                <w:sz w:val="24"/>
                <w:szCs w:val="24"/>
                <w:lang w:val="en-US"/>
              </w:rPr>
              <w:t>5</w:t>
            </w:r>
            <w:r>
              <w:rPr>
                <w:rFonts w:hint="eastAsia" w:ascii="宋体" w:hAnsi="宋体" w:eastAsia="宋体" w:cs="宋体"/>
                <w:bCs/>
                <w:color w:val="auto"/>
                <w:sz w:val="24"/>
                <w:szCs w:val="24"/>
              </w:rPr>
              <w:t>00mmHg。</w:t>
            </w:r>
          </w:p>
          <w:p w14:paraId="4F6E2C96">
            <w:pPr>
              <w:keepNext w:val="0"/>
              <w:keepLines w:val="0"/>
              <w:pageBreakBefore w:val="0"/>
              <w:numPr>
                <w:ilvl w:val="4"/>
                <w:numId w:val="0"/>
              </w:numPr>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rPr>
              <w:t>5</w:t>
            </w:r>
            <w:r>
              <w:rPr>
                <w:rFonts w:hint="eastAsia" w:ascii="宋体" w:hAnsi="宋体" w:eastAsia="宋体" w:cs="宋体"/>
                <w:bCs/>
                <w:color w:val="auto"/>
                <w:sz w:val="24"/>
                <w:szCs w:val="24"/>
              </w:rPr>
              <w:t>.3滤前压监测范围：-</w:t>
            </w:r>
            <w:r>
              <w:rPr>
                <w:rFonts w:hint="eastAsia" w:ascii="宋体" w:hAnsi="宋体" w:eastAsia="宋体" w:cs="宋体"/>
                <w:bCs/>
                <w:color w:val="auto"/>
                <w:sz w:val="24"/>
                <w:szCs w:val="24"/>
                <w:lang w:val="en-US"/>
              </w:rPr>
              <w:t>3</w:t>
            </w:r>
            <w:r>
              <w:rPr>
                <w:rFonts w:hint="eastAsia" w:ascii="宋体" w:hAnsi="宋体" w:eastAsia="宋体" w:cs="宋体"/>
                <w:bCs/>
                <w:color w:val="auto"/>
                <w:sz w:val="24"/>
                <w:szCs w:val="24"/>
              </w:rPr>
              <w:t>00mmHg～+</w:t>
            </w:r>
            <w:r>
              <w:rPr>
                <w:rFonts w:hint="eastAsia" w:ascii="宋体" w:hAnsi="宋体" w:eastAsia="宋体" w:cs="宋体"/>
                <w:bCs/>
                <w:color w:val="auto"/>
                <w:sz w:val="24"/>
                <w:szCs w:val="24"/>
                <w:lang w:val="en-US"/>
              </w:rPr>
              <w:t>5</w:t>
            </w:r>
            <w:r>
              <w:rPr>
                <w:rFonts w:hint="eastAsia" w:ascii="宋体" w:hAnsi="宋体" w:eastAsia="宋体" w:cs="宋体"/>
                <w:bCs/>
                <w:color w:val="auto"/>
                <w:sz w:val="24"/>
                <w:szCs w:val="24"/>
              </w:rPr>
              <w:t>00mmHg。</w:t>
            </w:r>
          </w:p>
          <w:p w14:paraId="599DD0DB">
            <w:pPr>
              <w:keepNext w:val="0"/>
              <w:keepLines w:val="0"/>
              <w:pageBreakBefore w:val="0"/>
              <w:numPr>
                <w:ilvl w:val="0"/>
                <w:numId w:val="4"/>
              </w:numPr>
              <w:kinsoku/>
              <w:wordWrap/>
              <w:overflowPunct/>
              <w:topLinePunct w:val="0"/>
              <w:autoSpaceDE/>
              <w:autoSpaceDN/>
              <w:bidi w:val="0"/>
              <w:adjustRightInd/>
              <w:snapToGrid/>
              <w:spacing w:line="440" w:lineRule="exact"/>
              <w:ind w:left="0" w:firstLine="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脱水范围为0～3000mL/h。</w:t>
            </w:r>
          </w:p>
          <w:p w14:paraId="25987307">
            <w:pPr>
              <w:keepNext w:val="0"/>
              <w:keepLines w:val="0"/>
              <w:pageBreakBefore w:val="0"/>
              <w:numPr>
                <w:ilvl w:val="0"/>
                <w:numId w:val="4"/>
              </w:numPr>
              <w:kinsoku/>
              <w:wordWrap/>
              <w:overflowPunct/>
              <w:topLinePunct w:val="0"/>
              <w:autoSpaceDE/>
              <w:autoSpaceDN/>
              <w:bidi w:val="0"/>
              <w:adjustRightInd/>
              <w:snapToGrid/>
              <w:spacing w:line="440" w:lineRule="exact"/>
              <w:ind w:left="0" w:firstLine="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rPr>
              <w:t>加热系统</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直接控制置换液温度，温度范围：33～40℃ ，置换液温度控制精度：±1℃。</w:t>
            </w:r>
          </w:p>
          <w:p w14:paraId="28A2A9D0">
            <w:pPr>
              <w:keepNext w:val="0"/>
              <w:keepLines w:val="0"/>
              <w:pageBreakBefore w:val="0"/>
              <w:numPr>
                <w:ilvl w:val="0"/>
                <w:numId w:val="4"/>
              </w:numPr>
              <w:kinsoku/>
              <w:wordWrap/>
              <w:overflowPunct/>
              <w:topLinePunct w:val="0"/>
              <w:autoSpaceDE/>
              <w:autoSpaceDN/>
              <w:bidi w:val="0"/>
              <w:adjustRightInd/>
              <w:snapToGrid/>
              <w:spacing w:line="440" w:lineRule="exact"/>
              <w:ind w:left="0" w:firstLine="0"/>
              <w:textAlignment w:val="auto"/>
              <w:rPr>
                <w:rFonts w:hint="eastAsia" w:ascii="宋体" w:hAnsi="宋体" w:eastAsia="宋体" w:cs="宋体"/>
                <w:color w:val="auto"/>
                <w:sz w:val="24"/>
                <w:szCs w:val="24"/>
              </w:rPr>
            </w:pPr>
            <w:r>
              <w:rPr>
                <w:rFonts w:hint="eastAsia" w:ascii="宋体" w:hAnsi="宋体" w:eastAsia="宋体" w:cs="宋体"/>
                <w:bCs/>
                <w:color w:val="auto"/>
                <w:sz w:val="24"/>
                <w:szCs w:val="24"/>
              </w:rPr>
              <w:t>高精度称重计，</w:t>
            </w:r>
            <w:r>
              <w:rPr>
                <w:rFonts w:hint="eastAsia" w:ascii="宋体" w:hAnsi="宋体" w:eastAsia="宋体" w:cs="宋体"/>
                <w:bCs/>
                <w:color w:val="auto"/>
                <w:sz w:val="24"/>
                <w:szCs w:val="24"/>
                <w:lang w:eastAsia="zh-CN"/>
              </w:rPr>
              <w:t>最大</w:t>
            </w:r>
            <w:r>
              <w:rPr>
                <w:rFonts w:hint="eastAsia" w:ascii="宋体" w:hAnsi="宋体" w:eastAsia="宋体" w:cs="宋体"/>
                <w:bCs/>
                <w:color w:val="auto"/>
                <w:sz w:val="24"/>
                <w:szCs w:val="24"/>
              </w:rPr>
              <w:t>称重范围</w:t>
            </w:r>
            <w:r>
              <w:rPr>
                <w:rFonts w:hint="eastAsia" w:ascii="宋体" w:hAnsi="宋体" w:eastAsia="宋体" w:cs="宋体"/>
                <w:bCs/>
                <w:color w:val="auto"/>
                <w:sz w:val="24"/>
                <w:szCs w:val="24"/>
                <w:lang w:eastAsia="zh-CN"/>
              </w:rPr>
              <w:t>可达</w:t>
            </w:r>
            <w:r>
              <w:rPr>
                <w:rFonts w:hint="eastAsia" w:ascii="宋体" w:hAnsi="宋体" w:cs="宋体"/>
                <w:bCs/>
                <w:color w:val="auto"/>
                <w:sz w:val="24"/>
                <w:szCs w:val="24"/>
                <w:lang w:val="en-US" w:eastAsia="zh-CN"/>
              </w:rPr>
              <w:t>2</w:t>
            </w:r>
            <w:r>
              <w:rPr>
                <w:rFonts w:hint="eastAsia" w:ascii="宋体" w:hAnsi="宋体" w:eastAsia="宋体" w:cs="宋体"/>
                <w:bCs/>
                <w:color w:val="auto"/>
                <w:sz w:val="24"/>
                <w:szCs w:val="24"/>
              </w:rPr>
              <w:t>0kg</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误差≤1%</w:t>
            </w:r>
            <w:r>
              <w:rPr>
                <w:rFonts w:hint="eastAsia" w:ascii="宋体" w:hAnsi="宋体" w:eastAsia="宋体" w:cs="宋体"/>
                <w:bCs/>
                <w:color w:val="auto"/>
                <w:sz w:val="24"/>
                <w:szCs w:val="24"/>
              </w:rPr>
              <w:t>。</w:t>
            </w:r>
          </w:p>
        </w:tc>
      </w:tr>
      <w:tr w14:paraId="61D89F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8" w:type="dxa"/>
            <w:vAlign w:val="center"/>
          </w:tcPr>
          <w:p w14:paraId="182C7845">
            <w:pPr>
              <w:pStyle w:val="2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1740" w:type="dxa"/>
            <w:vAlign w:val="center"/>
          </w:tcPr>
          <w:p w14:paraId="630BF4DF">
            <w:pPr>
              <w:pStyle w:val="25"/>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呼吸机</w:t>
            </w:r>
          </w:p>
          <w:p w14:paraId="7766926B">
            <w:pPr>
              <w:pStyle w:val="25"/>
              <w:keepNext w:val="0"/>
              <w:keepLines w:val="0"/>
              <w:pageBreakBefore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lang w:val="en-US"/>
              </w:rPr>
            </w:pPr>
            <w:r>
              <w:rPr>
                <w:rFonts w:hint="eastAsia" w:ascii="宋体" w:hAnsi="宋体" w:eastAsia="宋体" w:cs="宋体"/>
                <w:b/>
                <w:bCs/>
                <w:color w:val="auto"/>
                <w:sz w:val="24"/>
                <w:szCs w:val="24"/>
                <w:lang w:val="en-US" w:eastAsia="zh-CN"/>
              </w:rPr>
              <w:t>（核心产品）</w:t>
            </w:r>
          </w:p>
        </w:tc>
        <w:tc>
          <w:tcPr>
            <w:tcW w:w="6840" w:type="dxa"/>
          </w:tcPr>
          <w:p w14:paraId="4E6AA6A6">
            <w:pPr>
              <w:numPr>
                <w:ilvl w:val="0"/>
                <w:numId w:val="0"/>
              </w:numPr>
              <w:spacing w:line="360" w:lineRule="auto"/>
              <w:rPr>
                <w:rFonts w:hint="eastAsia" w:ascii="宋体" w:hAnsi="宋体" w:eastAsia="宋体" w:cs="宋体"/>
                <w:b/>
                <w:bCs w:val="0"/>
                <w:color w:val="auto"/>
                <w:sz w:val="24"/>
                <w:szCs w:val="24"/>
                <w:lang w:val="en-US" w:eastAsia="zh-Hans"/>
              </w:rPr>
            </w:pPr>
            <w:r>
              <w:rPr>
                <w:rFonts w:hint="eastAsia" w:ascii="宋体" w:hAnsi="宋体" w:eastAsia="宋体" w:cs="宋体"/>
                <w:b/>
                <w:bCs w:val="0"/>
                <w:color w:val="auto"/>
                <w:sz w:val="24"/>
                <w:szCs w:val="24"/>
                <w:lang w:val="en-US" w:eastAsia="zh-Hans"/>
              </w:rPr>
              <w:t>一、基本特征：</w:t>
            </w:r>
          </w:p>
          <w:p w14:paraId="20608856">
            <w:pPr>
              <w:numPr>
                <w:ilvl w:val="1"/>
                <w:numId w:val="5"/>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★适用于对成人、小儿和</w:t>
            </w:r>
            <w:r>
              <w:rPr>
                <w:rFonts w:hint="eastAsia" w:ascii="宋体" w:hAnsi="宋体" w:eastAsia="宋体" w:cs="宋体"/>
                <w:bCs/>
                <w:color w:val="auto"/>
                <w:sz w:val="24"/>
                <w:szCs w:val="24"/>
                <w:lang w:val="en-US" w:eastAsia="zh-CN"/>
              </w:rPr>
              <w:t>新生儿（选配）</w:t>
            </w:r>
            <w:r>
              <w:rPr>
                <w:rFonts w:hint="eastAsia" w:ascii="宋体" w:hAnsi="宋体" w:eastAsia="宋体" w:cs="宋体"/>
                <w:bCs/>
                <w:color w:val="auto"/>
                <w:sz w:val="24"/>
                <w:szCs w:val="24"/>
                <w:lang w:val="en-US" w:eastAsia="zh-Hans"/>
              </w:rPr>
              <w:t>患者，满足ICU、呼吸科和急诊</w:t>
            </w:r>
            <w:r>
              <w:rPr>
                <w:rFonts w:hint="eastAsia" w:ascii="宋体" w:hAnsi="宋体" w:eastAsia="宋体" w:cs="宋体"/>
                <w:bCs/>
                <w:color w:val="auto"/>
                <w:sz w:val="24"/>
                <w:szCs w:val="24"/>
                <w:lang w:val="en-US" w:eastAsia="zh-CN"/>
              </w:rPr>
              <w:t>科</w:t>
            </w:r>
            <w:r>
              <w:rPr>
                <w:rFonts w:hint="eastAsia" w:ascii="宋体" w:hAnsi="宋体" w:eastAsia="宋体" w:cs="宋体"/>
                <w:bCs/>
                <w:color w:val="auto"/>
                <w:sz w:val="24"/>
                <w:szCs w:val="24"/>
                <w:lang w:val="en-US" w:eastAsia="zh-Hans"/>
              </w:rPr>
              <w:t>等各种病人临床治疗需求</w:t>
            </w:r>
            <w:r>
              <w:rPr>
                <w:rFonts w:hint="eastAsia" w:ascii="宋体" w:hAnsi="宋体" w:eastAsia="宋体" w:cs="宋体"/>
                <w:bCs/>
                <w:color w:val="auto"/>
                <w:sz w:val="24"/>
                <w:szCs w:val="24"/>
                <w:lang w:val="en-US" w:eastAsia="zh-CN"/>
              </w:rPr>
              <w:t>（提供注册证佐证）。</w:t>
            </w:r>
          </w:p>
          <w:p w14:paraId="49B5FBF6">
            <w:pPr>
              <w:numPr>
                <w:ilvl w:val="1"/>
                <w:numId w:val="5"/>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 w:val="0"/>
                <w:bCs w:val="0"/>
                <w:color w:val="auto"/>
                <w:kern w:val="0"/>
                <w:sz w:val="21"/>
                <w:szCs w:val="21"/>
              </w:rPr>
              <w:t>▲</w:t>
            </w:r>
            <w:r>
              <w:rPr>
                <w:rFonts w:hint="eastAsia" w:ascii="宋体" w:hAnsi="宋体" w:eastAsia="宋体" w:cs="宋体"/>
                <w:bCs/>
                <w:color w:val="auto"/>
                <w:sz w:val="24"/>
                <w:szCs w:val="24"/>
                <w:lang w:val="en-US" w:eastAsia="zh-Hans"/>
              </w:rPr>
              <w:t>采用≥12英寸电容触摸控制屏幕，分辨率≥1280*800。</w:t>
            </w:r>
          </w:p>
          <w:p w14:paraId="7EEEA9D3">
            <w:pPr>
              <w:numPr>
                <w:ilvl w:val="1"/>
                <w:numId w:val="5"/>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 xml:space="preserve"> 吸气安全阀和呼气安全阀组件可徒手拆卸，并能高温高压蒸汽消毒（134℃）</w:t>
            </w:r>
            <w:r>
              <w:rPr>
                <w:rFonts w:hint="eastAsia" w:ascii="宋体" w:hAnsi="宋体" w:eastAsia="宋体" w:cs="宋体"/>
                <w:bCs/>
                <w:color w:val="auto"/>
                <w:sz w:val="24"/>
                <w:szCs w:val="24"/>
                <w:lang w:val="en-US" w:eastAsia="zh-CN"/>
              </w:rPr>
              <w:t>。</w:t>
            </w:r>
          </w:p>
          <w:p w14:paraId="36240E3F">
            <w:pPr>
              <w:numPr>
                <w:ilvl w:val="1"/>
                <w:numId w:val="5"/>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内置1</w:t>
            </w:r>
            <w:r>
              <w:rPr>
                <w:rFonts w:hint="eastAsia" w:ascii="宋体" w:hAnsi="宋体" w:cs="宋体"/>
                <w:bCs/>
                <w:color w:val="auto"/>
                <w:sz w:val="24"/>
                <w:szCs w:val="24"/>
                <w:lang w:val="en-US" w:eastAsia="zh-CN"/>
              </w:rPr>
              <w:t>组</w:t>
            </w:r>
            <w:r>
              <w:rPr>
                <w:rFonts w:hint="eastAsia" w:ascii="宋体" w:hAnsi="宋体" w:eastAsia="宋体" w:cs="宋体"/>
                <w:bCs/>
                <w:color w:val="auto"/>
                <w:sz w:val="24"/>
                <w:szCs w:val="24"/>
                <w:lang w:val="en-US" w:eastAsia="zh-Hans"/>
              </w:rPr>
              <w:t>电池使用时间≥1</w:t>
            </w: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lang w:val="en-US" w:eastAsia="zh-Hans"/>
              </w:rPr>
              <w:t>0分钟；可选配两</w:t>
            </w:r>
            <w:r>
              <w:rPr>
                <w:rFonts w:hint="eastAsia" w:ascii="宋体" w:hAnsi="宋体" w:cs="宋体"/>
                <w:bCs/>
                <w:color w:val="auto"/>
                <w:sz w:val="24"/>
                <w:szCs w:val="24"/>
                <w:lang w:val="en-US" w:eastAsia="zh-CN"/>
              </w:rPr>
              <w:t>组</w:t>
            </w:r>
            <w:r>
              <w:rPr>
                <w:rFonts w:hint="eastAsia" w:ascii="宋体" w:hAnsi="宋体" w:eastAsia="宋体" w:cs="宋体"/>
                <w:bCs/>
                <w:color w:val="auto"/>
                <w:sz w:val="24"/>
                <w:szCs w:val="24"/>
                <w:lang w:val="en-US" w:eastAsia="zh-Hans"/>
              </w:rPr>
              <w:t>电池，使用时间≥</w:t>
            </w:r>
            <w:r>
              <w:rPr>
                <w:rFonts w:hint="eastAsia" w:ascii="宋体" w:hAnsi="宋体" w:eastAsia="宋体" w:cs="宋体"/>
                <w:bCs/>
                <w:color w:val="auto"/>
                <w:sz w:val="24"/>
                <w:szCs w:val="24"/>
                <w:lang w:val="en-US" w:eastAsia="zh-CN"/>
              </w:rPr>
              <w:t>30</w:t>
            </w:r>
            <w:r>
              <w:rPr>
                <w:rFonts w:hint="eastAsia" w:ascii="宋体" w:hAnsi="宋体" w:eastAsia="宋体" w:cs="宋体"/>
                <w:bCs/>
                <w:color w:val="auto"/>
                <w:sz w:val="24"/>
                <w:szCs w:val="24"/>
                <w:lang w:val="en-US" w:eastAsia="zh-Hans"/>
              </w:rPr>
              <w:t>0分钟</w:t>
            </w:r>
            <w:r>
              <w:rPr>
                <w:rFonts w:hint="eastAsia" w:ascii="宋体" w:hAnsi="宋体" w:eastAsia="宋体" w:cs="宋体"/>
                <w:bCs/>
                <w:color w:val="auto"/>
                <w:sz w:val="24"/>
                <w:szCs w:val="24"/>
                <w:lang w:val="en-US" w:eastAsia="zh-CN"/>
              </w:rPr>
              <w:t>。</w:t>
            </w:r>
          </w:p>
          <w:p w14:paraId="379F46FC">
            <w:pPr>
              <w:numPr>
                <w:ilvl w:val="1"/>
                <w:numId w:val="5"/>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支持外部交流或直流电源进行供电。</w:t>
            </w:r>
          </w:p>
          <w:p w14:paraId="544398E9">
            <w:pPr>
              <w:numPr>
                <w:ilvl w:val="1"/>
                <w:numId w:val="5"/>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▲最大峰值流速≥2</w:t>
            </w:r>
            <w:r>
              <w:rPr>
                <w:rFonts w:hint="eastAsia" w:ascii="宋体" w:hAnsi="宋体" w:cs="宋体"/>
                <w:bCs/>
                <w:color w:val="auto"/>
                <w:sz w:val="24"/>
                <w:szCs w:val="24"/>
                <w:lang w:val="en-US" w:eastAsia="zh-CN"/>
              </w:rPr>
              <w:t>1</w:t>
            </w:r>
            <w:r>
              <w:rPr>
                <w:rFonts w:hint="eastAsia" w:ascii="宋体" w:hAnsi="宋体" w:eastAsia="宋体" w:cs="宋体"/>
                <w:bCs/>
                <w:color w:val="auto"/>
                <w:sz w:val="24"/>
                <w:szCs w:val="24"/>
                <w:lang w:val="en-US" w:eastAsia="zh-Hans"/>
              </w:rPr>
              <w:t xml:space="preserve">0 </w:t>
            </w:r>
            <w:r>
              <w:rPr>
                <w:rFonts w:hint="default" w:ascii="宋体" w:hAnsi="宋体" w:eastAsia="宋体" w:cs="宋体"/>
                <w:bCs/>
                <w:color w:val="auto"/>
                <w:sz w:val="24"/>
                <w:szCs w:val="24"/>
                <w:lang w:val="en-US" w:eastAsia="zh-Hans"/>
              </w:rPr>
              <w:t>L</w:t>
            </w:r>
            <w:r>
              <w:rPr>
                <w:rFonts w:hint="eastAsia" w:ascii="宋体" w:hAnsi="宋体" w:eastAsia="宋体" w:cs="宋体"/>
                <w:bCs/>
                <w:color w:val="auto"/>
                <w:sz w:val="24"/>
                <w:szCs w:val="24"/>
                <w:lang w:val="en-US" w:eastAsia="zh-Hans"/>
              </w:rPr>
              <w:t>/min</w:t>
            </w:r>
            <w:r>
              <w:rPr>
                <w:rFonts w:hint="eastAsia" w:ascii="宋体" w:hAnsi="宋体" w:eastAsia="宋体" w:cs="宋体"/>
                <w:bCs/>
                <w:color w:val="auto"/>
                <w:sz w:val="24"/>
                <w:szCs w:val="24"/>
                <w:lang w:val="en-US" w:eastAsia="zh-CN"/>
              </w:rPr>
              <w:t>。</w:t>
            </w:r>
          </w:p>
          <w:p w14:paraId="1908D861">
            <w:pPr>
              <w:numPr>
                <w:ilvl w:val="0"/>
                <w:numId w:val="0"/>
              </w:numPr>
              <w:spacing w:line="360" w:lineRule="auto"/>
              <w:rPr>
                <w:rFonts w:hint="eastAsia" w:ascii="宋体" w:hAnsi="宋体" w:eastAsia="宋体" w:cs="宋体"/>
                <w:b/>
                <w:bCs w:val="0"/>
                <w:color w:val="auto"/>
                <w:sz w:val="24"/>
                <w:szCs w:val="24"/>
                <w:lang w:val="en-US" w:eastAsia="zh-Hans"/>
              </w:rPr>
            </w:pPr>
            <w:r>
              <w:rPr>
                <w:rFonts w:hint="eastAsia" w:ascii="宋体" w:hAnsi="宋体" w:eastAsia="宋体" w:cs="宋体"/>
                <w:b/>
                <w:bCs w:val="0"/>
                <w:color w:val="auto"/>
                <w:sz w:val="24"/>
                <w:szCs w:val="24"/>
                <w:lang w:val="en-US" w:eastAsia="zh-Hans"/>
              </w:rPr>
              <w:t>二、通气模式：</w:t>
            </w:r>
          </w:p>
          <w:p w14:paraId="75EBF3A5">
            <w:pPr>
              <w:numPr>
                <w:ilvl w:val="1"/>
                <w:numId w:val="6"/>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有创通气模式：标配有创通气模式：具有压力及容量控制通气下的辅助控制通气和同步间歇指令通气模式（V-A/C、P-A/C、V-SIMV、P-SIMV）、CPAP/PSV（持续气道正压/压力支持通气）以及窒息通气等模式、压力调节容量控制和同步间歇指令通气模式（PRVC、PRVC-SIMV）、双水平气道正压通气模式、心肺复苏模式（CPRV）、自适应通气模式（如ASV/AMV）、以及容量支持通气（VS）模式。</w:t>
            </w:r>
          </w:p>
          <w:p w14:paraId="560C5ACB">
            <w:pPr>
              <w:numPr>
                <w:ilvl w:val="1"/>
                <w:numId w:val="6"/>
              </w:numPr>
              <w:spacing w:line="360" w:lineRule="auto"/>
              <w:rPr>
                <w:rFonts w:hint="eastAsia" w:ascii="宋体" w:hAnsi="宋体" w:eastAsia="宋体" w:cs="宋体"/>
                <w:bCs/>
                <w:color w:val="auto"/>
                <w:sz w:val="24"/>
                <w:szCs w:val="24"/>
                <w:lang w:val="zh-CN" w:eastAsia="zh-Hans"/>
              </w:rPr>
            </w:pPr>
            <w:r>
              <w:rPr>
                <w:rFonts w:hint="eastAsia" w:ascii="宋体" w:hAnsi="宋体" w:eastAsia="宋体" w:cs="宋体"/>
                <w:bCs/>
                <w:color w:val="auto"/>
                <w:sz w:val="24"/>
                <w:szCs w:val="24"/>
                <w:lang w:val="en-US" w:eastAsia="zh-Hans"/>
              </w:rPr>
              <w:t>具备流量支持功能，容量控制通气（VCV）模式下，在吸气阶段检测到病人有自主吸气动作，</w:t>
            </w:r>
            <w:r>
              <w:rPr>
                <w:rFonts w:hint="eastAsia" w:ascii="宋体" w:hAnsi="宋体" w:eastAsia="宋体" w:cs="宋体"/>
                <w:bCs/>
                <w:color w:val="auto"/>
                <w:sz w:val="24"/>
                <w:szCs w:val="24"/>
                <w:lang w:val="zh-CN" w:eastAsia="zh-Hans"/>
              </w:rPr>
              <w:t>机器可根据病人吸气动作</w:t>
            </w:r>
            <w:r>
              <w:rPr>
                <w:rFonts w:hint="eastAsia" w:ascii="宋体" w:hAnsi="宋体" w:eastAsia="宋体" w:cs="宋体"/>
                <w:bCs/>
                <w:color w:val="auto"/>
                <w:sz w:val="24"/>
                <w:szCs w:val="24"/>
                <w:lang w:val="en-US" w:eastAsia="zh-Hans"/>
              </w:rPr>
              <w:t>自动调节流速和时长</w:t>
            </w:r>
            <w:r>
              <w:rPr>
                <w:rFonts w:hint="eastAsia" w:ascii="宋体" w:hAnsi="宋体" w:eastAsia="宋体" w:cs="宋体"/>
                <w:bCs/>
                <w:color w:val="auto"/>
                <w:sz w:val="24"/>
                <w:szCs w:val="24"/>
                <w:lang w:val="zh-CN" w:eastAsia="zh-Hans"/>
              </w:rPr>
              <w:t>。</w:t>
            </w:r>
          </w:p>
          <w:p w14:paraId="7459705B">
            <w:pPr>
              <w:numPr>
                <w:ilvl w:val="1"/>
                <w:numId w:val="6"/>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无创通气模式：压力控制通气模式（PCV）、同步间歇指令通气SIMV(P)、持续气道正压通气(CPAP)、压力支持通气(PSV）</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val="en-US" w:eastAsia="zh-Hans"/>
              </w:rPr>
              <w:t>气道压力释放通气（APRV）等无创通气模式</w:t>
            </w:r>
            <w:r>
              <w:rPr>
                <w:rFonts w:hint="eastAsia" w:ascii="宋体" w:hAnsi="宋体" w:eastAsia="宋体" w:cs="宋体"/>
                <w:bCs/>
                <w:color w:val="auto"/>
                <w:sz w:val="24"/>
                <w:szCs w:val="24"/>
                <w:lang w:val="en-US" w:eastAsia="zh-CN"/>
              </w:rPr>
              <w:t>。</w:t>
            </w:r>
          </w:p>
          <w:p w14:paraId="7B317FF6">
            <w:pPr>
              <w:numPr>
                <w:ilvl w:val="1"/>
                <w:numId w:val="6"/>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具有高流量氧疗功</w:t>
            </w:r>
            <w:r>
              <w:rPr>
                <w:rFonts w:hint="eastAsia" w:ascii="宋体" w:hAnsi="宋体" w:eastAsia="宋体" w:cs="宋体"/>
                <w:bCs/>
                <w:color w:val="auto"/>
                <w:sz w:val="24"/>
                <w:szCs w:val="24"/>
                <w:lang w:val="en-US" w:eastAsia="zh-CN"/>
              </w:rPr>
              <w:t>能。</w:t>
            </w:r>
          </w:p>
          <w:p w14:paraId="10187272">
            <w:pPr>
              <w:numPr>
                <w:ilvl w:val="1"/>
                <w:numId w:val="6"/>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具备同步增强技术，可以将吸气、呼气触发灵敏度以及压力上升时间自动调节至最佳值，提高人机同步。</w:t>
            </w:r>
          </w:p>
          <w:p w14:paraId="0B709657">
            <w:pPr>
              <w:numPr>
                <w:ilvl w:val="1"/>
                <w:numId w:val="6"/>
              </w:numPr>
              <w:spacing w:line="360" w:lineRule="auto"/>
              <w:rPr>
                <w:rFonts w:hint="eastAsia" w:ascii="宋体" w:hAnsi="宋体" w:eastAsia="宋体" w:cs="宋体"/>
                <w:bCs/>
                <w:color w:val="auto"/>
                <w:sz w:val="24"/>
                <w:szCs w:val="24"/>
                <w:lang w:val="en-US" w:eastAsia="zh-CN"/>
              </w:rPr>
            </w:pPr>
            <w:r>
              <w:rPr>
                <w:rFonts w:hint="eastAsia" w:ascii="宋体" w:hAnsi="宋体" w:cs="宋体"/>
                <w:bCs/>
                <w:color w:val="auto"/>
                <w:sz w:val="24"/>
                <w:szCs w:val="24"/>
                <w:lang w:val="en-US" w:eastAsia="zh-CN"/>
              </w:rPr>
              <w:t>具备</w:t>
            </w:r>
            <w:r>
              <w:rPr>
                <w:rFonts w:hint="eastAsia" w:ascii="宋体" w:hAnsi="宋体" w:eastAsia="宋体" w:cs="宋体"/>
                <w:bCs/>
                <w:color w:val="auto"/>
                <w:sz w:val="24"/>
                <w:szCs w:val="24"/>
                <w:lang w:val="en-US" w:eastAsia="zh-Hans"/>
              </w:rPr>
              <w:t>肺复张功能</w:t>
            </w:r>
            <w:r>
              <w:rPr>
                <w:rFonts w:hint="eastAsia" w:ascii="宋体" w:hAnsi="宋体" w:eastAsia="宋体" w:cs="宋体"/>
                <w:bCs/>
                <w:color w:val="auto"/>
                <w:sz w:val="24"/>
                <w:szCs w:val="24"/>
                <w:lang w:val="en-US" w:eastAsia="zh-CN"/>
              </w:rPr>
              <w:t>。</w:t>
            </w:r>
          </w:p>
          <w:p w14:paraId="35C0E9A8">
            <w:pPr>
              <w:numPr>
                <w:ilvl w:val="0"/>
                <w:numId w:val="0"/>
              </w:numPr>
              <w:spacing w:line="360" w:lineRule="auto"/>
              <w:rPr>
                <w:rFonts w:hint="eastAsia" w:ascii="宋体" w:hAnsi="宋体" w:eastAsia="宋体" w:cs="宋体"/>
                <w:b/>
                <w:bCs w:val="0"/>
                <w:color w:val="auto"/>
                <w:sz w:val="24"/>
                <w:szCs w:val="24"/>
                <w:lang w:val="en-US" w:eastAsia="zh-Hans"/>
              </w:rPr>
            </w:pPr>
            <w:r>
              <w:rPr>
                <w:rFonts w:hint="eastAsia" w:ascii="宋体" w:hAnsi="宋体" w:eastAsia="宋体" w:cs="宋体"/>
                <w:b/>
                <w:bCs w:val="0"/>
                <w:color w:val="auto"/>
                <w:sz w:val="24"/>
                <w:szCs w:val="24"/>
                <w:lang w:val="en-US" w:eastAsia="zh-Hans"/>
              </w:rPr>
              <w:t>三、设置参数：</w:t>
            </w:r>
          </w:p>
          <w:p w14:paraId="36F847A6">
            <w:pPr>
              <w:numPr>
                <w:ilvl w:val="1"/>
                <w:numId w:val="7"/>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▲潮气量：</w:t>
            </w: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lang w:val="en-US" w:eastAsia="zh-Hans"/>
              </w:rPr>
              <w:t>～</w:t>
            </w:r>
            <w:r>
              <w:rPr>
                <w:rFonts w:hint="eastAsia" w:ascii="宋体" w:hAnsi="宋体" w:cs="宋体"/>
                <w:bCs/>
                <w:color w:val="auto"/>
                <w:sz w:val="24"/>
                <w:szCs w:val="24"/>
                <w:lang w:val="en-US" w:eastAsia="zh-CN"/>
              </w:rPr>
              <w:t>3</w:t>
            </w:r>
            <w:r>
              <w:rPr>
                <w:rFonts w:hint="eastAsia" w:ascii="宋体" w:hAnsi="宋体" w:eastAsia="宋体" w:cs="宋体"/>
                <w:bCs/>
                <w:color w:val="auto"/>
                <w:sz w:val="24"/>
                <w:szCs w:val="24"/>
                <w:lang w:val="en-US" w:eastAsia="zh-CN"/>
              </w:rPr>
              <w:t>0</w:t>
            </w:r>
            <w:r>
              <w:rPr>
                <w:rFonts w:hint="eastAsia" w:ascii="宋体" w:hAnsi="宋体" w:eastAsia="宋体" w:cs="宋体"/>
                <w:bCs/>
                <w:color w:val="auto"/>
                <w:sz w:val="24"/>
                <w:szCs w:val="24"/>
                <w:lang w:val="en-US" w:eastAsia="zh-Hans"/>
              </w:rPr>
              <w:t>00ml</w:t>
            </w:r>
            <w:r>
              <w:rPr>
                <w:rFonts w:hint="eastAsia" w:ascii="宋体" w:hAnsi="宋体" w:eastAsia="宋体" w:cs="宋体"/>
                <w:bCs/>
                <w:color w:val="auto"/>
                <w:sz w:val="24"/>
                <w:szCs w:val="24"/>
                <w:lang w:val="en-US" w:eastAsia="zh-CN"/>
              </w:rPr>
              <w:t xml:space="preserve">  </w:t>
            </w:r>
          </w:p>
          <w:p w14:paraId="6B6D4FCB">
            <w:pPr>
              <w:numPr>
                <w:ilvl w:val="1"/>
                <w:numId w:val="7"/>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呼吸频率：1～1</w:t>
            </w:r>
            <w:r>
              <w:rPr>
                <w:rFonts w:hint="eastAsia" w:ascii="宋体" w:hAnsi="宋体" w:eastAsia="宋体" w:cs="宋体"/>
                <w:bCs/>
                <w:color w:val="auto"/>
                <w:sz w:val="24"/>
                <w:szCs w:val="24"/>
                <w:lang w:val="en-US" w:eastAsia="zh-CN"/>
              </w:rPr>
              <w:t>0</w:t>
            </w:r>
            <w:r>
              <w:rPr>
                <w:rFonts w:hint="eastAsia" w:ascii="宋体" w:hAnsi="宋体" w:eastAsia="宋体" w:cs="宋体"/>
                <w:bCs/>
                <w:color w:val="auto"/>
                <w:sz w:val="24"/>
                <w:szCs w:val="24"/>
                <w:lang w:val="en-US" w:eastAsia="zh-Hans"/>
              </w:rPr>
              <w:t xml:space="preserve">0bpm </w:t>
            </w:r>
            <w:r>
              <w:rPr>
                <w:rFonts w:hint="eastAsia" w:ascii="宋体" w:hAnsi="宋体" w:eastAsia="宋体" w:cs="宋体"/>
                <w:bCs/>
                <w:color w:val="auto"/>
                <w:sz w:val="24"/>
                <w:szCs w:val="24"/>
                <w:lang w:val="en-US" w:eastAsia="zh-CN"/>
              </w:rPr>
              <w:t xml:space="preserve"> </w:t>
            </w:r>
          </w:p>
          <w:p w14:paraId="6EE6A409">
            <w:pPr>
              <w:numPr>
                <w:ilvl w:val="1"/>
                <w:numId w:val="7"/>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呼气末正压（PEEP）：0～50cmH</w:t>
            </w:r>
            <w:r>
              <w:rPr>
                <w:rFonts w:hint="eastAsia" w:ascii="宋体" w:hAnsi="宋体" w:cs="宋体"/>
                <w:bCs/>
                <w:color w:val="auto"/>
                <w:sz w:val="24"/>
                <w:szCs w:val="24"/>
                <w:vertAlign w:val="subscript"/>
                <w:lang w:val="en-US" w:eastAsia="zh-CN"/>
              </w:rPr>
              <w:t>2</w:t>
            </w:r>
            <w:r>
              <w:rPr>
                <w:rFonts w:hint="eastAsia" w:ascii="宋体" w:hAnsi="宋体" w:eastAsia="宋体" w:cs="宋体"/>
                <w:bCs/>
                <w:color w:val="auto"/>
                <w:sz w:val="24"/>
                <w:szCs w:val="24"/>
                <w:lang w:val="en-US" w:eastAsia="zh-Hans"/>
              </w:rPr>
              <w:t>O</w:t>
            </w:r>
          </w:p>
          <w:p w14:paraId="1629452D">
            <w:pPr>
              <w:numPr>
                <w:ilvl w:val="1"/>
                <w:numId w:val="7"/>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压力触发：-</w:t>
            </w: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lang w:val="en-US" w:eastAsia="zh-Hans"/>
              </w:rPr>
              <w:t>～</w:t>
            </w:r>
            <w:r>
              <w:rPr>
                <w:rFonts w:hint="eastAsia" w:ascii="宋体" w:hAnsi="宋体" w:cs="宋体"/>
                <w:bCs/>
                <w:color w:val="auto"/>
                <w:sz w:val="24"/>
                <w:szCs w:val="24"/>
                <w:lang w:val="en-US" w:eastAsia="zh-CN"/>
              </w:rPr>
              <w:t>-</w:t>
            </w:r>
            <w:r>
              <w:rPr>
                <w:rFonts w:hint="eastAsia" w:ascii="宋体" w:hAnsi="宋体" w:eastAsia="宋体" w:cs="宋体"/>
                <w:bCs/>
                <w:color w:val="auto"/>
                <w:sz w:val="24"/>
                <w:szCs w:val="24"/>
                <w:lang w:val="en-US" w:eastAsia="zh-Hans"/>
              </w:rPr>
              <w:t>0.5cmH</w:t>
            </w:r>
            <w:r>
              <w:rPr>
                <w:rFonts w:hint="eastAsia" w:ascii="宋体" w:hAnsi="宋体" w:eastAsia="宋体" w:cs="宋体"/>
                <w:bCs/>
                <w:color w:val="auto"/>
                <w:sz w:val="24"/>
                <w:szCs w:val="24"/>
                <w:vertAlign w:val="subscript"/>
                <w:lang w:val="en-US" w:eastAsia="zh-Hans"/>
              </w:rPr>
              <w:t>2</w:t>
            </w:r>
            <w:r>
              <w:rPr>
                <w:rFonts w:hint="eastAsia" w:ascii="宋体" w:hAnsi="宋体" w:eastAsia="宋体" w:cs="宋体"/>
                <w:bCs/>
                <w:color w:val="auto"/>
                <w:sz w:val="24"/>
                <w:szCs w:val="24"/>
                <w:lang w:val="en-US" w:eastAsia="zh-Hans"/>
              </w:rPr>
              <w:t>O</w:t>
            </w:r>
          </w:p>
          <w:p w14:paraId="72DD2E13">
            <w:pPr>
              <w:numPr>
                <w:ilvl w:val="1"/>
                <w:numId w:val="7"/>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流速触发：0.5～20 L/min</w:t>
            </w:r>
            <w:r>
              <w:rPr>
                <w:rFonts w:hint="eastAsia" w:ascii="宋体" w:hAnsi="宋体" w:eastAsia="宋体" w:cs="宋体"/>
                <w:bCs/>
                <w:color w:val="auto"/>
                <w:sz w:val="24"/>
                <w:szCs w:val="24"/>
                <w:lang w:val="en-US" w:eastAsia="zh-CN"/>
              </w:rPr>
              <w:t xml:space="preserve"> </w:t>
            </w:r>
          </w:p>
          <w:p w14:paraId="01466E34">
            <w:pPr>
              <w:numPr>
                <w:ilvl w:val="1"/>
                <w:numId w:val="7"/>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呼气</w:t>
            </w:r>
            <w:r>
              <w:rPr>
                <w:rFonts w:hint="eastAsia" w:ascii="宋体" w:hAnsi="宋体" w:eastAsia="宋体" w:cs="宋体"/>
                <w:bCs/>
                <w:color w:val="auto"/>
                <w:sz w:val="24"/>
                <w:szCs w:val="24"/>
                <w:lang w:val="en-US" w:eastAsia="zh-Hans"/>
              </w:rPr>
              <w:t>触发：</w:t>
            </w:r>
            <w:r>
              <w:rPr>
                <w:rFonts w:hint="eastAsia" w:ascii="宋体" w:hAnsi="宋体" w:eastAsia="宋体" w:cs="宋体"/>
                <w:bCs/>
                <w:color w:val="auto"/>
                <w:sz w:val="24"/>
                <w:szCs w:val="24"/>
                <w:lang w:val="en-US" w:eastAsia="zh-CN"/>
              </w:rPr>
              <w:t>Auto，1</w:t>
            </w: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lang w:val="en-US" w:eastAsia="zh-CN"/>
              </w:rPr>
              <w:t>85%</w:t>
            </w:r>
          </w:p>
          <w:p w14:paraId="1B40E850">
            <w:pPr>
              <w:numPr>
                <w:ilvl w:val="1"/>
                <w:numId w:val="7"/>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lang w:val="en-US" w:eastAsia="zh-CN"/>
              </w:rPr>
              <w:t>吸气压力：1</w:t>
            </w:r>
            <w:r>
              <w:rPr>
                <w:rFonts w:hint="eastAsia" w:ascii="宋体" w:hAnsi="宋体" w:eastAsia="宋体" w:cs="宋体"/>
                <w:bCs/>
                <w:color w:val="auto"/>
                <w:sz w:val="24"/>
                <w:szCs w:val="24"/>
                <w:lang w:val="en-US" w:eastAsia="zh-Hans"/>
              </w:rPr>
              <w:t>～90 cmH</w:t>
            </w:r>
            <w:r>
              <w:rPr>
                <w:rFonts w:hint="eastAsia" w:ascii="宋体" w:hAnsi="宋体" w:cs="宋体"/>
                <w:bCs/>
                <w:color w:val="auto"/>
                <w:sz w:val="24"/>
                <w:szCs w:val="24"/>
                <w:vertAlign w:val="subscript"/>
                <w:lang w:val="en-US" w:eastAsia="zh-CN"/>
              </w:rPr>
              <w:t>2</w:t>
            </w:r>
            <w:r>
              <w:rPr>
                <w:rFonts w:hint="eastAsia" w:ascii="宋体" w:hAnsi="宋体" w:eastAsia="宋体" w:cs="宋体"/>
                <w:bCs/>
                <w:color w:val="auto"/>
                <w:sz w:val="24"/>
                <w:szCs w:val="24"/>
                <w:lang w:val="en-US" w:eastAsia="zh-Hans"/>
              </w:rPr>
              <w:t>O</w:t>
            </w:r>
          </w:p>
          <w:p w14:paraId="3B9A4A07">
            <w:pPr>
              <w:numPr>
                <w:ilvl w:val="1"/>
                <w:numId w:val="7"/>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压力支持：0～90 cmH</w:t>
            </w:r>
            <w:r>
              <w:rPr>
                <w:rFonts w:hint="eastAsia" w:ascii="宋体" w:hAnsi="宋体" w:cs="宋体"/>
                <w:bCs/>
                <w:color w:val="auto"/>
                <w:sz w:val="24"/>
                <w:szCs w:val="24"/>
                <w:vertAlign w:val="subscript"/>
                <w:lang w:val="en-US" w:eastAsia="zh-CN"/>
              </w:rPr>
              <w:t>2</w:t>
            </w:r>
            <w:r>
              <w:rPr>
                <w:rFonts w:hint="eastAsia" w:ascii="宋体" w:hAnsi="宋体" w:eastAsia="宋体" w:cs="宋体"/>
                <w:bCs/>
                <w:color w:val="auto"/>
                <w:sz w:val="24"/>
                <w:szCs w:val="24"/>
                <w:lang w:val="en-US" w:eastAsia="zh-Hans"/>
              </w:rPr>
              <w:t>O</w:t>
            </w:r>
          </w:p>
          <w:p w14:paraId="5ADEFC38">
            <w:pPr>
              <w:numPr>
                <w:ilvl w:val="1"/>
                <w:numId w:val="7"/>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氧疗流速：2-80L/min</w:t>
            </w:r>
          </w:p>
          <w:p w14:paraId="76267CF8">
            <w:pPr>
              <w:numPr>
                <w:ilvl w:val="0"/>
                <w:numId w:val="0"/>
              </w:numPr>
              <w:spacing w:line="360" w:lineRule="auto"/>
              <w:rPr>
                <w:rFonts w:hint="eastAsia" w:ascii="宋体" w:hAnsi="宋体" w:eastAsia="宋体" w:cs="宋体"/>
                <w:b/>
                <w:bCs w:val="0"/>
                <w:color w:val="auto"/>
                <w:sz w:val="24"/>
                <w:szCs w:val="24"/>
                <w:lang w:val="en-US" w:eastAsia="zh-Hans"/>
              </w:rPr>
            </w:pPr>
            <w:r>
              <w:rPr>
                <w:rFonts w:hint="eastAsia" w:ascii="宋体" w:hAnsi="宋体" w:cs="宋体"/>
                <w:b/>
                <w:bCs w:val="0"/>
                <w:color w:val="auto"/>
                <w:sz w:val="24"/>
                <w:szCs w:val="24"/>
                <w:lang w:val="en-US" w:eastAsia="zh-CN"/>
              </w:rPr>
              <w:t>四</w:t>
            </w:r>
            <w:r>
              <w:rPr>
                <w:rFonts w:hint="eastAsia" w:ascii="宋体" w:hAnsi="宋体" w:eastAsia="宋体" w:cs="宋体"/>
                <w:b/>
                <w:bCs w:val="0"/>
                <w:color w:val="auto"/>
                <w:sz w:val="24"/>
                <w:szCs w:val="24"/>
                <w:lang w:val="en-US" w:eastAsia="zh-CN"/>
              </w:rPr>
              <w:t>、</w:t>
            </w:r>
            <w:r>
              <w:rPr>
                <w:rFonts w:hint="eastAsia" w:ascii="宋体" w:hAnsi="宋体" w:eastAsia="宋体" w:cs="宋体"/>
                <w:b/>
                <w:bCs w:val="0"/>
                <w:color w:val="auto"/>
                <w:sz w:val="24"/>
                <w:szCs w:val="24"/>
                <w:lang w:val="en-US" w:eastAsia="zh-Hans"/>
              </w:rPr>
              <w:t>监测功能：</w:t>
            </w:r>
          </w:p>
          <w:p w14:paraId="1B963345">
            <w:pPr>
              <w:numPr>
                <w:ilvl w:val="1"/>
                <w:numId w:val="8"/>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实时波形：容量-时间、流速-时间、压力-时间波形监测</w:t>
            </w:r>
            <w:r>
              <w:rPr>
                <w:rFonts w:hint="eastAsia" w:ascii="宋体" w:hAnsi="宋体" w:eastAsia="宋体" w:cs="宋体"/>
                <w:bCs/>
                <w:color w:val="auto"/>
                <w:sz w:val="24"/>
                <w:szCs w:val="24"/>
                <w:lang w:val="en-US" w:eastAsia="zh-CN"/>
              </w:rPr>
              <w:t>。</w:t>
            </w:r>
          </w:p>
          <w:p w14:paraId="0A227D4A">
            <w:pPr>
              <w:numPr>
                <w:ilvl w:val="1"/>
                <w:numId w:val="8"/>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▲呼吸环：压力-容量环，容量-流速环，压力-流速环</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val="en-US" w:eastAsia="zh-Hans"/>
              </w:rPr>
              <w:t>可同屏显示</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lang w:val="en-US" w:eastAsia="zh-Hans"/>
              </w:rPr>
              <w:t>道波形和2个呼吸环图</w:t>
            </w:r>
            <w:r>
              <w:rPr>
                <w:rFonts w:hint="eastAsia" w:ascii="宋体" w:hAnsi="宋体" w:eastAsia="宋体" w:cs="宋体"/>
                <w:bCs/>
                <w:color w:val="auto"/>
                <w:sz w:val="24"/>
                <w:szCs w:val="24"/>
                <w:lang w:val="en-US" w:eastAsia="zh-CN"/>
              </w:rPr>
              <w:t>。</w:t>
            </w:r>
          </w:p>
          <w:p w14:paraId="149E1108">
            <w:pPr>
              <w:numPr>
                <w:ilvl w:val="1"/>
                <w:numId w:val="8"/>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具有P-V工具，可自动确认高低拐点，帮助临床确定最佳PEEP值</w:t>
            </w:r>
            <w:r>
              <w:rPr>
                <w:rFonts w:hint="eastAsia" w:ascii="宋体" w:hAnsi="宋体" w:eastAsia="宋体" w:cs="宋体"/>
                <w:bCs/>
                <w:color w:val="auto"/>
                <w:sz w:val="24"/>
                <w:szCs w:val="24"/>
                <w:lang w:val="en-US" w:eastAsia="zh-CN"/>
              </w:rPr>
              <w:t>。</w:t>
            </w:r>
          </w:p>
          <w:p w14:paraId="4C71DBF9">
            <w:pPr>
              <w:numPr>
                <w:ilvl w:val="1"/>
                <w:numId w:val="8"/>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监测参数</w:t>
            </w: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lang w:val="en-US" w:eastAsia="zh-CN"/>
              </w:rPr>
              <w:t>具备</w:t>
            </w:r>
            <w:r>
              <w:rPr>
                <w:rFonts w:hint="eastAsia" w:ascii="宋体" w:hAnsi="宋体" w:eastAsia="宋体" w:cs="宋体"/>
                <w:bCs/>
                <w:color w:val="auto"/>
                <w:sz w:val="24"/>
                <w:szCs w:val="24"/>
                <w:lang w:val="en-US" w:eastAsia="zh-Hans"/>
              </w:rPr>
              <w:t>平均气道压、气道峰压、吸气平台压、驱动压、最小气道压、呼吸功、吸入潮气量、呼出潮气量、分钟通气量、自主分钟通气量</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val="en-US" w:eastAsia="zh-Hans"/>
              </w:rPr>
              <w:t>吸气时间、呼气时间、吸呼比、总呼吸频率、自主呼吸频率、时间常数</w:t>
            </w:r>
            <w:r>
              <w:rPr>
                <w:rFonts w:hint="eastAsia" w:ascii="宋体" w:hAnsi="宋体" w:eastAsia="宋体" w:cs="宋体"/>
                <w:bCs/>
                <w:color w:val="auto"/>
                <w:sz w:val="24"/>
                <w:szCs w:val="24"/>
                <w:lang w:val="en-US" w:eastAsia="zh-CN"/>
              </w:rPr>
              <w:t>等。</w:t>
            </w:r>
          </w:p>
          <w:p w14:paraId="78F16D70">
            <w:pPr>
              <w:numPr>
                <w:ilvl w:val="1"/>
                <w:numId w:val="8"/>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具有二氧化碳监测功能，同时显示二氧化碳波形图及环形图。</w:t>
            </w:r>
          </w:p>
          <w:p w14:paraId="622FB977">
            <w:pPr>
              <w:numPr>
                <w:ilvl w:val="1"/>
                <w:numId w:val="8"/>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▲具有动态肺功能，图形化显示病人</w:t>
            </w:r>
            <w:r>
              <w:rPr>
                <w:rFonts w:hint="eastAsia" w:ascii="宋体" w:hAnsi="宋体" w:eastAsia="宋体" w:cs="宋体"/>
                <w:bCs/>
                <w:color w:val="auto"/>
                <w:sz w:val="24"/>
                <w:szCs w:val="24"/>
                <w:lang w:val="en-US" w:eastAsia="zh-CN"/>
              </w:rPr>
              <w:t>肺损伤和肺塌陷风险</w:t>
            </w:r>
            <w:r>
              <w:rPr>
                <w:rFonts w:hint="eastAsia" w:ascii="宋体" w:hAnsi="宋体" w:eastAsia="宋体" w:cs="宋体"/>
                <w:bCs/>
                <w:color w:val="auto"/>
                <w:sz w:val="24"/>
                <w:szCs w:val="24"/>
                <w:lang w:val="en-US" w:eastAsia="zh-Hans"/>
              </w:rPr>
              <w:t>，实时反映病人肺顺应性、气道阻力自主呼吸频率等指标参数。</w:t>
            </w:r>
          </w:p>
          <w:p w14:paraId="2437077E">
            <w:pPr>
              <w:numPr>
                <w:ilvl w:val="1"/>
                <w:numId w:val="8"/>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可选配SPO2监测模块，实时显示SPO2波形及</w:t>
            </w:r>
            <w:r>
              <w:rPr>
                <w:rFonts w:hint="eastAsia" w:ascii="宋体" w:hAnsi="宋体" w:eastAsia="宋体" w:cs="宋体"/>
                <w:bCs/>
                <w:color w:val="auto"/>
                <w:sz w:val="24"/>
                <w:szCs w:val="24"/>
                <w:lang w:val="en-US" w:eastAsia="zh-CN"/>
              </w:rPr>
              <w:t>脉率PR、灌注指数PI、ROX指数</w:t>
            </w:r>
            <w:r>
              <w:rPr>
                <w:rFonts w:hint="eastAsia" w:ascii="宋体" w:hAnsi="宋体" w:eastAsia="宋体" w:cs="宋体"/>
                <w:bCs/>
                <w:color w:val="auto"/>
                <w:sz w:val="24"/>
                <w:szCs w:val="24"/>
                <w:lang w:val="en-US" w:eastAsia="zh-Hans"/>
              </w:rPr>
              <w:t>。</w:t>
            </w:r>
          </w:p>
          <w:p w14:paraId="58C28BAB">
            <w:pPr>
              <w:numPr>
                <w:ilvl w:val="1"/>
                <w:numId w:val="8"/>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具备多种脱机参数监测显示：包括P0.1、NIF、浅快呼吸指数、呼吸功、自主触发次数</w:t>
            </w:r>
            <w:r>
              <w:rPr>
                <w:rFonts w:hint="eastAsia" w:ascii="宋体" w:hAnsi="宋体" w:eastAsia="宋体" w:cs="宋体"/>
                <w:bCs/>
                <w:color w:val="auto"/>
                <w:sz w:val="24"/>
                <w:szCs w:val="24"/>
                <w:lang w:val="en-US" w:eastAsia="zh-CN"/>
              </w:rPr>
              <w:t>统计</w:t>
            </w:r>
            <w:r>
              <w:rPr>
                <w:rFonts w:hint="eastAsia" w:ascii="宋体" w:hAnsi="宋体" w:eastAsia="宋体" w:cs="宋体"/>
                <w:bCs/>
                <w:color w:val="auto"/>
                <w:sz w:val="24"/>
                <w:szCs w:val="24"/>
                <w:lang w:val="en-US" w:eastAsia="zh-Hans"/>
              </w:rPr>
              <w:t>等参数监测。</w:t>
            </w:r>
          </w:p>
          <w:p w14:paraId="5EF3E6C3">
            <w:pPr>
              <w:numPr>
                <w:ilvl w:val="1"/>
                <w:numId w:val="8"/>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具备肺力学测量功能，可测量静态顺应性、气道阻力、PEEPtot、PEEPi、驱动压等数值。</w:t>
            </w:r>
          </w:p>
          <w:p w14:paraId="42044FD3">
            <w:pPr>
              <w:numPr>
                <w:ilvl w:val="1"/>
                <w:numId w:val="8"/>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有触发提示功能，可观察患者在过去一分钟和一小时内患者触发次数。</w:t>
            </w:r>
          </w:p>
          <w:p w14:paraId="4DF69A71">
            <w:pPr>
              <w:numPr>
                <w:ilvl w:val="0"/>
                <w:numId w:val="0"/>
              </w:numPr>
              <w:spacing w:line="360" w:lineRule="auto"/>
              <w:rPr>
                <w:rFonts w:hint="eastAsia" w:ascii="宋体" w:hAnsi="宋体" w:cs="宋体"/>
                <w:b/>
                <w:bCs w:val="0"/>
                <w:color w:val="auto"/>
                <w:sz w:val="24"/>
                <w:szCs w:val="24"/>
                <w:lang w:val="en-US" w:eastAsia="zh-Hans"/>
              </w:rPr>
            </w:pPr>
            <w:r>
              <w:rPr>
                <w:rFonts w:hint="eastAsia" w:ascii="宋体" w:hAnsi="宋体" w:cs="宋体"/>
                <w:b/>
                <w:bCs w:val="0"/>
                <w:color w:val="auto"/>
                <w:sz w:val="24"/>
                <w:szCs w:val="24"/>
                <w:lang w:val="en-US" w:eastAsia="zh-Hans"/>
              </w:rPr>
              <w:t>五、报警</w:t>
            </w:r>
          </w:p>
          <w:p w14:paraId="6ADB9E21">
            <w:pPr>
              <w:numPr>
                <w:ilvl w:val="1"/>
                <w:numId w:val="9"/>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具备三级声光报警功能。</w:t>
            </w:r>
          </w:p>
          <w:p w14:paraId="160AE656">
            <w:pPr>
              <w:numPr>
                <w:ilvl w:val="1"/>
                <w:numId w:val="9"/>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其他：管道脱落、传感器故障、气体供应不足、电池故障、呼气口阻塞、系统断电、空气气源压力低等报警。</w:t>
            </w:r>
          </w:p>
          <w:p w14:paraId="5D9D719F">
            <w:pPr>
              <w:numPr>
                <w:ilvl w:val="1"/>
                <w:numId w:val="9"/>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通气主界面可快速查看报警日志，可显示≥10条报警信息。</w:t>
            </w:r>
          </w:p>
          <w:p w14:paraId="10498632">
            <w:pPr>
              <w:numPr>
                <w:ilvl w:val="0"/>
                <w:numId w:val="0"/>
              </w:numPr>
              <w:spacing w:line="360" w:lineRule="auto"/>
              <w:rPr>
                <w:rFonts w:hint="eastAsia" w:ascii="宋体" w:hAnsi="宋体" w:cs="宋体"/>
                <w:b/>
                <w:bCs w:val="0"/>
                <w:color w:val="auto"/>
                <w:sz w:val="24"/>
                <w:szCs w:val="24"/>
                <w:lang w:val="en-US" w:eastAsia="zh-Hans"/>
              </w:rPr>
            </w:pPr>
            <w:r>
              <w:rPr>
                <w:rFonts w:hint="eastAsia" w:ascii="宋体" w:hAnsi="宋体" w:cs="宋体"/>
                <w:b/>
                <w:bCs w:val="0"/>
                <w:color w:val="auto"/>
                <w:sz w:val="24"/>
                <w:szCs w:val="24"/>
                <w:lang w:val="en-US" w:eastAsia="zh-CN"/>
              </w:rPr>
              <w:t>六、</w:t>
            </w:r>
            <w:r>
              <w:rPr>
                <w:rFonts w:hint="eastAsia" w:ascii="宋体" w:hAnsi="宋体" w:cs="宋体"/>
                <w:b/>
                <w:bCs w:val="0"/>
                <w:color w:val="auto"/>
                <w:sz w:val="24"/>
                <w:szCs w:val="24"/>
                <w:lang w:val="en-US" w:eastAsia="zh-Hans"/>
              </w:rPr>
              <w:t>其他功能</w:t>
            </w:r>
          </w:p>
          <w:p w14:paraId="36EC08D2">
            <w:pPr>
              <w:numPr>
                <w:ilvl w:val="1"/>
                <w:numId w:val="10"/>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支持各类事件记录，保存</w:t>
            </w:r>
            <w:r>
              <w:rPr>
                <w:rFonts w:hint="eastAsia" w:ascii="宋体" w:hAnsi="宋体" w:eastAsia="宋体" w:cs="宋体"/>
                <w:bCs/>
                <w:color w:val="auto"/>
                <w:sz w:val="24"/>
                <w:szCs w:val="24"/>
                <w:lang w:val="en-US" w:eastAsia="zh-CN"/>
              </w:rPr>
              <w:t>≥</w:t>
            </w:r>
            <w:r>
              <w:rPr>
                <w:rFonts w:hint="eastAsia" w:ascii="宋体" w:hAnsi="宋体" w:cs="宋体"/>
                <w:bCs/>
                <w:color w:val="auto"/>
                <w:sz w:val="24"/>
                <w:szCs w:val="24"/>
                <w:lang w:val="en-US" w:eastAsia="zh-CN"/>
              </w:rPr>
              <w:t>1</w:t>
            </w:r>
            <w:r>
              <w:rPr>
                <w:rFonts w:hint="eastAsia" w:ascii="宋体" w:hAnsi="宋体" w:eastAsia="宋体" w:cs="宋体"/>
                <w:bCs/>
                <w:color w:val="auto"/>
                <w:sz w:val="24"/>
                <w:szCs w:val="24"/>
                <w:lang w:val="en-US" w:eastAsia="zh-Hans"/>
              </w:rPr>
              <w:t>0000条日志。</w:t>
            </w:r>
          </w:p>
          <w:p w14:paraId="5B69380D">
            <w:pPr>
              <w:numPr>
                <w:ilvl w:val="1"/>
                <w:numId w:val="10"/>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雾化系统：具备气动雾化功能</w:t>
            </w:r>
            <w:r>
              <w:rPr>
                <w:rFonts w:hint="eastAsia" w:ascii="宋体" w:hAnsi="宋体" w:eastAsia="宋体" w:cs="宋体"/>
                <w:bCs/>
                <w:color w:val="auto"/>
                <w:sz w:val="24"/>
                <w:szCs w:val="24"/>
                <w:lang w:val="en-US" w:eastAsia="zh-CN"/>
              </w:rPr>
              <w:t>。</w:t>
            </w:r>
          </w:p>
          <w:p w14:paraId="7983B7A7">
            <w:pPr>
              <w:numPr>
                <w:ilvl w:val="1"/>
                <w:numId w:val="10"/>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具有USB数据导出接口。</w:t>
            </w:r>
          </w:p>
          <w:p w14:paraId="0F338642">
            <w:pPr>
              <w:numPr>
                <w:ilvl w:val="1"/>
                <w:numId w:val="10"/>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具备HDMI高清接口，可将呼吸机屏幕实时投放到</w:t>
            </w:r>
            <w:r>
              <w:rPr>
                <w:rFonts w:hint="eastAsia" w:ascii="宋体" w:hAnsi="宋体" w:cs="宋体"/>
                <w:bCs/>
                <w:color w:val="auto"/>
                <w:sz w:val="24"/>
                <w:szCs w:val="24"/>
                <w:lang w:val="en-US" w:eastAsia="zh-CN"/>
              </w:rPr>
              <w:t>外接</w:t>
            </w:r>
            <w:r>
              <w:rPr>
                <w:rFonts w:hint="eastAsia" w:ascii="宋体" w:hAnsi="宋体" w:eastAsia="宋体" w:cs="宋体"/>
                <w:bCs/>
                <w:color w:val="auto"/>
                <w:sz w:val="24"/>
                <w:szCs w:val="24"/>
                <w:lang w:val="en-US" w:eastAsia="zh-Hans"/>
              </w:rPr>
              <w:t>显示器使用。</w:t>
            </w:r>
          </w:p>
          <w:p w14:paraId="790F4697">
            <w:pPr>
              <w:numPr>
                <w:ilvl w:val="1"/>
                <w:numId w:val="10"/>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具备</w:t>
            </w:r>
            <w:r>
              <w:rPr>
                <w:rFonts w:hint="eastAsia" w:ascii="宋体" w:hAnsi="宋体" w:eastAsia="宋体" w:cs="宋体"/>
                <w:bCs/>
                <w:color w:val="auto"/>
                <w:sz w:val="24"/>
                <w:szCs w:val="24"/>
                <w:lang w:val="en-US" w:eastAsia="zh-Hans"/>
              </w:rPr>
              <w:t>WIFI</w:t>
            </w:r>
            <w:r>
              <w:rPr>
                <w:rFonts w:hint="eastAsia" w:ascii="宋体" w:hAnsi="宋体" w:eastAsia="宋体" w:cs="宋体"/>
                <w:bCs/>
                <w:color w:val="auto"/>
                <w:sz w:val="24"/>
                <w:szCs w:val="24"/>
                <w:lang w:val="en-US" w:eastAsia="zh-CN"/>
              </w:rPr>
              <w:t>或移动网络通讯</w:t>
            </w:r>
            <w:r>
              <w:rPr>
                <w:rFonts w:hint="eastAsia" w:ascii="宋体" w:hAnsi="宋体" w:eastAsia="宋体" w:cs="宋体"/>
                <w:bCs/>
                <w:color w:val="auto"/>
                <w:sz w:val="24"/>
                <w:szCs w:val="24"/>
                <w:lang w:val="en-US" w:eastAsia="zh-Hans"/>
              </w:rPr>
              <w:t>模块，</w:t>
            </w:r>
            <w:r>
              <w:rPr>
                <w:rFonts w:hint="eastAsia" w:ascii="宋体" w:hAnsi="宋体" w:eastAsia="宋体" w:cs="宋体"/>
                <w:bCs/>
                <w:color w:val="auto"/>
                <w:sz w:val="24"/>
                <w:szCs w:val="24"/>
                <w:lang w:val="en-US" w:eastAsia="zh-CN"/>
              </w:rPr>
              <w:t>可通过网络</w:t>
            </w:r>
            <w:r>
              <w:rPr>
                <w:rFonts w:hint="eastAsia" w:ascii="宋体" w:hAnsi="宋体" w:eastAsia="宋体" w:cs="宋体"/>
                <w:bCs/>
                <w:color w:val="auto"/>
                <w:sz w:val="24"/>
                <w:szCs w:val="24"/>
                <w:lang w:val="en-US" w:eastAsia="zh-Hans"/>
              </w:rPr>
              <w:t>连接至医院信息系统中。</w:t>
            </w:r>
          </w:p>
          <w:p w14:paraId="6B26BF2D">
            <w:pPr>
              <w:numPr>
                <w:ilvl w:val="1"/>
                <w:numId w:val="10"/>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具备配录屏功能。</w:t>
            </w:r>
          </w:p>
          <w:p w14:paraId="1A06EE68">
            <w:pPr>
              <w:numPr>
                <w:ilvl w:val="1"/>
                <w:numId w:val="10"/>
              </w:numPr>
              <w:spacing w:line="360" w:lineRule="auto"/>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lang w:val="en-US" w:eastAsia="zh-CN"/>
              </w:rPr>
              <w:t>每台配置重复消毒呼吸管路一套。</w:t>
            </w:r>
          </w:p>
          <w:p w14:paraId="5083FDF8">
            <w:pPr>
              <w:numPr>
                <w:ilvl w:val="0"/>
                <w:numId w:val="0"/>
              </w:numPr>
              <w:spacing w:line="360" w:lineRule="auto"/>
              <w:ind w:firstLine="480" w:firstLineChars="200"/>
              <w:rPr>
                <w:rFonts w:hint="eastAsia" w:ascii="宋体" w:hAnsi="宋体" w:eastAsia="宋体" w:cs="宋体"/>
                <w:color w:val="auto"/>
                <w:sz w:val="24"/>
                <w:szCs w:val="24"/>
              </w:rPr>
            </w:pPr>
          </w:p>
        </w:tc>
      </w:tr>
      <w:tr w14:paraId="4ADD83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8" w:type="dxa"/>
            <w:vAlign w:val="center"/>
          </w:tcPr>
          <w:p w14:paraId="4B8171CE">
            <w:pPr>
              <w:pStyle w:val="2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1740" w:type="dxa"/>
            <w:vAlign w:val="center"/>
          </w:tcPr>
          <w:p w14:paraId="32765086">
            <w:pPr>
              <w:pStyle w:val="25"/>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转运呼吸机</w:t>
            </w:r>
          </w:p>
        </w:tc>
        <w:tc>
          <w:tcPr>
            <w:tcW w:w="6840" w:type="dxa"/>
          </w:tcPr>
          <w:p w14:paraId="2C76E409">
            <w:pPr>
              <w:numPr>
                <w:ilvl w:val="0"/>
                <w:numId w:val="0"/>
              </w:numPr>
              <w:spacing w:line="360" w:lineRule="auto"/>
              <w:rPr>
                <w:rFonts w:hint="eastAsia" w:ascii="宋体" w:hAnsi="宋体" w:cs="宋体"/>
                <w:b/>
                <w:bCs w:val="0"/>
                <w:color w:val="auto"/>
                <w:sz w:val="24"/>
                <w:szCs w:val="24"/>
                <w:lang w:val="en-US" w:eastAsia="zh-Hans"/>
              </w:rPr>
            </w:pPr>
            <w:r>
              <w:rPr>
                <w:rFonts w:hint="eastAsia" w:ascii="宋体" w:hAnsi="宋体" w:cs="宋体"/>
                <w:b/>
                <w:bCs w:val="0"/>
                <w:color w:val="auto"/>
                <w:sz w:val="24"/>
                <w:szCs w:val="24"/>
                <w:lang w:val="en-US" w:eastAsia="zh-CN"/>
              </w:rPr>
              <w:t>一、技术要求</w:t>
            </w:r>
            <w:r>
              <w:rPr>
                <w:rFonts w:hint="eastAsia" w:ascii="宋体" w:hAnsi="宋体" w:cs="宋体"/>
                <w:b/>
                <w:bCs w:val="0"/>
                <w:color w:val="auto"/>
                <w:sz w:val="24"/>
                <w:szCs w:val="24"/>
                <w:lang w:val="en-US" w:eastAsia="zh-Hans"/>
              </w:rPr>
              <w:t>：</w:t>
            </w:r>
          </w:p>
          <w:p w14:paraId="6FBE7CB1">
            <w:pPr>
              <w:numPr>
                <w:ilvl w:val="1"/>
                <w:numId w:val="11"/>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适用于对成人、小儿和婴幼儿，满足ICU、呼吸科和急诊科等各种病人转运需求。</w:t>
            </w:r>
          </w:p>
          <w:p w14:paraId="55C5D811">
            <w:pPr>
              <w:numPr>
                <w:ilvl w:val="1"/>
                <w:numId w:val="11"/>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▲采用≥6英寸彩色电容触摸控制屏幕，分辨率≥1280*800。</w:t>
            </w:r>
          </w:p>
          <w:p w14:paraId="734262D3">
            <w:pPr>
              <w:numPr>
                <w:ilvl w:val="1"/>
                <w:numId w:val="11"/>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 吸气安全阀和呼气安全阀组件可徒手拆卸，并能高温高压蒸汽消毒（134℃）。</w:t>
            </w:r>
          </w:p>
          <w:p w14:paraId="5CA60E6E">
            <w:pPr>
              <w:numPr>
                <w:ilvl w:val="1"/>
                <w:numId w:val="11"/>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内置1</w:t>
            </w:r>
            <w:r>
              <w:rPr>
                <w:rFonts w:hint="eastAsia" w:ascii="宋体" w:hAnsi="宋体" w:cs="宋体"/>
                <w:bCs/>
                <w:color w:val="auto"/>
                <w:sz w:val="24"/>
                <w:szCs w:val="24"/>
                <w:lang w:val="en-US" w:eastAsia="zh-CN"/>
              </w:rPr>
              <w:t>组</w:t>
            </w:r>
            <w:r>
              <w:rPr>
                <w:rFonts w:hint="eastAsia" w:ascii="宋体" w:hAnsi="宋体" w:eastAsia="宋体" w:cs="宋体"/>
                <w:bCs/>
                <w:color w:val="auto"/>
                <w:sz w:val="24"/>
                <w:szCs w:val="24"/>
                <w:lang w:val="en-US" w:eastAsia="zh-CN"/>
              </w:rPr>
              <w:t>电池使用时间≥150分钟；</w:t>
            </w:r>
            <w:r>
              <w:rPr>
                <w:rFonts w:hint="eastAsia" w:ascii="宋体" w:hAnsi="宋体" w:cs="宋体"/>
                <w:bCs/>
                <w:color w:val="auto"/>
                <w:sz w:val="24"/>
                <w:szCs w:val="24"/>
                <w:lang w:val="en-US" w:eastAsia="zh-CN"/>
              </w:rPr>
              <w:t xml:space="preserve"> </w:t>
            </w:r>
            <w:r>
              <w:rPr>
                <w:rFonts w:hint="eastAsia" w:ascii="宋体" w:hAnsi="宋体" w:eastAsia="宋体" w:cs="宋体"/>
                <w:bCs/>
                <w:color w:val="auto"/>
                <w:sz w:val="24"/>
                <w:szCs w:val="24"/>
                <w:lang w:val="en-US" w:eastAsia="zh-CN"/>
              </w:rPr>
              <w:t>配</w:t>
            </w:r>
            <w:r>
              <w:rPr>
                <w:rFonts w:hint="eastAsia" w:ascii="宋体" w:hAnsi="宋体" w:cs="宋体"/>
                <w:bCs/>
                <w:color w:val="auto"/>
                <w:sz w:val="24"/>
                <w:szCs w:val="24"/>
                <w:lang w:val="en-US" w:eastAsia="zh-CN"/>
              </w:rPr>
              <w:t>备</w:t>
            </w:r>
            <w:r>
              <w:rPr>
                <w:rFonts w:hint="eastAsia" w:ascii="宋体" w:hAnsi="宋体" w:eastAsia="宋体" w:cs="宋体"/>
                <w:bCs/>
                <w:color w:val="auto"/>
                <w:sz w:val="24"/>
                <w:szCs w:val="24"/>
                <w:lang w:val="en-US" w:eastAsia="zh-CN"/>
              </w:rPr>
              <w:t>两</w:t>
            </w:r>
            <w:r>
              <w:rPr>
                <w:rFonts w:hint="eastAsia" w:ascii="宋体" w:hAnsi="宋体" w:cs="宋体"/>
                <w:bCs/>
                <w:color w:val="auto"/>
                <w:sz w:val="24"/>
                <w:szCs w:val="24"/>
                <w:lang w:val="en-US" w:eastAsia="zh-CN"/>
              </w:rPr>
              <w:t>组</w:t>
            </w:r>
            <w:r>
              <w:rPr>
                <w:rFonts w:hint="eastAsia" w:ascii="宋体" w:hAnsi="宋体" w:eastAsia="宋体" w:cs="宋体"/>
                <w:bCs/>
                <w:color w:val="auto"/>
                <w:sz w:val="24"/>
                <w:szCs w:val="24"/>
                <w:lang w:val="en-US" w:eastAsia="zh-CN"/>
              </w:rPr>
              <w:t>电池，使用时间≥300分钟。</w:t>
            </w:r>
          </w:p>
          <w:p w14:paraId="1464BE75">
            <w:pPr>
              <w:numPr>
                <w:ilvl w:val="1"/>
                <w:numId w:val="11"/>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▲电动电控呼吸机，主机重量≤6kg，方便临床转运。</w:t>
            </w:r>
          </w:p>
          <w:p w14:paraId="5BDFA87D">
            <w:pPr>
              <w:numPr>
                <w:ilvl w:val="1"/>
                <w:numId w:val="11"/>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支持外部交流或直流电源进行供电。</w:t>
            </w:r>
          </w:p>
          <w:p w14:paraId="205E9D8E">
            <w:pPr>
              <w:numPr>
                <w:ilvl w:val="1"/>
                <w:numId w:val="11"/>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最大峰值流速≥2</w:t>
            </w:r>
            <w:r>
              <w:rPr>
                <w:rFonts w:hint="eastAsia" w:ascii="宋体" w:hAnsi="宋体" w:cs="宋体"/>
                <w:bCs/>
                <w:color w:val="auto"/>
                <w:sz w:val="24"/>
                <w:szCs w:val="24"/>
                <w:lang w:val="en-US" w:eastAsia="zh-CN"/>
              </w:rPr>
              <w:t>1</w:t>
            </w:r>
            <w:r>
              <w:rPr>
                <w:rFonts w:hint="eastAsia" w:ascii="宋体" w:hAnsi="宋体" w:eastAsia="宋体" w:cs="宋体"/>
                <w:bCs/>
                <w:color w:val="auto"/>
                <w:sz w:val="24"/>
                <w:szCs w:val="24"/>
                <w:lang w:val="en-US" w:eastAsia="zh-CN"/>
              </w:rPr>
              <w:t xml:space="preserve">0 </w:t>
            </w:r>
            <w:r>
              <w:rPr>
                <w:rFonts w:hint="default" w:ascii="宋体" w:hAnsi="宋体" w:eastAsia="宋体" w:cs="宋体"/>
                <w:bCs/>
                <w:color w:val="auto"/>
                <w:sz w:val="24"/>
                <w:szCs w:val="24"/>
                <w:lang w:val="en-US" w:eastAsia="zh-CN"/>
              </w:rPr>
              <w:t>L</w:t>
            </w:r>
            <w:r>
              <w:rPr>
                <w:rFonts w:hint="eastAsia" w:ascii="宋体" w:hAnsi="宋体" w:eastAsia="宋体" w:cs="宋体"/>
                <w:bCs/>
                <w:color w:val="auto"/>
                <w:sz w:val="24"/>
                <w:szCs w:val="24"/>
                <w:lang w:val="en-US" w:eastAsia="zh-CN"/>
              </w:rPr>
              <w:t>/min。</w:t>
            </w:r>
          </w:p>
          <w:p w14:paraId="1336FF8C">
            <w:pPr>
              <w:numPr>
                <w:ilvl w:val="1"/>
                <w:numId w:val="11"/>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可视报警灯，在主机的前后左右方皆均能观察到报警灯闪烁。</w:t>
            </w:r>
          </w:p>
          <w:p w14:paraId="6357E8F0">
            <w:pPr>
              <w:numPr>
                <w:ilvl w:val="0"/>
                <w:numId w:val="0"/>
              </w:numPr>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二、通气模式：</w:t>
            </w:r>
          </w:p>
          <w:p w14:paraId="7CE61495">
            <w:pPr>
              <w:numPr>
                <w:ilvl w:val="1"/>
                <w:numId w:val="12"/>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有创通气模式：具备容量控制通气模式（</w:t>
            </w:r>
            <w:r>
              <w:rPr>
                <w:rFonts w:hint="eastAsia" w:ascii="宋体" w:hAnsi="宋体" w:eastAsia="宋体" w:cs="宋体"/>
                <w:bCs/>
                <w:color w:val="auto"/>
                <w:sz w:val="24"/>
                <w:szCs w:val="24"/>
                <w:lang w:val="en-US" w:eastAsia="zh-CN"/>
              </w:rPr>
              <w:t>VCV</w:t>
            </w:r>
            <w:r>
              <w:rPr>
                <w:rFonts w:hint="eastAsia" w:ascii="宋体" w:hAnsi="宋体" w:eastAsia="宋体" w:cs="宋体"/>
                <w:bCs/>
                <w:color w:val="auto"/>
                <w:sz w:val="24"/>
                <w:szCs w:val="24"/>
                <w:lang w:val="en-US" w:eastAsia="zh-Hans"/>
              </w:rPr>
              <w:t>）、压力控制通气模式（</w:t>
            </w:r>
            <w:r>
              <w:rPr>
                <w:rFonts w:hint="eastAsia" w:ascii="宋体" w:hAnsi="宋体" w:eastAsia="宋体" w:cs="宋体"/>
                <w:bCs/>
                <w:color w:val="auto"/>
                <w:sz w:val="24"/>
                <w:szCs w:val="24"/>
                <w:lang w:val="en-US" w:eastAsia="zh-CN"/>
              </w:rPr>
              <w:t>PCV</w:t>
            </w:r>
            <w:r>
              <w:rPr>
                <w:rFonts w:hint="eastAsia" w:ascii="宋体" w:hAnsi="宋体" w:eastAsia="宋体" w:cs="宋体"/>
                <w:bCs/>
                <w:color w:val="auto"/>
                <w:sz w:val="24"/>
                <w:szCs w:val="24"/>
                <w:lang w:val="en-US" w:eastAsia="zh-Hans"/>
              </w:rPr>
              <w:t>）、压力调节容量控制通气模式（</w:t>
            </w:r>
            <w:r>
              <w:rPr>
                <w:rFonts w:hint="eastAsia" w:ascii="宋体" w:hAnsi="宋体" w:eastAsia="宋体" w:cs="宋体"/>
                <w:bCs/>
                <w:color w:val="auto"/>
                <w:sz w:val="24"/>
                <w:szCs w:val="24"/>
                <w:lang w:val="en-US" w:eastAsia="zh-CN"/>
              </w:rPr>
              <w:t>PRVC</w:t>
            </w:r>
            <w:r>
              <w:rPr>
                <w:rFonts w:hint="eastAsia" w:ascii="宋体" w:hAnsi="宋体" w:eastAsia="宋体" w:cs="宋体"/>
                <w:bCs/>
                <w:color w:val="auto"/>
                <w:sz w:val="24"/>
                <w:szCs w:val="24"/>
                <w:lang w:val="en-US" w:eastAsia="zh-Hans"/>
              </w:rPr>
              <w:t>）、同步间歇指令通气</w:t>
            </w:r>
            <w:r>
              <w:rPr>
                <w:rFonts w:hint="eastAsia" w:ascii="宋体" w:hAnsi="宋体" w:eastAsia="宋体" w:cs="宋体"/>
                <w:bCs/>
                <w:color w:val="auto"/>
                <w:sz w:val="24"/>
                <w:szCs w:val="24"/>
                <w:lang w:val="en-US" w:eastAsia="zh-CN"/>
              </w:rPr>
              <w:t>SIMV（VCV）</w:t>
            </w:r>
            <w:r>
              <w:rPr>
                <w:rFonts w:hint="eastAsia" w:ascii="宋体" w:hAnsi="宋体" w:eastAsia="宋体" w:cs="宋体"/>
                <w:bCs/>
                <w:color w:val="auto"/>
                <w:sz w:val="24"/>
                <w:szCs w:val="24"/>
                <w:lang w:val="en-US" w:eastAsia="zh-Hans"/>
              </w:rPr>
              <w:t>、SIMV-PCV压力支持通气(PSV)、双水平气道正压通气模式</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val="en-US" w:eastAsia="zh-CN"/>
              </w:rPr>
              <w:fldChar w:fldCharType="begin"/>
            </w:r>
            <w:r>
              <w:rPr>
                <w:rFonts w:hint="eastAsia" w:ascii="宋体" w:hAnsi="宋体" w:eastAsia="宋体" w:cs="宋体"/>
                <w:bCs/>
                <w:color w:val="auto"/>
                <w:sz w:val="24"/>
                <w:szCs w:val="24"/>
                <w:lang w:val="en-US" w:eastAsia="zh-CN"/>
              </w:rPr>
              <w:instrText xml:space="preserve"> HYPERLINK "https://www.baidu.com/link?url=HMQb8jpPALO6gNqIcbirFHVXvNn023SczEPPk_XENMC_jBE-mind6pHzMxE5XeORPQzec4F02Cap_2Bt-F3u-2pdqI_vvEZzcONHw2XDXHp5XNS8DUUi8sNtXIVjWv9TyyJyMnbFwp2wShPcYPAAuwcxB2vXlXe4mYAEkfOPJmHOA4vFPSWHS1sZ42N3f83mS-fC__b_W1bhw5LjIH3JkIg3ShwsUSk6g2fmScoSZnc6MmG1tXhz0dTYJ4CGB7XUsYRo8fUgfKiSblOoSuUF9q&amp;wd=&amp;eqid=e9ad18700002ec3700000006638b4bc0" \t "https://www.baidu.com/_blank" </w:instrText>
            </w:r>
            <w:r>
              <w:rPr>
                <w:rFonts w:hint="eastAsia" w:ascii="宋体" w:hAnsi="宋体" w:eastAsia="宋体" w:cs="宋体"/>
                <w:bCs/>
                <w:color w:val="auto"/>
                <w:sz w:val="24"/>
                <w:szCs w:val="24"/>
                <w:lang w:val="en-US" w:eastAsia="zh-CN"/>
              </w:rPr>
              <w:fldChar w:fldCharType="separate"/>
            </w:r>
            <w:r>
              <w:rPr>
                <w:rFonts w:hint="eastAsia" w:ascii="宋体" w:hAnsi="宋体" w:eastAsia="宋体" w:cs="宋体"/>
                <w:bCs/>
                <w:color w:val="auto"/>
                <w:sz w:val="24"/>
                <w:szCs w:val="24"/>
                <w:lang w:val="en-US" w:eastAsia="zh-CN"/>
              </w:rPr>
              <w:t>气道压力释放通气（APRV）模式</w:t>
            </w:r>
            <w:r>
              <w:rPr>
                <w:rFonts w:hint="eastAsia" w:ascii="宋体" w:hAnsi="宋体" w:eastAsia="宋体" w:cs="宋体"/>
                <w:bCs/>
                <w:color w:val="auto"/>
                <w:sz w:val="24"/>
                <w:szCs w:val="24"/>
                <w:lang w:val="en-US" w:eastAsia="zh-CN"/>
              </w:rPr>
              <w:fldChar w:fldCharType="end"/>
            </w:r>
            <w:r>
              <w:rPr>
                <w:rFonts w:hint="eastAsia" w:ascii="宋体" w:hAnsi="宋体" w:eastAsia="宋体" w:cs="宋体"/>
                <w:bCs/>
                <w:color w:val="auto"/>
                <w:sz w:val="24"/>
                <w:szCs w:val="24"/>
                <w:lang w:val="en-US" w:eastAsia="zh-CN"/>
              </w:rPr>
              <w:t>。</w:t>
            </w:r>
          </w:p>
          <w:p w14:paraId="48CCE8A8">
            <w:pPr>
              <w:numPr>
                <w:ilvl w:val="1"/>
                <w:numId w:val="12"/>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无创通气模式：P-A/C、P-SIMV、CPAP/PSV、PSV-S/T或NIV-ST</w:t>
            </w:r>
            <w:r>
              <w:rPr>
                <w:rFonts w:hint="eastAsia" w:ascii="宋体" w:hAnsi="宋体" w:eastAsia="宋体" w:cs="宋体"/>
                <w:bCs/>
                <w:color w:val="auto"/>
                <w:sz w:val="24"/>
                <w:szCs w:val="24"/>
                <w:lang w:val="en-US" w:eastAsia="zh-CN"/>
              </w:rPr>
              <w:t>。</w:t>
            </w:r>
          </w:p>
          <w:p w14:paraId="06C37683">
            <w:pPr>
              <w:numPr>
                <w:ilvl w:val="1"/>
                <w:numId w:val="12"/>
              </w:numPr>
              <w:spacing w:line="360" w:lineRule="auto"/>
              <w:rPr>
                <w:rFonts w:hint="eastAsia" w:ascii="宋体" w:hAnsi="宋体" w:cs="宋体"/>
                <w:b w:val="0"/>
                <w:bCs w:val="0"/>
                <w:color w:val="auto"/>
                <w:sz w:val="24"/>
                <w:szCs w:val="24"/>
                <w:lang w:val="en-US" w:eastAsia="zh-CN"/>
              </w:rPr>
            </w:pPr>
            <w:r>
              <w:rPr>
                <w:rFonts w:hint="eastAsia" w:ascii="宋体" w:hAnsi="宋体" w:eastAsia="宋体" w:cs="宋体"/>
                <w:bCs/>
                <w:color w:val="auto"/>
                <w:sz w:val="24"/>
                <w:szCs w:val="24"/>
                <w:lang w:val="en-US" w:eastAsia="zh-CN"/>
              </w:rPr>
              <w:t>具备同步增强技术，可以将吸气、呼气触发灵敏度以及压力上升时间自动调节至最佳值，提高人机同步</w:t>
            </w:r>
            <w:r>
              <w:rPr>
                <w:rFonts w:hint="eastAsia" w:ascii="宋体" w:hAnsi="宋体" w:cs="宋体"/>
                <w:b w:val="0"/>
                <w:bCs w:val="0"/>
                <w:color w:val="auto"/>
                <w:sz w:val="24"/>
                <w:szCs w:val="24"/>
                <w:lang w:val="en-US" w:eastAsia="zh-CN"/>
              </w:rPr>
              <w:t>。</w:t>
            </w:r>
          </w:p>
          <w:p w14:paraId="10213635">
            <w:pPr>
              <w:numPr>
                <w:ilvl w:val="0"/>
                <w:numId w:val="0"/>
              </w:numPr>
              <w:spacing w:line="360" w:lineRule="auto"/>
              <w:rPr>
                <w:rFonts w:hint="eastAsia" w:ascii="宋体" w:hAnsi="宋体" w:cs="宋体"/>
                <w:b/>
                <w:bCs w:val="0"/>
                <w:color w:val="auto"/>
                <w:sz w:val="24"/>
                <w:szCs w:val="24"/>
                <w:lang w:val="en-US" w:eastAsia="zh-Hans"/>
              </w:rPr>
            </w:pPr>
            <w:r>
              <w:rPr>
                <w:rFonts w:hint="eastAsia" w:ascii="宋体" w:hAnsi="宋体" w:cs="宋体"/>
                <w:b/>
                <w:bCs w:val="0"/>
                <w:color w:val="auto"/>
                <w:sz w:val="24"/>
                <w:szCs w:val="24"/>
                <w:lang w:val="en-US" w:eastAsia="zh-CN"/>
              </w:rPr>
              <w:t>三、设置参数：</w:t>
            </w:r>
          </w:p>
          <w:p w14:paraId="5C6BDBB9">
            <w:pPr>
              <w:numPr>
                <w:ilvl w:val="1"/>
                <w:numId w:val="13"/>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潮气量：</w:t>
            </w: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lang w:val="en-US" w:eastAsia="zh-Hans"/>
              </w:rPr>
              <w:t>～</w:t>
            </w:r>
            <w:r>
              <w:rPr>
                <w:rFonts w:hint="eastAsia" w:ascii="宋体" w:hAnsi="宋体" w:cs="宋体"/>
                <w:bCs/>
                <w:color w:val="auto"/>
                <w:sz w:val="24"/>
                <w:szCs w:val="24"/>
                <w:lang w:val="en-US" w:eastAsia="zh-CN"/>
              </w:rPr>
              <w:t>3</w:t>
            </w:r>
            <w:r>
              <w:rPr>
                <w:rFonts w:hint="eastAsia" w:ascii="宋体" w:hAnsi="宋体" w:eastAsia="宋体" w:cs="宋体"/>
                <w:bCs/>
                <w:color w:val="auto"/>
                <w:sz w:val="24"/>
                <w:szCs w:val="24"/>
                <w:lang w:val="en-US" w:eastAsia="zh-CN"/>
              </w:rPr>
              <w:t>0</w:t>
            </w:r>
            <w:r>
              <w:rPr>
                <w:rFonts w:hint="eastAsia" w:ascii="宋体" w:hAnsi="宋体" w:eastAsia="宋体" w:cs="宋体"/>
                <w:bCs/>
                <w:color w:val="auto"/>
                <w:sz w:val="24"/>
                <w:szCs w:val="24"/>
                <w:lang w:val="en-US" w:eastAsia="zh-Hans"/>
              </w:rPr>
              <w:t>00ml</w:t>
            </w:r>
            <w:r>
              <w:rPr>
                <w:rFonts w:hint="eastAsia" w:ascii="宋体" w:hAnsi="宋体" w:eastAsia="宋体" w:cs="宋体"/>
                <w:bCs/>
                <w:color w:val="auto"/>
                <w:sz w:val="24"/>
                <w:szCs w:val="24"/>
                <w:lang w:val="en-US" w:eastAsia="zh-CN"/>
              </w:rPr>
              <w:t xml:space="preserve">  </w:t>
            </w:r>
          </w:p>
          <w:p w14:paraId="7A81D3AA">
            <w:pPr>
              <w:numPr>
                <w:ilvl w:val="1"/>
                <w:numId w:val="13"/>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呼吸频率：1～1</w:t>
            </w:r>
            <w:r>
              <w:rPr>
                <w:rFonts w:hint="eastAsia" w:ascii="宋体" w:hAnsi="宋体" w:eastAsia="宋体" w:cs="宋体"/>
                <w:bCs/>
                <w:color w:val="auto"/>
                <w:sz w:val="24"/>
                <w:szCs w:val="24"/>
                <w:lang w:val="en-US" w:eastAsia="zh-CN"/>
              </w:rPr>
              <w:t>0</w:t>
            </w:r>
            <w:r>
              <w:rPr>
                <w:rFonts w:hint="eastAsia" w:ascii="宋体" w:hAnsi="宋体" w:eastAsia="宋体" w:cs="宋体"/>
                <w:bCs/>
                <w:color w:val="auto"/>
                <w:sz w:val="24"/>
                <w:szCs w:val="24"/>
                <w:lang w:val="en-US" w:eastAsia="zh-Hans"/>
              </w:rPr>
              <w:t xml:space="preserve">0bpm </w:t>
            </w:r>
            <w:r>
              <w:rPr>
                <w:rFonts w:hint="eastAsia" w:ascii="宋体" w:hAnsi="宋体" w:eastAsia="宋体" w:cs="宋体"/>
                <w:bCs/>
                <w:color w:val="auto"/>
                <w:sz w:val="24"/>
                <w:szCs w:val="24"/>
                <w:lang w:val="en-US" w:eastAsia="zh-CN"/>
              </w:rPr>
              <w:t xml:space="preserve"> </w:t>
            </w:r>
          </w:p>
          <w:p w14:paraId="5B12D98D">
            <w:pPr>
              <w:numPr>
                <w:ilvl w:val="1"/>
                <w:numId w:val="13"/>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呼气末正压（PEEP）：0～50cmH</w:t>
            </w:r>
            <w:r>
              <w:rPr>
                <w:rFonts w:hint="eastAsia" w:ascii="宋体" w:hAnsi="宋体" w:eastAsia="宋体" w:cs="宋体"/>
                <w:bCs/>
                <w:color w:val="auto"/>
                <w:sz w:val="24"/>
                <w:szCs w:val="24"/>
                <w:vertAlign w:val="subscript"/>
                <w:lang w:val="en-US" w:eastAsia="zh-Hans"/>
              </w:rPr>
              <w:t>2</w:t>
            </w:r>
            <w:r>
              <w:rPr>
                <w:rFonts w:hint="eastAsia" w:ascii="宋体" w:hAnsi="宋体" w:eastAsia="宋体" w:cs="宋体"/>
                <w:bCs/>
                <w:color w:val="auto"/>
                <w:sz w:val="24"/>
                <w:szCs w:val="24"/>
                <w:lang w:val="en-US" w:eastAsia="zh-Hans"/>
              </w:rPr>
              <w:t>O</w:t>
            </w:r>
          </w:p>
          <w:p w14:paraId="3DBE773D">
            <w:pPr>
              <w:numPr>
                <w:ilvl w:val="1"/>
                <w:numId w:val="13"/>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压力触发：-</w:t>
            </w:r>
            <w:r>
              <w:rPr>
                <w:rFonts w:hint="eastAsia" w:ascii="宋体" w:hAnsi="宋体" w:eastAsia="宋体" w:cs="宋体"/>
                <w:bCs/>
                <w:color w:val="auto"/>
                <w:sz w:val="24"/>
                <w:szCs w:val="24"/>
                <w:lang w:val="en-US" w:eastAsia="zh-CN"/>
              </w:rPr>
              <w:t>20</w:t>
            </w: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lang w:val="en-US" w:eastAsia="zh-Hans"/>
              </w:rPr>
              <w:t>0.5cmH</w:t>
            </w:r>
            <w:r>
              <w:rPr>
                <w:rFonts w:hint="eastAsia" w:ascii="宋体" w:hAnsi="宋体" w:eastAsia="宋体" w:cs="宋体"/>
                <w:bCs/>
                <w:color w:val="auto"/>
                <w:sz w:val="24"/>
                <w:szCs w:val="24"/>
                <w:vertAlign w:val="subscript"/>
                <w:lang w:val="en-US" w:eastAsia="zh-Hans"/>
              </w:rPr>
              <w:t>2</w:t>
            </w:r>
            <w:r>
              <w:rPr>
                <w:rFonts w:hint="eastAsia" w:ascii="宋体" w:hAnsi="宋体" w:eastAsia="宋体" w:cs="宋体"/>
                <w:bCs/>
                <w:color w:val="auto"/>
                <w:sz w:val="24"/>
                <w:szCs w:val="24"/>
                <w:lang w:val="en-US" w:eastAsia="zh-Hans"/>
              </w:rPr>
              <w:t>O</w:t>
            </w:r>
          </w:p>
          <w:p w14:paraId="7553EC74">
            <w:pPr>
              <w:numPr>
                <w:ilvl w:val="1"/>
                <w:numId w:val="13"/>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流速触发：0.5～20 L/min</w:t>
            </w:r>
            <w:r>
              <w:rPr>
                <w:rFonts w:hint="eastAsia" w:ascii="宋体" w:hAnsi="宋体" w:eastAsia="宋体" w:cs="宋体"/>
                <w:bCs/>
                <w:color w:val="auto"/>
                <w:sz w:val="24"/>
                <w:szCs w:val="24"/>
                <w:lang w:val="en-US" w:eastAsia="zh-CN"/>
              </w:rPr>
              <w:t xml:space="preserve"> </w:t>
            </w:r>
          </w:p>
          <w:p w14:paraId="58A855F9">
            <w:pPr>
              <w:numPr>
                <w:ilvl w:val="1"/>
                <w:numId w:val="13"/>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呼气</w:t>
            </w:r>
            <w:r>
              <w:rPr>
                <w:rFonts w:hint="eastAsia" w:ascii="宋体" w:hAnsi="宋体" w:eastAsia="宋体" w:cs="宋体"/>
                <w:bCs/>
                <w:color w:val="auto"/>
                <w:sz w:val="24"/>
                <w:szCs w:val="24"/>
                <w:lang w:val="en-US" w:eastAsia="zh-Hans"/>
              </w:rPr>
              <w:t>触发：</w:t>
            </w:r>
            <w:r>
              <w:rPr>
                <w:rFonts w:hint="eastAsia" w:ascii="宋体" w:hAnsi="宋体" w:eastAsia="宋体" w:cs="宋体"/>
                <w:bCs/>
                <w:color w:val="auto"/>
                <w:sz w:val="24"/>
                <w:szCs w:val="24"/>
                <w:lang w:val="en-US" w:eastAsia="zh-CN"/>
              </w:rPr>
              <w:t>Auto，1</w:t>
            </w:r>
            <w:r>
              <w:rPr>
                <w:rFonts w:hint="eastAsia" w:ascii="宋体" w:hAnsi="宋体" w:eastAsia="宋体" w:cs="宋体"/>
                <w:bCs/>
                <w:color w:val="auto"/>
                <w:sz w:val="24"/>
                <w:szCs w:val="24"/>
                <w:lang w:val="en-US" w:eastAsia="zh-Hans"/>
              </w:rPr>
              <w:t>～</w:t>
            </w:r>
            <w:r>
              <w:rPr>
                <w:rFonts w:hint="eastAsia" w:ascii="宋体" w:hAnsi="宋体" w:eastAsia="宋体" w:cs="宋体"/>
                <w:bCs/>
                <w:color w:val="auto"/>
                <w:sz w:val="24"/>
                <w:szCs w:val="24"/>
                <w:lang w:val="en-US" w:eastAsia="zh-CN"/>
              </w:rPr>
              <w:t>85%</w:t>
            </w:r>
          </w:p>
          <w:p w14:paraId="3514B1FC">
            <w:pPr>
              <w:numPr>
                <w:ilvl w:val="1"/>
                <w:numId w:val="13"/>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CN"/>
              </w:rPr>
              <w:t>吸气压力：1</w:t>
            </w:r>
            <w:r>
              <w:rPr>
                <w:rFonts w:hint="eastAsia" w:ascii="宋体" w:hAnsi="宋体" w:eastAsia="宋体" w:cs="宋体"/>
                <w:bCs/>
                <w:color w:val="auto"/>
                <w:sz w:val="24"/>
                <w:szCs w:val="24"/>
                <w:lang w:val="en-US" w:eastAsia="zh-Hans"/>
              </w:rPr>
              <w:t>～90 cmH</w:t>
            </w:r>
            <w:r>
              <w:rPr>
                <w:rFonts w:hint="eastAsia" w:ascii="宋体" w:hAnsi="宋体" w:eastAsia="宋体" w:cs="宋体"/>
                <w:bCs/>
                <w:color w:val="auto"/>
                <w:sz w:val="24"/>
                <w:szCs w:val="24"/>
                <w:vertAlign w:val="subscript"/>
                <w:lang w:val="en-US" w:eastAsia="zh-Hans"/>
              </w:rPr>
              <w:t>2</w:t>
            </w:r>
            <w:r>
              <w:rPr>
                <w:rFonts w:hint="eastAsia" w:ascii="宋体" w:hAnsi="宋体" w:eastAsia="宋体" w:cs="宋体"/>
                <w:bCs/>
                <w:color w:val="auto"/>
                <w:sz w:val="24"/>
                <w:szCs w:val="24"/>
                <w:lang w:val="en-US" w:eastAsia="zh-Hans"/>
              </w:rPr>
              <w:t>O</w:t>
            </w:r>
          </w:p>
          <w:p w14:paraId="41C59772">
            <w:pPr>
              <w:numPr>
                <w:ilvl w:val="1"/>
                <w:numId w:val="13"/>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Hans"/>
              </w:rPr>
              <w:t>压力支持：0～90 cmH</w:t>
            </w:r>
            <w:r>
              <w:rPr>
                <w:rFonts w:hint="eastAsia" w:ascii="宋体" w:hAnsi="宋体" w:eastAsia="宋体" w:cs="宋体"/>
                <w:bCs/>
                <w:color w:val="auto"/>
                <w:sz w:val="24"/>
                <w:szCs w:val="24"/>
                <w:vertAlign w:val="subscript"/>
                <w:lang w:val="en-US" w:eastAsia="zh-Hans"/>
              </w:rPr>
              <w:t>2</w:t>
            </w:r>
            <w:r>
              <w:rPr>
                <w:rFonts w:hint="eastAsia" w:ascii="宋体" w:hAnsi="宋体" w:eastAsia="宋体" w:cs="宋体"/>
                <w:bCs/>
                <w:color w:val="auto"/>
                <w:sz w:val="24"/>
                <w:szCs w:val="24"/>
                <w:lang w:val="en-US" w:eastAsia="zh-Hans"/>
              </w:rPr>
              <w:t>O</w:t>
            </w:r>
          </w:p>
          <w:p w14:paraId="6ED294E0">
            <w:pPr>
              <w:numPr>
                <w:ilvl w:val="0"/>
                <w:numId w:val="0"/>
              </w:numPr>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四、监测和报警：</w:t>
            </w:r>
          </w:p>
          <w:p w14:paraId="4E29A1BF">
            <w:pPr>
              <w:numPr>
                <w:ilvl w:val="1"/>
                <w:numId w:val="14"/>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实时波形：容量-时间、流速-时间、压力-时间波形监测。</w:t>
            </w:r>
          </w:p>
          <w:p w14:paraId="6E2FEDCB">
            <w:pPr>
              <w:numPr>
                <w:ilvl w:val="1"/>
                <w:numId w:val="14"/>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▲呼吸环：压力-容量环，容量-流速环，压力-流速环，可同屏显示≥3道波形和2个呼吸环图。</w:t>
            </w:r>
          </w:p>
          <w:p w14:paraId="604351F0">
            <w:pPr>
              <w:numPr>
                <w:ilvl w:val="1"/>
                <w:numId w:val="14"/>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具有P-V工具，</w:t>
            </w:r>
            <w:r>
              <w:rPr>
                <w:rFonts w:hint="eastAsia" w:ascii="宋体" w:hAnsi="宋体" w:eastAsia="宋体" w:cs="宋体"/>
                <w:bCs/>
                <w:color w:val="auto"/>
                <w:sz w:val="24"/>
                <w:szCs w:val="24"/>
                <w:lang w:val="en-US" w:eastAsia="zh-Hans"/>
              </w:rPr>
              <w:t>可自动确认高低拐点，</w:t>
            </w:r>
            <w:r>
              <w:rPr>
                <w:rFonts w:hint="eastAsia" w:ascii="宋体" w:hAnsi="宋体" w:eastAsia="宋体" w:cs="宋体"/>
                <w:bCs/>
                <w:color w:val="auto"/>
                <w:sz w:val="24"/>
                <w:szCs w:val="24"/>
                <w:lang w:val="en-US" w:eastAsia="zh-CN"/>
              </w:rPr>
              <w:t>帮助临床确定最佳PEEP值。</w:t>
            </w:r>
          </w:p>
          <w:p w14:paraId="298DD9A6">
            <w:pPr>
              <w:numPr>
                <w:ilvl w:val="1"/>
                <w:numId w:val="14"/>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具有动态肺、智能吸痰、吸气保持、呼气保持、手动通气、波形冻结、截屏、雾化等功能。</w:t>
            </w:r>
          </w:p>
          <w:p w14:paraId="5466CBE4">
            <w:pPr>
              <w:numPr>
                <w:ilvl w:val="1"/>
                <w:numId w:val="14"/>
              </w:numPr>
              <w:spacing w:line="360" w:lineRule="auto"/>
              <w:rPr>
                <w:rFonts w:hint="eastAsia" w:ascii="宋体" w:hAnsi="宋体" w:eastAsia="宋体" w:cs="宋体"/>
                <w:bCs/>
                <w:color w:val="auto"/>
                <w:sz w:val="24"/>
                <w:szCs w:val="24"/>
                <w:lang w:val="en-US" w:eastAsia="zh-Hans"/>
              </w:rPr>
            </w:pPr>
            <w:r>
              <w:rPr>
                <w:rFonts w:hint="eastAsia" w:ascii="宋体" w:hAnsi="宋体" w:eastAsia="宋体" w:cs="宋体"/>
                <w:bCs/>
                <w:color w:val="auto"/>
                <w:sz w:val="24"/>
                <w:szCs w:val="24"/>
                <w:lang w:val="en-US" w:eastAsia="zh-CN"/>
              </w:rPr>
              <w:t>▲具备多种脱机参数监测显示：包括P0.1、NIF、浅快呼吸指数、呼吸功、自主触发次数统计等参数监测</w:t>
            </w:r>
            <w:r>
              <w:rPr>
                <w:rFonts w:hint="eastAsia" w:ascii="宋体" w:hAnsi="宋体" w:eastAsia="宋体" w:cs="宋体"/>
                <w:bCs/>
                <w:color w:val="auto"/>
                <w:sz w:val="24"/>
                <w:szCs w:val="24"/>
                <w:lang w:val="en-US" w:eastAsia="zh-Hans"/>
              </w:rPr>
              <w:t>。</w:t>
            </w:r>
          </w:p>
          <w:p w14:paraId="30A220E4">
            <w:pPr>
              <w:numPr>
                <w:ilvl w:val="1"/>
                <w:numId w:val="14"/>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Hans"/>
              </w:rPr>
              <w:t>具备肺力学测量功能，可测量静态顺应性、气道阻力、PEEPtot、PEEPi、驱动压等数值。</w:t>
            </w:r>
          </w:p>
          <w:p w14:paraId="695621F3">
            <w:pPr>
              <w:numPr>
                <w:ilvl w:val="1"/>
                <w:numId w:val="14"/>
              </w:numPr>
              <w:spacing w:line="360" w:lineRule="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报警：管道脱落、传感器故障、气体供应不足、</w:t>
            </w:r>
            <w:r>
              <w:rPr>
                <w:rFonts w:hint="eastAsia" w:ascii="宋体" w:hAnsi="宋体" w:eastAsia="宋体" w:cs="宋体"/>
                <w:bCs/>
                <w:color w:val="auto"/>
                <w:sz w:val="24"/>
                <w:szCs w:val="24"/>
                <w:lang w:val="en-US" w:eastAsia="zh-Hans"/>
              </w:rPr>
              <w:t>电池</w:t>
            </w:r>
            <w:r>
              <w:rPr>
                <w:rFonts w:hint="eastAsia" w:ascii="宋体" w:hAnsi="宋体" w:eastAsia="宋体" w:cs="宋体"/>
                <w:bCs/>
                <w:color w:val="auto"/>
                <w:sz w:val="24"/>
                <w:szCs w:val="24"/>
                <w:lang w:val="en-US" w:eastAsia="zh-CN"/>
              </w:rPr>
              <w:t>故障、呼气口阻塞</w:t>
            </w:r>
            <w:r>
              <w:rPr>
                <w:rFonts w:hint="eastAsia" w:ascii="宋体" w:hAnsi="宋体" w:eastAsia="宋体" w:cs="宋体"/>
                <w:bCs/>
                <w:color w:val="auto"/>
                <w:sz w:val="24"/>
                <w:szCs w:val="24"/>
                <w:lang w:val="en-US" w:eastAsia="zh-Hans"/>
              </w:rPr>
              <w:t>、系统断电、空气气源压力低</w:t>
            </w:r>
            <w:r>
              <w:rPr>
                <w:rFonts w:hint="eastAsia" w:ascii="宋体" w:hAnsi="宋体" w:eastAsia="宋体" w:cs="宋体"/>
                <w:bCs/>
                <w:color w:val="auto"/>
                <w:sz w:val="24"/>
                <w:szCs w:val="24"/>
                <w:lang w:val="en-US" w:eastAsia="zh-CN"/>
              </w:rPr>
              <w:t>等</w:t>
            </w:r>
            <w:r>
              <w:rPr>
                <w:rFonts w:hint="eastAsia" w:ascii="宋体" w:hAnsi="宋体" w:eastAsia="宋体" w:cs="宋体"/>
                <w:bCs/>
                <w:color w:val="auto"/>
                <w:sz w:val="24"/>
                <w:szCs w:val="24"/>
                <w:lang w:val="en-US" w:eastAsia="zh-Hans"/>
              </w:rPr>
              <w:t>报警。</w:t>
            </w:r>
          </w:p>
          <w:p w14:paraId="5AFC6489">
            <w:pPr>
              <w:numPr>
                <w:ilvl w:val="0"/>
                <w:numId w:val="0"/>
              </w:numPr>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 xml:space="preserve">五、转运能力 </w:t>
            </w:r>
          </w:p>
          <w:p w14:paraId="74FA2F79">
            <w:pPr>
              <w:numPr>
                <w:ilvl w:val="1"/>
                <w:numId w:val="15"/>
              </w:numPr>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Hans"/>
              </w:rPr>
              <w:t>整机配静音万向刹车轮、输液杆、氧气瓶支架，可床边移动、手术室/ICU间转运不停机</w:t>
            </w:r>
            <w:r>
              <w:rPr>
                <w:rFonts w:hint="eastAsia" w:ascii="宋体" w:hAnsi="宋体" w:eastAsia="宋体" w:cs="宋体"/>
                <w:bCs/>
                <w:color w:val="auto"/>
                <w:sz w:val="24"/>
                <w:szCs w:val="24"/>
                <w:lang w:val="en-US" w:eastAsia="zh-CN"/>
              </w:rPr>
              <w:t>。</w:t>
            </w:r>
          </w:p>
        </w:tc>
      </w:tr>
      <w:tr w14:paraId="580430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8" w:type="dxa"/>
            <w:vAlign w:val="center"/>
          </w:tcPr>
          <w:p w14:paraId="119A2B45">
            <w:pPr>
              <w:pStyle w:val="2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740" w:type="dxa"/>
            <w:vAlign w:val="center"/>
          </w:tcPr>
          <w:p w14:paraId="2631CF22">
            <w:pPr>
              <w:pStyle w:val="2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多参数心电监护仪</w:t>
            </w:r>
          </w:p>
          <w:p w14:paraId="1817FBC4">
            <w:pPr>
              <w:pStyle w:val="25"/>
              <w:jc w:val="center"/>
              <w:rPr>
                <w:rFonts w:hint="eastAsia" w:ascii="宋体" w:hAnsi="宋体" w:eastAsia="宋体" w:cs="宋体"/>
                <w:color w:val="auto"/>
                <w:sz w:val="24"/>
                <w:szCs w:val="24"/>
              </w:rPr>
            </w:pPr>
          </w:p>
        </w:tc>
        <w:tc>
          <w:tcPr>
            <w:tcW w:w="6840" w:type="dxa"/>
          </w:tcPr>
          <w:p w14:paraId="3A962149">
            <w:pPr>
              <w:numPr>
                <w:ilvl w:val="0"/>
                <w:numId w:val="0"/>
              </w:numPr>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一、技术需求</w:t>
            </w:r>
          </w:p>
          <w:p w14:paraId="5415091A">
            <w:pPr>
              <w:numPr>
                <w:ilvl w:val="1"/>
                <w:numId w:val="16"/>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普通监护机型</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台：标配5导联心电、双通道有创血压（IBP）、</w:t>
            </w:r>
            <w:r>
              <w:rPr>
                <w:rFonts w:hint="eastAsia" w:ascii="宋体" w:hAnsi="宋体" w:eastAsia="宋体" w:cs="宋体"/>
                <w:bCs/>
                <w:color w:val="auto"/>
                <w:sz w:val="24"/>
                <w:szCs w:val="24"/>
                <w:lang w:val="en-US" w:eastAsia="zh-CN"/>
              </w:rPr>
              <w:t>中心静脉压测量、</w:t>
            </w:r>
            <w:r>
              <w:rPr>
                <w:rFonts w:hint="eastAsia" w:ascii="宋体" w:hAnsi="宋体" w:eastAsia="宋体" w:cs="宋体"/>
                <w:bCs/>
                <w:color w:val="auto"/>
                <w:sz w:val="24"/>
                <w:szCs w:val="24"/>
              </w:rPr>
              <w:t>旁流呼末二氧化碳EtCO₂、NIBP、SpO₂、双通道体温；</w:t>
            </w:r>
          </w:p>
          <w:p w14:paraId="00C23231">
            <w:pPr>
              <w:numPr>
                <w:ilvl w:val="1"/>
                <w:numId w:val="16"/>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高端血流动力学机型2台：在上述全部标配基础上，原厂拓展PICCO容量监测模块，满足重症心排、容量管理监测；</w:t>
            </w:r>
          </w:p>
          <w:p w14:paraId="3C6FA625">
            <w:pPr>
              <w:numPr>
                <w:ilvl w:val="1"/>
                <w:numId w:val="16"/>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整机统一品牌、统一操作界面、统一中央监护组网，便于医护培训、设备维保、耗材统一管理。</w:t>
            </w:r>
          </w:p>
          <w:p w14:paraId="570B12E5">
            <w:pPr>
              <w:numPr>
                <w:ilvl w:val="1"/>
                <w:numId w:val="16"/>
              </w:numPr>
              <w:spacing w:line="360" w:lineRule="auto"/>
              <w:rPr>
                <w:rFonts w:hint="eastAsia"/>
                <w:color w:val="auto"/>
                <w:sz w:val="24"/>
                <w:szCs w:val="32"/>
              </w:rPr>
            </w:pPr>
            <w:r>
              <w:rPr>
                <w:rFonts w:hint="eastAsia" w:ascii="宋体" w:hAnsi="宋体" w:eastAsia="宋体" w:cs="宋体"/>
                <w:bCs/>
                <w:color w:val="auto"/>
                <w:sz w:val="24"/>
                <w:szCs w:val="24"/>
              </w:rPr>
              <w:t>整机外壳防水防泼溅，可耐受75%酒精、含氯消毒剂反复擦拭，无卫生死角，满足ICU院感管理要求。</w:t>
            </w:r>
          </w:p>
          <w:p w14:paraId="26E2AA61">
            <w:pPr>
              <w:numPr>
                <w:ilvl w:val="0"/>
                <w:numId w:val="0"/>
              </w:numPr>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二、监护仪结构</w:t>
            </w:r>
          </w:p>
          <w:p w14:paraId="78BECDE8">
            <w:pPr>
              <w:numPr>
                <w:ilvl w:val="1"/>
                <w:numId w:val="17"/>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▲模块化插件式床边监护仪，主机、显示屏和插件槽一体化设计，主机模块插槽数≥</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 xml:space="preserve"> 个。</w:t>
            </w:r>
          </w:p>
          <w:p w14:paraId="0013123A">
            <w:pPr>
              <w:numPr>
                <w:ilvl w:val="1"/>
                <w:numId w:val="17"/>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≥1</w:t>
            </w:r>
            <w:r>
              <w:rPr>
                <w:rFonts w:hint="eastAsia" w:ascii="宋体" w:hAnsi="宋体" w:eastAsia="宋体" w:cs="宋体"/>
                <w:bCs/>
                <w:color w:val="auto"/>
                <w:sz w:val="24"/>
                <w:szCs w:val="24"/>
                <w:lang w:val="en-US" w:eastAsia="zh-CN"/>
              </w:rPr>
              <w:t>3</w:t>
            </w:r>
            <w:r>
              <w:rPr>
                <w:rFonts w:hint="eastAsia" w:ascii="宋体" w:hAnsi="宋体" w:eastAsia="宋体" w:cs="宋体"/>
                <w:bCs/>
                <w:color w:val="auto"/>
                <w:sz w:val="24"/>
                <w:szCs w:val="24"/>
              </w:rPr>
              <w:t xml:space="preserve"> 英寸彩色触摸屏，高分辨率≥1920×1080 像素，≥10 通道显示，显示屏亮度自动调节，屏幕支持手势滑动操作，支持戴医用防护手套操作。</w:t>
            </w:r>
          </w:p>
          <w:p w14:paraId="22AC75BF">
            <w:pPr>
              <w:numPr>
                <w:ilvl w:val="1"/>
                <w:numId w:val="17"/>
              </w:numPr>
              <w:spacing w:line="360" w:lineRule="auto"/>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具备</w:t>
            </w:r>
            <w:r>
              <w:rPr>
                <w:rFonts w:hint="eastAsia" w:ascii="宋体" w:hAnsi="宋体" w:eastAsia="宋体" w:cs="宋体"/>
                <w:bCs/>
                <w:color w:val="auto"/>
                <w:sz w:val="24"/>
                <w:szCs w:val="24"/>
              </w:rPr>
              <w:t>内置高能锂电池，供电时间≥</w:t>
            </w: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 xml:space="preserve"> 小时。</w:t>
            </w:r>
          </w:p>
          <w:p w14:paraId="3D521E03">
            <w:pPr>
              <w:numPr>
                <w:ilvl w:val="1"/>
                <w:numId w:val="17"/>
              </w:numPr>
              <w:spacing w:line="360" w:lineRule="auto"/>
              <w:rPr>
                <w:rFonts w:hint="eastAsia"/>
                <w:color w:val="auto"/>
                <w:sz w:val="24"/>
                <w:szCs w:val="32"/>
                <w:lang w:val="en-US" w:eastAsia="zh-CN"/>
              </w:rPr>
            </w:pPr>
            <w:r>
              <w:rPr>
                <w:rFonts w:hint="eastAsia" w:ascii="宋体" w:hAnsi="宋体" w:eastAsia="宋体" w:cs="宋体"/>
                <w:bCs/>
                <w:color w:val="auto"/>
                <w:sz w:val="24"/>
                <w:szCs w:val="24"/>
              </w:rPr>
              <w:t>配置≥4 个USB 接口，支持连接鼠标、键盘、条码扫描枪和遥控器等USB 设备。</w:t>
            </w:r>
          </w:p>
          <w:p w14:paraId="76502FE6">
            <w:pPr>
              <w:numPr>
                <w:ilvl w:val="0"/>
                <w:numId w:val="0"/>
              </w:numPr>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三、监测参数</w:t>
            </w:r>
          </w:p>
          <w:p w14:paraId="078E5B17">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基本功能模块支持心电、呼吸、心率、无创血压、血氧饱和度、脉搏、双通道体温和双通道有创血压的同时监测。</w:t>
            </w:r>
          </w:p>
          <w:p w14:paraId="1B8317DE">
            <w:pPr>
              <w:numPr>
                <w:ilvl w:val="1"/>
                <w:numId w:val="18"/>
              </w:numPr>
              <w:spacing w:line="360" w:lineRule="auto"/>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rPr>
              <w:t>心电支持≥</w:t>
            </w: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 xml:space="preserve"> 个分析导联实时动态同步分析。</w:t>
            </w:r>
          </w:p>
          <w:p w14:paraId="76151747">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具备房颤心律失常分析功能，具备≥2</w:t>
            </w:r>
            <w:r>
              <w:rPr>
                <w:rFonts w:hint="eastAsia" w:ascii="宋体" w:hAnsi="宋体" w:eastAsia="宋体" w:cs="宋体"/>
                <w:bCs/>
                <w:color w:val="auto"/>
                <w:sz w:val="24"/>
                <w:szCs w:val="24"/>
                <w:lang w:val="en-US" w:eastAsia="zh-CN"/>
              </w:rPr>
              <w:t>9</w:t>
            </w:r>
            <w:r>
              <w:rPr>
                <w:rFonts w:hint="eastAsia" w:ascii="宋体" w:hAnsi="宋体" w:eastAsia="宋体" w:cs="宋体"/>
                <w:bCs/>
                <w:color w:val="auto"/>
                <w:sz w:val="24"/>
                <w:szCs w:val="24"/>
              </w:rPr>
              <w:t xml:space="preserve"> 种实时心律失常分析。</w:t>
            </w:r>
          </w:p>
          <w:p w14:paraId="576B1C3F">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监测ST 段抬高或者压低，提供ST 报警。提供单个或多个ST 值报警，并具备相对的报警上下限设置。</w:t>
            </w:r>
          </w:p>
          <w:p w14:paraId="580F0C2E">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支持RR 呼吸率测量，测量范围：1～200rpm。</w:t>
            </w:r>
          </w:p>
          <w:p w14:paraId="26214EF3">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QT 和QTc 实时监测参数测量范围：200～800 ms。</w:t>
            </w:r>
          </w:p>
          <w:p w14:paraId="34A75F5F">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无创血压提供手动、自动间隔、连续、序列、整点五种测量模式。</w:t>
            </w:r>
          </w:p>
          <w:p w14:paraId="5A12A937">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NIBP 成人病人类型收缩压测量：25～290mmHg。</w:t>
            </w:r>
          </w:p>
          <w:p w14:paraId="3DA21014">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配置指套式血氧探头，支持浸泡清洁与消毒，防水等级IPX7。</w:t>
            </w:r>
          </w:p>
          <w:p w14:paraId="65FAF07A">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有创压适用于成人，小儿和新生儿，有创压测量范围：-50～360mmHg。</w:t>
            </w:r>
          </w:p>
          <w:p w14:paraId="7BA7CA24">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支持≥6 道IBP 波形叠加显示。</w:t>
            </w:r>
          </w:p>
          <w:p w14:paraId="2228B65D">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主机支持袖带血压测量，典型测量时间≤20秒。</w:t>
            </w:r>
          </w:p>
          <w:p w14:paraId="758B1F66">
            <w:pPr>
              <w:numPr>
                <w:ilvl w:val="1"/>
                <w:numId w:val="18"/>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具备升级EtCO2 监测模块，具备监测呼末CO2浓度，采用旁流技术，水槽要求易用快速更换</w:t>
            </w:r>
            <w:r>
              <w:rPr>
                <w:rFonts w:hint="eastAsia" w:ascii="宋体" w:hAnsi="宋体" w:cs="宋体"/>
                <w:bCs/>
                <w:color w:val="auto"/>
                <w:sz w:val="24"/>
                <w:szCs w:val="24"/>
                <w:lang w:eastAsia="zh-CN"/>
              </w:rPr>
              <w:t>。</w:t>
            </w:r>
          </w:p>
          <w:p w14:paraId="6421E5E7">
            <w:pPr>
              <w:numPr>
                <w:ilvl w:val="0"/>
                <w:numId w:val="0"/>
              </w:numPr>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四、系统功能：</w:t>
            </w:r>
          </w:p>
          <w:p w14:paraId="2A3642E5">
            <w:pPr>
              <w:numPr>
                <w:ilvl w:val="1"/>
                <w:numId w:val="19"/>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具备2400 小时趋势图表、1200 组NIBP 测量、1000 个报警事件、400 条呼吸氧合事件的存储及查询。</w:t>
            </w:r>
          </w:p>
          <w:p w14:paraId="62E49C0C">
            <w:pPr>
              <w:numPr>
                <w:ilvl w:val="1"/>
                <w:numId w:val="19"/>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工作模式：监护模式、待机模式、插管模式，夜间模式、演示模式等。</w:t>
            </w:r>
          </w:p>
          <w:p w14:paraId="3C7F8E59">
            <w:pPr>
              <w:numPr>
                <w:ilvl w:val="1"/>
                <w:numId w:val="19"/>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提供升级24 小时心律失常统计，具有24 小时心电综合分析概览（24h ECG 综合分析报告），能够提供HR、ST、QT/QTc、心律失常的统计结果，并能够查看细节。</w:t>
            </w:r>
          </w:p>
          <w:p w14:paraId="59A91A4F">
            <w:pPr>
              <w:numPr>
                <w:ilvl w:val="1"/>
                <w:numId w:val="19"/>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具备≥48 小时全息波形的存储与回顾功能。</w:t>
            </w:r>
          </w:p>
          <w:p w14:paraId="502FE618">
            <w:pPr>
              <w:numPr>
                <w:ilvl w:val="1"/>
                <w:numId w:val="19"/>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具备升级早期预警评分功能，并提供用户自定义评分协议的能力。</w:t>
            </w:r>
          </w:p>
          <w:p w14:paraId="1A3DDC04">
            <w:pPr>
              <w:numPr>
                <w:ilvl w:val="1"/>
                <w:numId w:val="19"/>
              </w:numPr>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具备趋势共存界面、呼吸氧合图界面，大字体显示界面，及标准显示界面等多种显示界面。</w:t>
            </w:r>
          </w:p>
        </w:tc>
      </w:tr>
      <w:tr w14:paraId="736F8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8" w:type="dxa"/>
            <w:vAlign w:val="center"/>
          </w:tcPr>
          <w:p w14:paraId="6B3CBDA4">
            <w:pPr>
              <w:pStyle w:val="25"/>
              <w:jc w:val="center"/>
              <w:rPr>
                <w:rFonts w:hint="eastAsia" w:ascii="宋体" w:hAnsi="宋体" w:eastAsia="宋体" w:cs="宋体"/>
                <w:color w:val="auto"/>
                <w:sz w:val="24"/>
                <w:szCs w:val="24"/>
                <w:lang w:val="en-US" w:eastAsia="zh-CN"/>
              </w:rPr>
            </w:pPr>
          </w:p>
          <w:p w14:paraId="37B680B1">
            <w:pPr>
              <w:pStyle w:val="25"/>
              <w:jc w:val="center"/>
              <w:rPr>
                <w:rFonts w:hint="eastAsia" w:ascii="宋体" w:hAnsi="宋体" w:eastAsia="宋体" w:cs="宋体"/>
                <w:color w:val="auto"/>
                <w:sz w:val="24"/>
                <w:szCs w:val="24"/>
                <w:lang w:val="en-US" w:eastAsia="zh-CN"/>
              </w:rPr>
            </w:pPr>
          </w:p>
          <w:p w14:paraId="74F631E9">
            <w:pPr>
              <w:pStyle w:val="25"/>
              <w:jc w:val="center"/>
              <w:rPr>
                <w:rFonts w:hint="eastAsia" w:ascii="宋体" w:hAnsi="宋体" w:eastAsia="宋体" w:cs="宋体"/>
                <w:color w:val="auto"/>
                <w:sz w:val="24"/>
                <w:szCs w:val="24"/>
                <w:lang w:val="en-US" w:eastAsia="zh-CN"/>
              </w:rPr>
            </w:pPr>
          </w:p>
          <w:p w14:paraId="22D71E36">
            <w:pPr>
              <w:pStyle w:val="25"/>
              <w:jc w:val="center"/>
              <w:rPr>
                <w:rFonts w:hint="eastAsia" w:ascii="宋体" w:hAnsi="宋体" w:eastAsia="宋体" w:cs="宋体"/>
                <w:color w:val="auto"/>
                <w:sz w:val="24"/>
                <w:szCs w:val="24"/>
                <w:lang w:val="en-US" w:eastAsia="zh-CN"/>
              </w:rPr>
            </w:pPr>
          </w:p>
          <w:p w14:paraId="12F455B0">
            <w:pPr>
              <w:pStyle w:val="25"/>
              <w:jc w:val="center"/>
              <w:rPr>
                <w:rFonts w:hint="eastAsia" w:ascii="宋体" w:hAnsi="宋体" w:eastAsia="宋体" w:cs="宋体"/>
                <w:color w:val="auto"/>
                <w:sz w:val="24"/>
                <w:szCs w:val="24"/>
                <w:lang w:val="en-US" w:eastAsia="zh-CN"/>
              </w:rPr>
            </w:pPr>
          </w:p>
          <w:p w14:paraId="7750EC68">
            <w:pPr>
              <w:pStyle w:val="25"/>
              <w:jc w:val="center"/>
              <w:rPr>
                <w:rFonts w:hint="eastAsia" w:ascii="宋体" w:hAnsi="宋体" w:eastAsia="宋体" w:cs="宋体"/>
                <w:color w:val="auto"/>
                <w:sz w:val="24"/>
                <w:szCs w:val="24"/>
                <w:lang w:val="en-US" w:eastAsia="zh-CN"/>
              </w:rPr>
            </w:pPr>
          </w:p>
          <w:p w14:paraId="5233D277">
            <w:pPr>
              <w:pStyle w:val="25"/>
              <w:jc w:val="center"/>
              <w:rPr>
                <w:rFonts w:hint="eastAsia" w:ascii="宋体" w:hAnsi="宋体" w:eastAsia="宋体" w:cs="宋体"/>
                <w:color w:val="auto"/>
                <w:sz w:val="24"/>
                <w:szCs w:val="24"/>
                <w:lang w:val="en-US" w:eastAsia="zh-CN"/>
              </w:rPr>
            </w:pPr>
          </w:p>
          <w:p w14:paraId="22E07A7E">
            <w:pPr>
              <w:pStyle w:val="25"/>
              <w:jc w:val="center"/>
              <w:rPr>
                <w:rFonts w:hint="eastAsia" w:ascii="宋体" w:hAnsi="宋体" w:eastAsia="宋体" w:cs="宋体"/>
                <w:color w:val="auto"/>
                <w:sz w:val="24"/>
                <w:szCs w:val="24"/>
                <w:lang w:val="en-US" w:eastAsia="zh-CN"/>
              </w:rPr>
            </w:pPr>
          </w:p>
          <w:p w14:paraId="593668F2">
            <w:pPr>
              <w:pStyle w:val="25"/>
              <w:jc w:val="center"/>
              <w:rPr>
                <w:rFonts w:hint="eastAsia" w:ascii="宋体" w:hAnsi="宋体" w:eastAsia="宋体" w:cs="宋体"/>
                <w:color w:val="auto"/>
                <w:sz w:val="24"/>
                <w:szCs w:val="24"/>
                <w:lang w:val="en-US" w:eastAsia="zh-CN"/>
              </w:rPr>
            </w:pPr>
          </w:p>
          <w:p w14:paraId="29284137">
            <w:pPr>
              <w:pStyle w:val="25"/>
              <w:jc w:val="center"/>
              <w:rPr>
                <w:rFonts w:hint="eastAsia" w:ascii="宋体" w:hAnsi="宋体" w:eastAsia="宋体" w:cs="宋体"/>
                <w:color w:val="auto"/>
                <w:sz w:val="24"/>
                <w:szCs w:val="24"/>
                <w:lang w:val="en-US" w:eastAsia="zh-CN"/>
              </w:rPr>
            </w:pPr>
          </w:p>
          <w:p w14:paraId="34DED81A">
            <w:pPr>
              <w:pStyle w:val="25"/>
              <w:jc w:val="center"/>
              <w:rPr>
                <w:rFonts w:hint="eastAsia" w:ascii="宋体" w:hAnsi="宋体" w:eastAsia="宋体" w:cs="宋体"/>
                <w:color w:val="auto"/>
                <w:sz w:val="24"/>
                <w:szCs w:val="24"/>
                <w:lang w:val="en-US" w:eastAsia="zh-CN"/>
              </w:rPr>
            </w:pPr>
          </w:p>
          <w:p w14:paraId="2CBC2BB6">
            <w:pPr>
              <w:pStyle w:val="25"/>
              <w:jc w:val="center"/>
              <w:rPr>
                <w:rFonts w:hint="eastAsia" w:ascii="宋体" w:hAnsi="宋体" w:eastAsia="宋体" w:cs="宋体"/>
                <w:color w:val="auto"/>
                <w:sz w:val="24"/>
                <w:szCs w:val="24"/>
                <w:lang w:val="en-US" w:eastAsia="zh-CN"/>
              </w:rPr>
            </w:pPr>
          </w:p>
          <w:p w14:paraId="67733F0B">
            <w:pPr>
              <w:pStyle w:val="25"/>
              <w:jc w:val="center"/>
              <w:rPr>
                <w:rFonts w:hint="eastAsia" w:ascii="宋体" w:hAnsi="宋体" w:eastAsia="宋体" w:cs="宋体"/>
                <w:color w:val="auto"/>
                <w:sz w:val="24"/>
                <w:szCs w:val="24"/>
                <w:lang w:val="en-US" w:eastAsia="zh-CN"/>
              </w:rPr>
            </w:pPr>
          </w:p>
          <w:p w14:paraId="0C58D053">
            <w:pPr>
              <w:pStyle w:val="25"/>
              <w:jc w:val="center"/>
              <w:rPr>
                <w:rFonts w:hint="eastAsia" w:ascii="宋体" w:hAnsi="宋体" w:eastAsia="宋体" w:cs="宋体"/>
                <w:color w:val="auto"/>
                <w:sz w:val="24"/>
                <w:szCs w:val="24"/>
                <w:lang w:val="en-US" w:eastAsia="zh-CN"/>
              </w:rPr>
            </w:pPr>
          </w:p>
          <w:p w14:paraId="61DC001F">
            <w:pPr>
              <w:pStyle w:val="2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740" w:type="dxa"/>
            <w:vAlign w:val="center"/>
          </w:tcPr>
          <w:p w14:paraId="72A48BF4">
            <w:pPr>
              <w:pStyle w:val="25"/>
              <w:jc w:val="center"/>
              <w:rPr>
                <w:rFonts w:hint="eastAsia" w:ascii="宋体" w:hAnsi="宋体" w:eastAsia="宋体" w:cs="宋体"/>
                <w:color w:val="auto"/>
                <w:sz w:val="24"/>
                <w:szCs w:val="24"/>
                <w:lang w:val="en-US" w:eastAsia="zh-CN"/>
              </w:rPr>
            </w:pPr>
          </w:p>
          <w:p w14:paraId="7A89E1A3">
            <w:pPr>
              <w:pStyle w:val="25"/>
              <w:jc w:val="center"/>
              <w:rPr>
                <w:rFonts w:hint="eastAsia" w:ascii="宋体" w:hAnsi="宋体" w:eastAsia="宋体" w:cs="宋体"/>
                <w:color w:val="auto"/>
                <w:sz w:val="24"/>
                <w:szCs w:val="24"/>
                <w:lang w:val="en-US" w:eastAsia="zh-CN"/>
              </w:rPr>
            </w:pPr>
          </w:p>
          <w:p w14:paraId="72C53C11">
            <w:pPr>
              <w:pStyle w:val="25"/>
              <w:jc w:val="center"/>
              <w:rPr>
                <w:rFonts w:hint="eastAsia" w:ascii="宋体" w:hAnsi="宋体" w:eastAsia="宋体" w:cs="宋体"/>
                <w:color w:val="auto"/>
                <w:sz w:val="24"/>
                <w:szCs w:val="24"/>
                <w:lang w:val="en-US" w:eastAsia="zh-CN"/>
              </w:rPr>
            </w:pPr>
          </w:p>
          <w:p w14:paraId="0EDBFDCD">
            <w:pPr>
              <w:pStyle w:val="25"/>
              <w:jc w:val="center"/>
              <w:rPr>
                <w:rFonts w:hint="eastAsia" w:ascii="宋体" w:hAnsi="宋体" w:eastAsia="宋体" w:cs="宋体"/>
                <w:color w:val="auto"/>
                <w:sz w:val="24"/>
                <w:szCs w:val="24"/>
                <w:lang w:val="en-US" w:eastAsia="zh-CN"/>
              </w:rPr>
            </w:pPr>
          </w:p>
          <w:p w14:paraId="4117D410">
            <w:pPr>
              <w:pStyle w:val="25"/>
              <w:jc w:val="center"/>
              <w:rPr>
                <w:rFonts w:hint="eastAsia" w:ascii="宋体" w:hAnsi="宋体" w:eastAsia="宋体" w:cs="宋体"/>
                <w:color w:val="auto"/>
                <w:sz w:val="24"/>
                <w:szCs w:val="24"/>
                <w:lang w:val="en-US" w:eastAsia="zh-CN"/>
              </w:rPr>
            </w:pPr>
          </w:p>
          <w:p w14:paraId="736A32E9">
            <w:pPr>
              <w:pStyle w:val="25"/>
              <w:jc w:val="center"/>
              <w:rPr>
                <w:rFonts w:hint="eastAsia" w:ascii="宋体" w:hAnsi="宋体" w:eastAsia="宋体" w:cs="宋体"/>
                <w:color w:val="auto"/>
                <w:sz w:val="24"/>
                <w:szCs w:val="24"/>
                <w:lang w:val="en-US" w:eastAsia="zh-CN"/>
              </w:rPr>
            </w:pPr>
          </w:p>
          <w:p w14:paraId="003CFF99">
            <w:pPr>
              <w:pStyle w:val="25"/>
              <w:jc w:val="center"/>
              <w:rPr>
                <w:rFonts w:hint="eastAsia" w:ascii="宋体" w:hAnsi="宋体" w:eastAsia="宋体" w:cs="宋体"/>
                <w:color w:val="auto"/>
                <w:sz w:val="24"/>
                <w:szCs w:val="24"/>
                <w:lang w:val="en-US" w:eastAsia="zh-CN"/>
              </w:rPr>
            </w:pPr>
          </w:p>
          <w:p w14:paraId="15F8814C">
            <w:pPr>
              <w:pStyle w:val="25"/>
              <w:jc w:val="center"/>
              <w:rPr>
                <w:rFonts w:hint="eastAsia" w:ascii="宋体" w:hAnsi="宋体" w:eastAsia="宋体" w:cs="宋体"/>
                <w:color w:val="auto"/>
                <w:sz w:val="24"/>
                <w:szCs w:val="24"/>
                <w:lang w:val="en-US" w:eastAsia="zh-CN"/>
              </w:rPr>
            </w:pPr>
          </w:p>
          <w:p w14:paraId="728DA52C">
            <w:pPr>
              <w:pStyle w:val="25"/>
              <w:jc w:val="center"/>
              <w:rPr>
                <w:rFonts w:hint="eastAsia" w:ascii="宋体" w:hAnsi="宋体" w:eastAsia="宋体" w:cs="宋体"/>
                <w:color w:val="auto"/>
                <w:sz w:val="24"/>
                <w:szCs w:val="24"/>
                <w:lang w:val="en-US" w:eastAsia="zh-CN"/>
              </w:rPr>
            </w:pPr>
          </w:p>
          <w:p w14:paraId="1366E5B2">
            <w:pPr>
              <w:pStyle w:val="25"/>
              <w:jc w:val="center"/>
              <w:rPr>
                <w:rFonts w:hint="eastAsia" w:ascii="宋体" w:hAnsi="宋体" w:eastAsia="宋体" w:cs="宋体"/>
                <w:color w:val="auto"/>
                <w:sz w:val="24"/>
                <w:szCs w:val="24"/>
                <w:lang w:val="en-US" w:eastAsia="zh-CN"/>
              </w:rPr>
            </w:pPr>
          </w:p>
          <w:p w14:paraId="53780490">
            <w:pPr>
              <w:pStyle w:val="25"/>
              <w:jc w:val="center"/>
              <w:rPr>
                <w:rFonts w:hint="eastAsia" w:ascii="宋体" w:hAnsi="宋体" w:eastAsia="宋体" w:cs="宋体"/>
                <w:color w:val="auto"/>
                <w:sz w:val="24"/>
                <w:szCs w:val="24"/>
                <w:lang w:val="en-US" w:eastAsia="zh-CN"/>
              </w:rPr>
            </w:pPr>
          </w:p>
          <w:p w14:paraId="6248C4C1">
            <w:pPr>
              <w:pStyle w:val="25"/>
              <w:jc w:val="center"/>
              <w:rPr>
                <w:rFonts w:hint="eastAsia" w:ascii="宋体" w:hAnsi="宋体" w:eastAsia="宋体" w:cs="宋体"/>
                <w:color w:val="auto"/>
                <w:sz w:val="24"/>
                <w:szCs w:val="24"/>
                <w:lang w:val="en-US" w:eastAsia="zh-CN"/>
              </w:rPr>
            </w:pPr>
          </w:p>
          <w:p w14:paraId="7E6798C7">
            <w:pPr>
              <w:pStyle w:val="25"/>
              <w:jc w:val="center"/>
              <w:rPr>
                <w:rFonts w:hint="eastAsia" w:ascii="宋体" w:hAnsi="宋体" w:eastAsia="宋体" w:cs="宋体"/>
                <w:color w:val="auto"/>
                <w:sz w:val="24"/>
                <w:szCs w:val="24"/>
                <w:lang w:val="en-US" w:eastAsia="zh-CN"/>
              </w:rPr>
            </w:pPr>
          </w:p>
          <w:p w14:paraId="21BB62BF">
            <w:pPr>
              <w:pStyle w:val="25"/>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便携式转运监护仪</w:t>
            </w:r>
          </w:p>
        </w:tc>
        <w:tc>
          <w:tcPr>
            <w:tcW w:w="6840" w:type="dxa"/>
          </w:tcPr>
          <w:p w14:paraId="1434C32B">
            <w:pPr>
              <w:numPr>
                <w:ilvl w:val="0"/>
                <w:numId w:val="0"/>
              </w:numPr>
              <w:spacing w:line="360" w:lineRule="auto"/>
              <w:rPr>
                <w:rFonts w:hint="eastAsia" w:ascii="宋体" w:hAnsi="宋体" w:cs="宋体"/>
                <w:b/>
                <w:bCs w:val="0"/>
                <w:color w:val="auto"/>
                <w:sz w:val="24"/>
                <w:szCs w:val="24"/>
                <w:lang w:val="en-US" w:eastAsia="zh-CN"/>
              </w:rPr>
            </w:pPr>
            <w:r>
              <w:rPr>
                <w:rFonts w:hint="eastAsia" w:ascii="宋体" w:hAnsi="宋体" w:cs="宋体"/>
                <w:b/>
                <w:bCs w:val="0"/>
                <w:color w:val="auto"/>
                <w:sz w:val="24"/>
                <w:szCs w:val="24"/>
                <w:lang w:val="en-US" w:eastAsia="zh-CN"/>
              </w:rPr>
              <w:t>一、技术需求</w:t>
            </w:r>
          </w:p>
          <w:p w14:paraId="0B22A693">
            <w:pPr>
              <w:numPr>
                <w:ilvl w:val="1"/>
                <w:numId w:val="20"/>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一体机监护仪，具备一体化提手设计</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整机重量（含内置电池）≤1.5kg</w:t>
            </w:r>
            <w:r>
              <w:rPr>
                <w:rFonts w:hint="eastAsia" w:ascii="宋体" w:hAnsi="宋体" w:eastAsia="宋体" w:cs="宋体"/>
                <w:bCs/>
                <w:color w:val="auto"/>
                <w:sz w:val="24"/>
                <w:szCs w:val="24"/>
              </w:rPr>
              <w:t>。</w:t>
            </w:r>
          </w:p>
          <w:p w14:paraId="205978F3">
            <w:pPr>
              <w:numPr>
                <w:ilvl w:val="1"/>
                <w:numId w:val="20"/>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≥5.5英寸彩色触摸屏，支持多点触控手势操作。</w:t>
            </w:r>
          </w:p>
          <w:p w14:paraId="49EB9538">
            <w:pPr>
              <w:numPr>
                <w:ilvl w:val="1"/>
                <w:numId w:val="20"/>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分辨率≥1280 x 720像素，最高支持12通道显示。</w:t>
            </w:r>
          </w:p>
          <w:p w14:paraId="73155DF9">
            <w:pPr>
              <w:numPr>
                <w:ilvl w:val="1"/>
                <w:numId w:val="20"/>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显示屏亮度根据环境光强度自动调节。</w:t>
            </w:r>
          </w:p>
          <w:p w14:paraId="0FF694F7">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监护仪主机的进液防护程度符合≥IP44要求。</w:t>
            </w:r>
          </w:p>
          <w:p w14:paraId="42D69924">
            <w:pPr>
              <w:numPr>
                <w:ilvl w:val="1"/>
                <w:numId w:val="20"/>
              </w:num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通过1.2米跌落测试。</w:t>
            </w:r>
          </w:p>
          <w:p w14:paraId="49843698">
            <w:pPr>
              <w:numPr>
                <w:ilvl w:val="1"/>
                <w:numId w:val="20"/>
              </w:numPr>
              <w:spacing w:line="360" w:lineRule="auto"/>
              <w:rPr>
                <w:rFonts w:hint="eastAsia" w:ascii="宋体" w:hAnsi="宋体" w:eastAsia="宋体" w:cs="宋体"/>
                <w:color w:val="auto"/>
                <w:sz w:val="24"/>
                <w:szCs w:val="24"/>
              </w:rPr>
            </w:pPr>
            <w:r>
              <w:rPr>
                <w:rFonts w:hint="eastAsia" w:ascii="宋体" w:hAnsi="宋体" w:cs="宋体"/>
                <w:bCs/>
                <w:color w:val="auto"/>
                <w:sz w:val="24"/>
                <w:szCs w:val="24"/>
                <w:lang w:val="en-US" w:eastAsia="zh-CN"/>
              </w:rPr>
              <w:t>具备</w:t>
            </w:r>
            <w:r>
              <w:rPr>
                <w:rFonts w:hint="eastAsia" w:ascii="宋体" w:hAnsi="宋体" w:eastAsia="宋体" w:cs="宋体"/>
                <w:bCs/>
                <w:color w:val="auto"/>
                <w:sz w:val="24"/>
                <w:szCs w:val="24"/>
              </w:rPr>
              <w:t>内置锂电池组，供电时间可达到≥10小时。</w:t>
            </w:r>
          </w:p>
          <w:p w14:paraId="56564D60">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▲支持心电，呼吸，心率，无创血压，血氧饱和度，脉搏，</w:t>
            </w:r>
            <w:r>
              <w:rPr>
                <w:rFonts w:hint="eastAsia" w:ascii="宋体" w:hAnsi="宋体" w:cs="宋体"/>
                <w:color w:val="auto"/>
                <w:sz w:val="24"/>
                <w:szCs w:val="24"/>
                <w:lang w:val="en-US" w:eastAsia="zh-CN"/>
              </w:rPr>
              <w:t>等</w:t>
            </w:r>
            <w:r>
              <w:rPr>
                <w:rFonts w:hint="eastAsia" w:ascii="宋体" w:hAnsi="宋体" w:eastAsia="宋体" w:cs="宋体"/>
                <w:color w:val="auto"/>
                <w:sz w:val="24"/>
                <w:szCs w:val="24"/>
              </w:rPr>
              <w:t>的同时监测。</w:t>
            </w:r>
          </w:p>
          <w:p w14:paraId="51CD6043">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支持3导心电监测，可选配5/6/12导心电测量。</w:t>
            </w:r>
          </w:p>
          <w:p w14:paraId="68DC4AA3">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支持房颤心律失常分析功能，支持≥29种实时心律失常分析，提供生产厂家出具的、相应的功能证明材料（包括但不限于测试报告、说明书和功能截图等）。</w:t>
            </w:r>
          </w:p>
          <w:p w14:paraId="2A5467DB">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监测ST段抬高或者压低，提供ST报警。提供单个或多个ST值报警，并支持相对的报警限设置。</w:t>
            </w:r>
          </w:p>
          <w:p w14:paraId="20264BCF">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具备智能导联脱落监测功能，导联脱落的情况下仍能保持监护。</w:t>
            </w:r>
          </w:p>
          <w:p w14:paraId="31531AF7">
            <w:pPr>
              <w:numPr>
                <w:ilvl w:val="1"/>
                <w:numId w:val="20"/>
              </w:numPr>
              <w:spacing w:line="360" w:lineRule="auto"/>
              <w:rPr>
                <w:rFonts w:hint="eastAsia" w:ascii="宋体" w:hAnsi="宋体" w:eastAsia="宋体" w:cs="宋体"/>
                <w:color w:val="auto"/>
                <w:sz w:val="24"/>
                <w:szCs w:val="24"/>
              </w:rPr>
            </w:pPr>
            <w:r>
              <w:rPr>
                <w:rFonts w:hint="eastAsia" w:ascii="宋体" w:hAnsi="宋体" w:cs="宋体"/>
                <w:color w:val="auto"/>
                <w:sz w:val="24"/>
                <w:szCs w:val="24"/>
                <w:lang w:val="en-US" w:eastAsia="zh-CN"/>
              </w:rPr>
              <w:t>具备多种</w:t>
            </w:r>
            <w:r>
              <w:rPr>
                <w:rFonts w:hint="eastAsia" w:ascii="宋体" w:hAnsi="宋体" w:eastAsia="宋体" w:cs="宋体"/>
                <w:color w:val="auto"/>
                <w:sz w:val="24"/>
                <w:szCs w:val="24"/>
              </w:rPr>
              <w:t>无创血压测量模式。</w:t>
            </w:r>
          </w:p>
          <w:p w14:paraId="78E5A044">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无创血压成人测量范围：25-290mmHg（收缩压），10-250mmHg（舒张压），15-260mmHg（平均压）。</w:t>
            </w:r>
          </w:p>
          <w:p w14:paraId="6000632A">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bCs/>
                <w:color w:val="auto"/>
                <w:sz w:val="24"/>
                <w:szCs w:val="24"/>
              </w:rPr>
              <w:t>支持连续无创血压测量，可以实现无创血压的每搏监测。</w:t>
            </w:r>
          </w:p>
          <w:p w14:paraId="08F5179A">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呼吸率可来源于SpO2。</w:t>
            </w:r>
          </w:p>
          <w:p w14:paraId="35E6ABF4">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具备48小时全息波形的存储与回顾功能。</w:t>
            </w:r>
          </w:p>
          <w:p w14:paraId="24993746">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提供监护模式、夜间模式、转运模式、待机模式、演示模式等多种工作模式。</w:t>
            </w:r>
          </w:p>
          <w:p w14:paraId="0A86C51F">
            <w:pPr>
              <w:numPr>
                <w:ilvl w:val="1"/>
                <w:numId w:val="20"/>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bCs/>
                <w:color w:val="auto"/>
                <w:sz w:val="24"/>
                <w:szCs w:val="24"/>
              </w:rPr>
              <w:t>转运监护仪支持插入床旁监护仪插槽作为多参数模块使用，即插即用。</w:t>
            </w:r>
          </w:p>
        </w:tc>
      </w:tr>
      <w:tr w14:paraId="095AD8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8" w:type="dxa"/>
            <w:vAlign w:val="center"/>
          </w:tcPr>
          <w:p w14:paraId="77F45920">
            <w:pPr>
              <w:pStyle w:val="2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740" w:type="dxa"/>
            <w:vAlign w:val="center"/>
          </w:tcPr>
          <w:p w14:paraId="35613AAC">
            <w:pPr>
              <w:pStyle w:val="25"/>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除颤仪</w:t>
            </w:r>
          </w:p>
        </w:tc>
        <w:tc>
          <w:tcPr>
            <w:tcW w:w="6840" w:type="dxa"/>
          </w:tcPr>
          <w:p w14:paraId="690298CF">
            <w:pPr>
              <w:numPr>
                <w:ilvl w:val="0"/>
                <w:numId w:val="21"/>
              </w:numPr>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通用要求</w:t>
            </w:r>
          </w:p>
          <w:p w14:paraId="0A5AB78D">
            <w:pPr>
              <w:numPr>
                <w:ilvl w:val="0"/>
                <w:numId w:val="22"/>
              </w:numPr>
              <w:autoSpaceDE w:val="0"/>
              <w:autoSpaceDN w:val="0"/>
              <w:adjustRightInd w:val="0"/>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主机</w:t>
            </w:r>
            <w:r>
              <w:rPr>
                <w:rFonts w:hint="eastAsia" w:ascii="宋体" w:hAnsi="宋体" w:eastAsia="宋体" w:cs="宋体"/>
                <w:color w:val="auto"/>
                <w:kern w:val="0"/>
                <w:sz w:val="24"/>
                <w:szCs w:val="24"/>
              </w:rPr>
              <w:t>屏幕：≥</w:t>
            </w:r>
            <w:r>
              <w:rPr>
                <w:rFonts w:hint="eastAsia" w:ascii="宋体" w:hAnsi="宋体" w:eastAsia="宋体" w:cs="宋体"/>
                <w:color w:val="auto"/>
                <w:spacing w:val="-7"/>
                <w:sz w:val="24"/>
                <w:szCs w:val="24"/>
              </w:rPr>
              <w:t>7英寸</w:t>
            </w:r>
            <w:r>
              <w:rPr>
                <w:rFonts w:hint="eastAsia" w:ascii="宋体" w:hAnsi="宋体" w:eastAsia="宋体" w:cs="宋体"/>
                <w:color w:val="auto"/>
                <w:spacing w:val="-3"/>
                <w:sz w:val="24"/>
                <w:szCs w:val="24"/>
              </w:rPr>
              <w:t>彩色</w:t>
            </w:r>
            <w:r>
              <w:rPr>
                <w:rFonts w:hint="eastAsia" w:ascii="宋体" w:hAnsi="宋体" w:eastAsia="宋体" w:cs="宋体"/>
                <w:color w:val="auto"/>
                <w:spacing w:val="-3"/>
                <w:sz w:val="24"/>
                <w:szCs w:val="24"/>
                <w:lang w:val="en-US" w:eastAsia="zh-CN"/>
              </w:rPr>
              <w:t>液晶显示屏，分辨率≥800</w:t>
            </w:r>
            <w:r>
              <w:rPr>
                <w:rFonts w:hint="eastAsia" w:ascii="宋体" w:hAnsi="宋体" w:eastAsia="宋体" w:cs="宋体"/>
                <w:color w:val="auto"/>
                <w:kern w:val="0"/>
                <w:sz w:val="24"/>
                <w:szCs w:val="24"/>
              </w:rPr>
              <w:t>×</w:t>
            </w:r>
            <w:r>
              <w:rPr>
                <w:rFonts w:hint="eastAsia" w:ascii="宋体" w:hAnsi="宋体" w:eastAsia="宋体" w:cs="宋体"/>
                <w:color w:val="auto"/>
                <w:spacing w:val="-3"/>
                <w:sz w:val="24"/>
                <w:szCs w:val="24"/>
                <w:lang w:val="en-US" w:eastAsia="zh-CN"/>
              </w:rPr>
              <w:t xml:space="preserve">480 </w:t>
            </w:r>
          </w:p>
          <w:p w14:paraId="5B5E2A8F">
            <w:pPr>
              <w:numPr>
                <w:ilvl w:val="0"/>
                <w:numId w:val="22"/>
              </w:numPr>
              <w:autoSpaceDE w:val="0"/>
              <w:autoSpaceDN w:val="0"/>
              <w:adjustRightInd w:val="0"/>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主机重量</w:t>
            </w:r>
            <w:r>
              <w:rPr>
                <w:rFonts w:hint="eastAsia" w:ascii="宋体" w:hAnsi="宋体" w:eastAsia="宋体" w:cs="宋体"/>
                <w:color w:val="auto"/>
                <w:kern w:val="0"/>
                <w:sz w:val="24"/>
                <w:szCs w:val="24"/>
                <w:lang w:eastAsia="zh-CN"/>
              </w:rPr>
              <w:t>（含电池）</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rPr>
              <w:t>≤</w:t>
            </w:r>
            <w:r>
              <w:rPr>
                <w:rFonts w:hint="eastAsia" w:ascii="宋体" w:hAnsi="宋体" w:eastAsia="宋体" w:cs="宋体"/>
                <w:color w:val="auto"/>
                <w:spacing w:val="-3"/>
                <w:position w:val="1"/>
                <w:sz w:val="24"/>
                <w:szCs w:val="24"/>
                <w:lang w:val="en-US" w:eastAsia="zh-CN"/>
              </w:rPr>
              <w:t>6.0</w:t>
            </w:r>
            <w:r>
              <w:rPr>
                <w:rFonts w:hint="eastAsia" w:ascii="宋体" w:hAnsi="宋体" w:eastAsia="宋体" w:cs="宋体"/>
                <w:color w:val="auto"/>
                <w:spacing w:val="-3"/>
                <w:position w:val="1"/>
                <w:sz w:val="24"/>
                <w:szCs w:val="24"/>
              </w:rPr>
              <w:t>kg</w:t>
            </w:r>
            <w:r>
              <w:rPr>
                <w:rFonts w:hint="eastAsia" w:ascii="宋体" w:hAnsi="宋体" w:eastAsia="宋体" w:cs="宋体"/>
                <w:color w:val="auto"/>
                <w:spacing w:val="-3"/>
                <w:position w:val="1"/>
                <w:sz w:val="24"/>
                <w:szCs w:val="24"/>
                <w:lang w:val="en-US" w:eastAsia="zh-CN"/>
              </w:rPr>
              <w:t xml:space="preserve"> </w:t>
            </w:r>
          </w:p>
          <w:p w14:paraId="2B72CEFC">
            <w:pPr>
              <w:numPr>
                <w:ilvl w:val="0"/>
                <w:numId w:val="22"/>
              </w:numPr>
              <w:autoSpaceDE w:val="0"/>
              <w:autoSpaceDN w:val="0"/>
              <w:adjustRightInd w:val="0"/>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spacing w:val="-4"/>
                <w:sz w:val="24"/>
                <w:szCs w:val="24"/>
              </w:rPr>
              <w:t>防尘防水等级</w:t>
            </w:r>
            <w:r>
              <w:rPr>
                <w:rFonts w:hint="eastAsia" w:ascii="宋体" w:hAnsi="宋体" w:cs="宋体"/>
                <w:color w:val="auto"/>
                <w:spacing w:val="-4"/>
                <w:sz w:val="24"/>
                <w:szCs w:val="24"/>
                <w:lang w:eastAsia="zh-CN"/>
              </w:rPr>
              <w:t>：</w:t>
            </w:r>
            <w:r>
              <w:rPr>
                <w:rFonts w:hint="eastAsia" w:ascii="宋体" w:hAnsi="宋体" w:eastAsia="宋体" w:cs="宋体"/>
                <w:color w:val="auto"/>
                <w:spacing w:val="-5"/>
                <w:sz w:val="24"/>
                <w:szCs w:val="24"/>
              </w:rPr>
              <w:t>IP54</w:t>
            </w:r>
            <w:r>
              <w:rPr>
                <w:rFonts w:hint="eastAsia" w:ascii="宋体" w:hAnsi="宋体" w:eastAsia="宋体" w:cs="宋体"/>
                <w:color w:val="auto"/>
                <w:spacing w:val="-5"/>
                <w:sz w:val="24"/>
                <w:szCs w:val="24"/>
                <w:lang w:val="en-US" w:eastAsia="zh-CN"/>
              </w:rPr>
              <w:t>以上</w:t>
            </w:r>
          </w:p>
          <w:p w14:paraId="0EE02A81">
            <w:pPr>
              <w:numPr>
                <w:ilvl w:val="0"/>
                <w:numId w:val="22"/>
              </w:numPr>
              <w:autoSpaceDE w:val="0"/>
              <w:autoSpaceDN w:val="0"/>
              <w:adjustRightInd w:val="0"/>
              <w:spacing w:line="360" w:lineRule="auto"/>
              <w:jc w:val="left"/>
              <w:rPr>
                <w:rFonts w:hint="eastAsia" w:ascii="宋体" w:hAnsi="宋体" w:eastAsia="宋体" w:cs="宋体"/>
                <w:color w:val="auto"/>
                <w:kern w:val="0"/>
                <w:sz w:val="24"/>
                <w:szCs w:val="24"/>
              </w:rPr>
            </w:pPr>
            <w:r>
              <w:rPr>
                <w:rFonts w:hint="eastAsia" w:ascii="宋体" w:hAnsi="宋体" w:eastAsia="宋体" w:cs="宋体"/>
                <w:color w:val="auto"/>
                <w:sz w:val="24"/>
                <w:szCs w:val="24"/>
                <w:lang w:val="en-US" w:eastAsia="zh-CN"/>
              </w:rPr>
              <w:t>通过自由跌落试验要求，可承受六面1m以上跌落冲击，需提供测试报告</w:t>
            </w:r>
          </w:p>
          <w:p w14:paraId="0F246573">
            <w:pPr>
              <w:numPr>
                <w:ilvl w:val="0"/>
                <w:numId w:val="21"/>
              </w:numPr>
              <w:spacing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技术参数</w:t>
            </w:r>
          </w:p>
          <w:p w14:paraId="16BA6CBD">
            <w:pPr>
              <w:numPr>
                <w:ilvl w:val="0"/>
                <w:numId w:val="23"/>
              </w:numPr>
              <w:autoSpaceDE w:val="0"/>
              <w:autoSpaceDN w:val="0"/>
              <w:adjustRightInd w:val="0"/>
              <w:spacing w:line="360" w:lineRule="auto"/>
              <w:ind w:left="425" w:leftChars="0" w:hanging="425"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spacing w:val="-2"/>
                <w:sz w:val="24"/>
                <w:szCs w:val="24"/>
                <w:lang w:val="en-US" w:eastAsia="zh-CN"/>
              </w:rPr>
              <w:t>采用</w:t>
            </w:r>
            <w:r>
              <w:rPr>
                <w:rFonts w:hint="eastAsia" w:ascii="宋体" w:hAnsi="宋体" w:eastAsia="宋体" w:cs="宋体"/>
                <w:color w:val="auto"/>
                <w:spacing w:val="-2"/>
                <w:sz w:val="24"/>
                <w:szCs w:val="24"/>
              </w:rPr>
              <w:t>双相波</w:t>
            </w:r>
            <w:r>
              <w:rPr>
                <w:rFonts w:hint="eastAsia" w:ascii="宋体" w:hAnsi="宋体" w:eastAsia="宋体" w:cs="宋体"/>
                <w:color w:val="auto"/>
                <w:spacing w:val="-2"/>
                <w:sz w:val="24"/>
                <w:szCs w:val="24"/>
                <w:lang w:val="en-US" w:eastAsia="zh-CN"/>
              </w:rPr>
              <w:t>除颤波形</w:t>
            </w:r>
            <w:r>
              <w:rPr>
                <w:rFonts w:hint="eastAsia" w:ascii="宋体" w:hAnsi="宋体" w:eastAsia="宋体" w:cs="宋体"/>
                <w:color w:val="auto"/>
                <w:spacing w:val="-2"/>
                <w:sz w:val="24"/>
                <w:szCs w:val="24"/>
              </w:rPr>
              <w:t>，</w:t>
            </w:r>
            <w:r>
              <w:rPr>
                <w:rFonts w:hint="eastAsia" w:ascii="宋体" w:hAnsi="宋体" w:eastAsia="宋体" w:cs="宋体"/>
                <w:color w:val="auto"/>
                <w:spacing w:val="-2"/>
                <w:sz w:val="24"/>
                <w:szCs w:val="24"/>
                <w:lang w:val="en-US" w:eastAsia="zh-CN"/>
              </w:rPr>
              <w:t>具有阻抗</w:t>
            </w:r>
            <w:r>
              <w:rPr>
                <w:rFonts w:hint="eastAsia" w:ascii="宋体" w:hAnsi="宋体" w:eastAsia="宋体" w:cs="宋体"/>
                <w:color w:val="auto"/>
                <w:spacing w:val="-2"/>
                <w:sz w:val="24"/>
                <w:szCs w:val="24"/>
              </w:rPr>
              <w:t>自动补偿</w:t>
            </w:r>
            <w:r>
              <w:rPr>
                <w:rFonts w:hint="eastAsia" w:ascii="宋体" w:hAnsi="宋体" w:cs="宋体"/>
                <w:color w:val="auto"/>
                <w:spacing w:val="-2"/>
                <w:sz w:val="24"/>
                <w:szCs w:val="24"/>
                <w:lang w:eastAsia="zh-CN"/>
              </w:rPr>
              <w:t>，</w:t>
            </w:r>
            <w:r>
              <w:rPr>
                <w:rFonts w:hint="eastAsia" w:ascii="宋体" w:hAnsi="宋体" w:eastAsia="宋体" w:cs="宋体"/>
                <w:color w:val="auto"/>
                <w:spacing w:val="-2"/>
                <w:sz w:val="24"/>
                <w:szCs w:val="24"/>
                <w:lang w:val="en-US" w:eastAsia="zh-CN"/>
              </w:rPr>
              <w:t>成人室颤患者体外首次除颤能量</w:t>
            </w:r>
            <w:r>
              <w:rPr>
                <w:rFonts w:hint="eastAsia" w:ascii="宋体" w:hAnsi="宋体" w:eastAsia="宋体" w:cs="宋体"/>
                <w:color w:val="auto"/>
                <w:kern w:val="0"/>
                <w:sz w:val="24"/>
                <w:szCs w:val="24"/>
              </w:rPr>
              <w:t>≤</w:t>
            </w:r>
            <w:r>
              <w:rPr>
                <w:rFonts w:hint="eastAsia" w:ascii="宋体" w:hAnsi="宋体" w:eastAsia="宋体" w:cs="宋体"/>
                <w:color w:val="auto"/>
                <w:spacing w:val="-2"/>
                <w:sz w:val="24"/>
                <w:szCs w:val="24"/>
                <w:lang w:val="en-US" w:eastAsia="zh-CN"/>
              </w:rPr>
              <w:t>150J；</w:t>
            </w:r>
          </w:p>
          <w:p w14:paraId="4FFBDB81">
            <w:pPr>
              <w:numPr>
                <w:ilvl w:val="0"/>
                <w:numId w:val="23"/>
              </w:numPr>
              <w:autoSpaceDE w:val="0"/>
              <w:autoSpaceDN w:val="0"/>
              <w:adjustRightInd w:val="0"/>
              <w:spacing w:line="360" w:lineRule="auto"/>
              <w:ind w:left="420" w:leftChars="0" w:hanging="420" w:firstLineChars="0"/>
              <w:jc w:val="left"/>
              <w:rPr>
                <w:rFonts w:hint="eastAsia" w:ascii="宋体" w:hAnsi="宋体" w:eastAsia="宋体" w:cs="宋体"/>
                <w:color w:val="auto"/>
                <w:spacing w:val="-2"/>
                <w:position w:val="1"/>
                <w:sz w:val="24"/>
                <w:szCs w:val="24"/>
                <w:highlight w:val="none"/>
                <w:lang w:val="en-US" w:eastAsia="zh-CN"/>
              </w:rPr>
            </w:pPr>
            <w:r>
              <w:rPr>
                <w:rFonts w:hint="eastAsia" w:ascii="宋体" w:hAnsi="宋体" w:eastAsia="宋体" w:cs="宋体"/>
                <w:b w:val="0"/>
                <w:bCs w:val="0"/>
                <w:color w:val="auto"/>
                <w:sz w:val="24"/>
                <w:szCs w:val="24"/>
                <w:lang w:val="en-US" w:eastAsia="zh-CN"/>
              </w:rPr>
              <w:t>除颤能量</w:t>
            </w:r>
            <w:r>
              <w:rPr>
                <w:rFonts w:hint="eastAsia" w:ascii="宋体" w:hAnsi="宋体" w:cs="宋体"/>
                <w:b w:val="0"/>
                <w:bCs w:val="0"/>
                <w:color w:val="auto"/>
                <w:sz w:val="24"/>
                <w:szCs w:val="24"/>
                <w:lang w:val="en-US" w:eastAsia="zh-CN"/>
              </w:rPr>
              <w:t>1</w:t>
            </w:r>
            <w:r>
              <w:rPr>
                <w:rFonts w:hint="eastAsia" w:ascii="宋体" w:hAnsi="宋体" w:eastAsia="宋体" w:cs="宋体"/>
                <w:color w:val="auto"/>
                <w:sz w:val="24"/>
                <w:szCs w:val="24"/>
              </w:rPr>
              <w:t>-</w:t>
            </w:r>
            <w:r>
              <w:rPr>
                <w:rFonts w:hint="eastAsia" w:ascii="宋体" w:hAnsi="宋体" w:eastAsia="宋体" w:cs="宋体"/>
                <w:color w:val="auto"/>
                <w:kern w:val="0"/>
                <w:sz w:val="24"/>
                <w:szCs w:val="24"/>
                <w:lang w:val="en-US" w:eastAsia="zh-CN"/>
              </w:rPr>
              <w:t>360J</w:t>
            </w:r>
            <w:r>
              <w:rPr>
                <w:rFonts w:hint="eastAsia" w:ascii="宋体" w:hAnsi="宋体" w:eastAsia="宋体" w:cs="宋体"/>
                <w:color w:val="auto"/>
                <w:kern w:val="0"/>
                <w:sz w:val="24"/>
                <w:szCs w:val="24"/>
              </w:rPr>
              <w:t>可</w:t>
            </w:r>
            <w:r>
              <w:rPr>
                <w:rFonts w:hint="eastAsia" w:ascii="宋体" w:hAnsi="宋体" w:eastAsia="宋体" w:cs="宋体"/>
                <w:color w:val="auto"/>
                <w:kern w:val="0"/>
                <w:sz w:val="24"/>
                <w:szCs w:val="24"/>
                <w:lang w:val="en-US" w:eastAsia="zh-CN"/>
              </w:rPr>
              <w:t>调节</w:t>
            </w:r>
          </w:p>
          <w:p w14:paraId="0925D7CE">
            <w:pPr>
              <w:numPr>
                <w:ilvl w:val="0"/>
                <w:numId w:val="23"/>
              </w:numPr>
              <w:autoSpaceDE w:val="0"/>
              <w:autoSpaceDN w:val="0"/>
              <w:adjustRightInd w:val="0"/>
              <w:spacing w:line="360" w:lineRule="auto"/>
              <w:ind w:left="420" w:leftChars="0" w:hanging="42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pacing w:val="-2"/>
                <w:position w:val="1"/>
                <w:sz w:val="24"/>
                <w:szCs w:val="24"/>
                <w:highlight w:val="none"/>
                <w:lang w:val="en-US" w:eastAsia="zh-CN"/>
              </w:rPr>
              <w:t>除颤充电至200J</w:t>
            </w:r>
            <w:r>
              <w:rPr>
                <w:rFonts w:hint="eastAsia" w:ascii="宋体" w:hAnsi="宋体" w:eastAsia="宋体" w:cs="宋体"/>
                <w:color w:val="auto"/>
                <w:kern w:val="0"/>
                <w:sz w:val="24"/>
                <w:szCs w:val="24"/>
              </w:rPr>
              <w:t>≤</w:t>
            </w:r>
            <w:r>
              <w:rPr>
                <w:rFonts w:hint="eastAsia" w:ascii="宋体" w:hAnsi="宋体" w:eastAsia="宋体" w:cs="宋体"/>
                <w:color w:val="auto"/>
                <w:spacing w:val="-2"/>
                <w:position w:val="1"/>
                <w:sz w:val="24"/>
                <w:szCs w:val="24"/>
                <w:highlight w:val="none"/>
                <w:lang w:val="en-US" w:eastAsia="zh-CN"/>
              </w:rPr>
              <w:t>5S，充电至360J</w:t>
            </w:r>
            <w:r>
              <w:rPr>
                <w:rFonts w:hint="eastAsia" w:ascii="宋体" w:hAnsi="宋体" w:eastAsia="宋体" w:cs="宋体"/>
                <w:color w:val="auto"/>
                <w:kern w:val="0"/>
                <w:sz w:val="24"/>
                <w:szCs w:val="24"/>
              </w:rPr>
              <w:t>≤</w:t>
            </w:r>
            <w:r>
              <w:rPr>
                <w:rFonts w:hint="eastAsia" w:ascii="宋体" w:hAnsi="宋体" w:eastAsia="宋体" w:cs="宋体"/>
                <w:color w:val="auto"/>
                <w:spacing w:val="-2"/>
                <w:position w:val="1"/>
                <w:sz w:val="24"/>
                <w:szCs w:val="24"/>
                <w:highlight w:val="none"/>
                <w:lang w:val="en-US" w:eastAsia="zh-CN"/>
              </w:rPr>
              <w:t xml:space="preserve">8S </w:t>
            </w:r>
          </w:p>
          <w:p w14:paraId="510B3958">
            <w:pPr>
              <w:numPr>
                <w:ilvl w:val="0"/>
                <w:numId w:val="23"/>
              </w:numPr>
              <w:autoSpaceDE w:val="0"/>
              <w:autoSpaceDN w:val="0"/>
              <w:adjustRightInd w:val="0"/>
              <w:spacing w:line="360" w:lineRule="auto"/>
              <w:ind w:left="420" w:leftChars="0" w:hanging="42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pacing w:val="-5"/>
                <w:sz w:val="24"/>
                <w:szCs w:val="24"/>
                <w:lang w:val="en-US" w:eastAsia="zh-CN"/>
              </w:rPr>
              <w:t>成人/儿童一体化电极板，至少</w:t>
            </w:r>
            <w:r>
              <w:rPr>
                <w:rFonts w:hint="eastAsia" w:ascii="宋体" w:hAnsi="宋体" w:eastAsia="宋体" w:cs="宋体"/>
                <w:color w:val="auto"/>
                <w:spacing w:val="-1"/>
                <w:sz w:val="24"/>
                <w:szCs w:val="24"/>
              </w:rPr>
              <w:t>具有能量选择</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充电、放电功能</w:t>
            </w:r>
          </w:p>
          <w:p w14:paraId="1969407E">
            <w:pPr>
              <w:numPr>
                <w:ilvl w:val="0"/>
                <w:numId w:val="23"/>
              </w:numPr>
              <w:autoSpaceDE w:val="0"/>
              <w:autoSpaceDN w:val="0"/>
              <w:adjustRightInd w:val="0"/>
              <w:spacing w:line="360" w:lineRule="auto"/>
              <w:ind w:left="420" w:leftChars="0" w:hanging="420" w:firstLineChars="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pacing w:val="-1"/>
                <w:sz w:val="24"/>
                <w:szCs w:val="24"/>
                <w:lang w:val="en-US" w:eastAsia="zh-CN"/>
              </w:rPr>
              <w:t>手动除颤电极板</w:t>
            </w:r>
            <w:r>
              <w:rPr>
                <w:rFonts w:hint="eastAsia" w:ascii="宋体" w:hAnsi="宋体" w:eastAsia="宋体" w:cs="宋体"/>
                <w:color w:val="auto"/>
                <w:spacing w:val="-1"/>
                <w:sz w:val="24"/>
                <w:szCs w:val="24"/>
              </w:rPr>
              <w:t>具</w:t>
            </w:r>
            <w:r>
              <w:rPr>
                <w:rFonts w:hint="eastAsia" w:ascii="宋体" w:hAnsi="宋体" w:eastAsia="宋体" w:cs="宋体"/>
                <w:color w:val="auto"/>
                <w:spacing w:val="-1"/>
                <w:sz w:val="24"/>
                <w:szCs w:val="24"/>
                <w:lang w:val="en-US" w:eastAsia="zh-CN"/>
              </w:rPr>
              <w:t>有</w:t>
            </w:r>
            <w:r>
              <w:rPr>
                <w:rFonts w:hint="eastAsia" w:ascii="宋体" w:hAnsi="宋体" w:eastAsia="宋体" w:cs="宋体"/>
                <w:color w:val="auto"/>
                <w:spacing w:val="-1"/>
                <w:sz w:val="24"/>
                <w:szCs w:val="24"/>
              </w:rPr>
              <w:t>阻抗提示</w:t>
            </w:r>
            <w:r>
              <w:rPr>
                <w:rFonts w:hint="eastAsia" w:ascii="宋体" w:hAnsi="宋体" w:eastAsia="宋体" w:cs="宋体"/>
                <w:color w:val="auto"/>
                <w:spacing w:val="-5"/>
                <w:sz w:val="24"/>
                <w:szCs w:val="24"/>
              </w:rPr>
              <w:t>灯</w:t>
            </w:r>
            <w:r>
              <w:rPr>
                <w:rFonts w:hint="eastAsia" w:ascii="宋体" w:hAnsi="宋体" w:eastAsia="宋体" w:cs="宋体"/>
                <w:color w:val="auto"/>
                <w:spacing w:val="-5"/>
                <w:sz w:val="24"/>
                <w:szCs w:val="24"/>
                <w:lang w:eastAsia="zh-CN"/>
              </w:rPr>
              <w:t>，屏幕</w:t>
            </w:r>
            <w:r>
              <w:rPr>
                <w:rFonts w:hint="eastAsia" w:ascii="宋体" w:hAnsi="宋体" w:eastAsia="宋体" w:cs="宋体"/>
                <w:color w:val="auto"/>
                <w:spacing w:val="-5"/>
                <w:sz w:val="24"/>
                <w:szCs w:val="24"/>
                <w:lang w:val="en-US" w:eastAsia="zh-CN"/>
              </w:rPr>
              <w:t>可</w:t>
            </w:r>
            <w:r>
              <w:rPr>
                <w:rFonts w:hint="eastAsia" w:ascii="宋体" w:hAnsi="宋体" w:eastAsia="宋体" w:cs="宋体"/>
                <w:color w:val="auto"/>
                <w:spacing w:val="-5"/>
                <w:sz w:val="24"/>
                <w:szCs w:val="24"/>
                <w:lang w:eastAsia="zh-CN"/>
              </w:rPr>
              <w:t>显示具体阻抗数值</w:t>
            </w:r>
            <w:r>
              <w:rPr>
                <w:rFonts w:hint="eastAsia" w:ascii="宋体" w:hAnsi="宋体" w:eastAsia="宋体" w:cs="宋体"/>
                <w:color w:val="auto"/>
                <w:spacing w:val="-5"/>
                <w:sz w:val="24"/>
                <w:szCs w:val="24"/>
                <w:lang w:val="en-US" w:eastAsia="zh-CN"/>
              </w:rPr>
              <w:t xml:space="preserve"> ，屏幕阻抗指示条颜色区分阻抗范围</w:t>
            </w:r>
          </w:p>
          <w:p w14:paraId="016B0006">
            <w:pPr>
              <w:numPr>
                <w:ilvl w:val="0"/>
                <w:numId w:val="23"/>
              </w:numPr>
              <w:autoSpaceDE w:val="0"/>
              <w:autoSpaceDN w:val="0"/>
              <w:adjustRightInd w:val="0"/>
              <w:spacing w:line="360" w:lineRule="auto"/>
              <w:ind w:left="420" w:leftChars="0" w:hanging="420"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AED功能具备一键切换成人</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儿童模式</w:t>
            </w:r>
            <w:r>
              <w:rPr>
                <w:rFonts w:hint="eastAsia" w:ascii="宋体" w:hAnsi="宋体" w:eastAsia="宋体" w:cs="宋体"/>
                <w:color w:val="auto"/>
                <w:sz w:val="24"/>
                <w:szCs w:val="24"/>
                <w:highlight w:val="none"/>
                <w:lang w:val="en-US" w:eastAsia="zh-CN"/>
              </w:rPr>
              <w:t xml:space="preserve"> </w:t>
            </w:r>
          </w:p>
          <w:p w14:paraId="554DD725">
            <w:pPr>
              <w:numPr>
                <w:ilvl w:val="0"/>
                <w:numId w:val="23"/>
              </w:numPr>
              <w:autoSpaceDE w:val="0"/>
              <w:autoSpaceDN w:val="0"/>
              <w:adjustRightInd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kern w:val="0"/>
                <w:sz w:val="24"/>
                <w:szCs w:val="24"/>
              </w:rPr>
              <w:t>支持</w:t>
            </w:r>
            <w:r>
              <w:rPr>
                <w:rFonts w:hint="eastAsia" w:ascii="宋体" w:hAnsi="宋体" w:eastAsia="宋体" w:cs="宋体"/>
                <w:color w:val="auto"/>
                <w:kern w:val="0"/>
                <w:sz w:val="24"/>
                <w:szCs w:val="24"/>
                <w:lang w:val="en-US" w:eastAsia="zh-CN"/>
              </w:rPr>
              <w:t>指导</w:t>
            </w:r>
            <w:r>
              <w:rPr>
                <w:rFonts w:hint="eastAsia" w:ascii="宋体" w:hAnsi="宋体" w:eastAsia="宋体" w:cs="宋体"/>
                <w:color w:val="auto"/>
                <w:kern w:val="0"/>
                <w:sz w:val="24"/>
                <w:szCs w:val="24"/>
              </w:rPr>
              <w:t>CPR辅助功能，符合20</w:t>
            </w:r>
            <w:r>
              <w:rPr>
                <w:rFonts w:hint="eastAsia" w:ascii="宋体" w:hAnsi="宋体" w:eastAsia="宋体" w:cs="宋体"/>
                <w:color w:val="auto"/>
                <w:kern w:val="0"/>
                <w:sz w:val="24"/>
                <w:szCs w:val="24"/>
                <w:lang w:val="en-US" w:eastAsia="zh-CN"/>
              </w:rPr>
              <w:t>20</w:t>
            </w:r>
            <w:r>
              <w:rPr>
                <w:rFonts w:hint="eastAsia" w:ascii="宋体" w:hAnsi="宋体" w:eastAsia="宋体" w:cs="宋体"/>
                <w:color w:val="auto"/>
                <w:kern w:val="0"/>
                <w:sz w:val="24"/>
                <w:szCs w:val="24"/>
              </w:rPr>
              <w:t xml:space="preserve"> AHA/ERC指南</w:t>
            </w:r>
            <w:r>
              <w:rPr>
                <w:rFonts w:hint="eastAsia" w:ascii="宋体" w:hAnsi="宋体" w:eastAsia="宋体" w:cs="宋体"/>
                <w:color w:val="auto"/>
                <w:kern w:val="0"/>
                <w:sz w:val="24"/>
                <w:szCs w:val="24"/>
                <w:lang w:val="en-US" w:eastAsia="zh-CN"/>
              </w:rPr>
              <w:t xml:space="preserve"> </w:t>
            </w:r>
          </w:p>
          <w:p w14:paraId="47932536">
            <w:pPr>
              <w:numPr>
                <w:ilvl w:val="0"/>
                <w:numId w:val="23"/>
              </w:numPr>
              <w:autoSpaceDE w:val="0"/>
              <w:autoSpaceDN w:val="0"/>
              <w:adjustRightInd w:val="0"/>
              <w:spacing w:line="360" w:lineRule="auto"/>
              <w:ind w:left="420" w:leftChars="0" w:hanging="420" w:firstLineChars="0"/>
              <w:jc w:val="left"/>
              <w:rPr>
                <w:rFonts w:hint="eastAsia" w:ascii="宋体" w:hAnsi="宋体" w:eastAsia="宋体" w:cs="宋体"/>
                <w:color w:val="auto"/>
                <w:kern w:val="0"/>
                <w:sz w:val="24"/>
                <w:szCs w:val="24"/>
                <w:lang w:val="en-US"/>
              </w:rPr>
            </w:pPr>
            <w:r>
              <w:rPr>
                <w:rFonts w:hint="eastAsia" w:ascii="宋体" w:hAnsi="宋体" w:eastAsia="宋体" w:cs="宋体"/>
                <w:color w:val="auto"/>
                <w:sz w:val="24"/>
                <w:szCs w:val="24"/>
                <w:lang w:val="en-US" w:eastAsia="zh-CN"/>
              </w:rPr>
              <w:t>体外起搏模式：按需起搏、固定频率起搏，具有降速起搏功能（降速为原值的1/4）</w:t>
            </w:r>
          </w:p>
          <w:p w14:paraId="6BE45B94">
            <w:pPr>
              <w:pStyle w:val="7"/>
              <w:numPr>
                <w:ilvl w:val="0"/>
                <w:numId w:val="23"/>
              </w:numPr>
              <w:spacing w:line="360" w:lineRule="auto"/>
              <w:ind w:left="420" w:leftChars="0" w:hanging="42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至少标配3导联心电（ECG</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 xml:space="preserve">、呼吸（Resp）等监护功能 </w:t>
            </w:r>
          </w:p>
          <w:p w14:paraId="2DACF5B0">
            <w:pPr>
              <w:pStyle w:val="7"/>
              <w:numPr>
                <w:ilvl w:val="0"/>
                <w:numId w:val="23"/>
              </w:numPr>
              <w:spacing w:line="360" w:lineRule="auto"/>
              <w:ind w:left="420" w:leftChars="0" w:hanging="42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监护患者类型：新生儿、儿童、成人3类</w:t>
            </w:r>
          </w:p>
          <w:p w14:paraId="17C29B26">
            <w:pPr>
              <w:pStyle w:val="7"/>
              <w:numPr>
                <w:ilvl w:val="0"/>
                <w:numId w:val="23"/>
              </w:numPr>
              <w:spacing w:line="360" w:lineRule="auto"/>
              <w:ind w:left="420" w:leftChars="0" w:hanging="42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心电监护模式：具有监护模式，治疗模式，诊断模式3种</w:t>
            </w:r>
          </w:p>
          <w:p w14:paraId="067E903D">
            <w:pPr>
              <w:pStyle w:val="7"/>
              <w:numPr>
                <w:ilvl w:val="0"/>
                <w:numId w:val="23"/>
              </w:numPr>
              <w:spacing w:line="360" w:lineRule="auto"/>
              <w:ind w:left="420" w:leftChars="0" w:hanging="420" w:firstLineChars="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心律失常分析：通过心电电极片，可监测的心律失常分析种类20种以上</w:t>
            </w:r>
          </w:p>
          <w:p w14:paraId="1907690E">
            <w:pPr>
              <w:numPr>
                <w:ilvl w:val="0"/>
                <w:numId w:val="23"/>
              </w:numPr>
              <w:autoSpaceDE w:val="0"/>
              <w:autoSpaceDN w:val="0"/>
              <w:adjustRightInd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具备</w:t>
            </w:r>
            <w:r>
              <w:rPr>
                <w:rFonts w:hint="eastAsia" w:ascii="宋体" w:hAnsi="宋体" w:eastAsia="宋体" w:cs="宋体"/>
                <w:color w:val="auto"/>
                <w:sz w:val="24"/>
                <w:szCs w:val="24"/>
              </w:rPr>
              <w:t>高分辨率</w:t>
            </w:r>
            <w:r>
              <w:rPr>
                <w:rFonts w:hint="eastAsia" w:ascii="宋体" w:hAnsi="宋体" w:eastAsia="宋体" w:cs="宋体"/>
                <w:color w:val="auto"/>
                <w:sz w:val="24"/>
                <w:szCs w:val="24"/>
                <w:lang w:val="en-US" w:eastAsia="zh-CN"/>
              </w:rPr>
              <w:t>热敏</w:t>
            </w:r>
            <w:r>
              <w:rPr>
                <w:rFonts w:hint="eastAsia" w:ascii="宋体" w:hAnsi="宋体" w:eastAsia="宋体" w:cs="宋体"/>
                <w:color w:val="auto"/>
                <w:sz w:val="24"/>
                <w:szCs w:val="24"/>
              </w:rPr>
              <w:t>点阵打印</w:t>
            </w:r>
            <w:r>
              <w:rPr>
                <w:rFonts w:hint="eastAsia" w:ascii="宋体" w:hAnsi="宋体" w:eastAsia="宋体" w:cs="宋体"/>
                <w:color w:val="auto"/>
                <w:sz w:val="24"/>
                <w:szCs w:val="24"/>
                <w:lang w:val="en-US" w:eastAsia="zh-CN"/>
              </w:rPr>
              <w:t>记录仪，记录纸宽</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z w:val="24"/>
                <w:szCs w:val="24"/>
                <w:lang w:val="en-US" w:eastAsia="zh-CN"/>
              </w:rPr>
              <w:t>50mm，可同时打印</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z w:val="24"/>
                <w:szCs w:val="24"/>
                <w:lang w:val="en-US" w:eastAsia="zh-CN"/>
              </w:rPr>
              <w:t>3道波形</w:t>
            </w:r>
          </w:p>
          <w:p w14:paraId="4E9AE8E2">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具备黑夜触点功能，能在黑暗环境迅速开启并操作设备（需提供证明文件）</w:t>
            </w:r>
          </w:p>
          <w:p w14:paraId="26B4A085">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存储要求</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内置</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z w:val="24"/>
                <w:szCs w:val="24"/>
                <w:lang w:val="en-US" w:eastAsia="zh-CN"/>
              </w:rPr>
              <w:t>16GB，可存储</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z w:val="24"/>
                <w:szCs w:val="24"/>
                <w:lang w:val="en-US" w:eastAsia="zh-CN"/>
              </w:rPr>
              <w:t>240小时连续 ECG 波形，数据可导出至电脑查看</w:t>
            </w:r>
          </w:p>
          <w:p w14:paraId="3910D1A4">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AED模式抢救过程支持录音功能，存储时间</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z w:val="24"/>
                <w:szCs w:val="24"/>
                <w:lang w:val="en-US" w:eastAsia="zh-CN"/>
              </w:rPr>
              <w:t>180min</w:t>
            </w:r>
          </w:p>
          <w:p w14:paraId="0EDCEBEC">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趋势资料：可存储</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kern w:val="0"/>
                <w:sz w:val="24"/>
                <w:szCs w:val="24"/>
                <w:lang w:val="en-US" w:eastAsia="zh-CN"/>
              </w:rPr>
              <w:t>16</w:t>
            </w:r>
            <w:r>
              <w:rPr>
                <w:rFonts w:hint="eastAsia" w:ascii="宋体" w:hAnsi="宋体" w:cs="宋体"/>
                <w:color w:val="auto"/>
                <w:kern w:val="0"/>
                <w:sz w:val="24"/>
                <w:szCs w:val="24"/>
                <w:lang w:val="en-US" w:eastAsia="zh-CN"/>
              </w:rPr>
              <w:t>0</w:t>
            </w:r>
            <w:r>
              <w:rPr>
                <w:rFonts w:hint="eastAsia" w:ascii="宋体" w:hAnsi="宋体" w:eastAsia="宋体" w:cs="宋体"/>
                <w:color w:val="auto"/>
                <w:kern w:val="0"/>
                <w:sz w:val="24"/>
                <w:szCs w:val="24"/>
                <w:lang w:val="en-US" w:eastAsia="zh-CN"/>
              </w:rPr>
              <w:t>小时的趋势资料</w:t>
            </w:r>
          </w:p>
          <w:p w14:paraId="431FBF15">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可存储</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z w:val="24"/>
                <w:szCs w:val="24"/>
                <w:lang w:val="en-US" w:eastAsia="zh-CN"/>
              </w:rPr>
              <w:t>2000条自检记录，</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z w:val="24"/>
                <w:szCs w:val="24"/>
                <w:lang w:val="en-US" w:eastAsia="zh-CN"/>
              </w:rPr>
              <w:t>1200条事件记录，</w:t>
            </w:r>
            <w:r>
              <w:rPr>
                <w:rFonts w:hint="eastAsia" w:ascii="宋体" w:hAnsi="宋体" w:eastAsia="宋体" w:cs="宋体"/>
                <w:color w:val="auto"/>
                <w:spacing w:val="-3"/>
                <w:sz w:val="24"/>
                <w:szCs w:val="24"/>
                <w:lang w:val="en-US" w:eastAsia="zh-CN"/>
              </w:rPr>
              <w:t>≥</w:t>
            </w:r>
            <w:r>
              <w:rPr>
                <w:rFonts w:hint="eastAsia" w:ascii="宋体" w:hAnsi="宋体" w:eastAsia="宋体" w:cs="宋体"/>
                <w:color w:val="auto"/>
                <w:sz w:val="24"/>
                <w:szCs w:val="24"/>
                <w:lang w:val="en-US" w:eastAsia="zh-CN"/>
              </w:rPr>
              <w:t>200条</w:t>
            </w:r>
            <w:r>
              <w:rPr>
                <w:rFonts w:hint="eastAsia" w:ascii="宋体" w:hAnsi="宋体" w:eastAsia="宋体" w:cs="宋体"/>
                <w:color w:val="auto"/>
                <w:kern w:val="0"/>
                <w:sz w:val="24"/>
                <w:szCs w:val="24"/>
                <w:lang w:val="en-US" w:eastAsia="zh-CN"/>
              </w:rPr>
              <w:t>病人档案</w:t>
            </w:r>
          </w:p>
          <w:p w14:paraId="4DAE9143">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具备</w:t>
            </w:r>
            <w:r>
              <w:rPr>
                <w:rFonts w:hint="eastAsia" w:ascii="宋体" w:hAnsi="宋体" w:eastAsia="宋体" w:cs="宋体"/>
                <w:color w:val="auto"/>
                <w:sz w:val="24"/>
                <w:szCs w:val="24"/>
                <w:lang w:val="en-US" w:eastAsia="zh-CN"/>
              </w:rPr>
              <w:t>USB接口，可导出数据分析</w:t>
            </w:r>
          </w:p>
          <w:p w14:paraId="37AAA8D2">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具备Wi-Fi</w:t>
            </w:r>
            <w:r>
              <w:rPr>
                <w:rFonts w:hint="eastAsia" w:ascii="宋体" w:hAnsi="宋体" w:eastAsia="宋体" w:cs="宋体"/>
                <w:color w:val="auto"/>
                <w:sz w:val="24"/>
                <w:szCs w:val="24"/>
                <w:lang w:val="en-US" w:eastAsia="zh-CN"/>
              </w:rPr>
              <w:t>、蓝牙和4G数据通讯功能</w:t>
            </w:r>
          </w:p>
          <w:p w14:paraId="2D818274">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具有自动自检功能，在关机状态下，在设置的时间点进行自动自检</w:t>
            </w:r>
          </w:p>
          <w:p w14:paraId="51F2C042">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可充电锂离子电池，具有电池电量检查按钮和电池电量指示灯</w:t>
            </w:r>
            <w:r>
              <w:rPr>
                <w:rFonts w:hint="eastAsia" w:ascii="宋体" w:hAnsi="宋体" w:eastAsia="宋体" w:cs="宋体"/>
                <w:b w:val="0"/>
                <w:bCs w:val="0"/>
                <w:color w:val="auto"/>
                <w:sz w:val="24"/>
                <w:szCs w:val="24"/>
                <w:lang w:val="en-US" w:eastAsia="zh-CN"/>
              </w:rPr>
              <w:t>（提供实物照片）</w:t>
            </w:r>
          </w:p>
          <w:p w14:paraId="3951D2AE">
            <w:pPr>
              <w:keepNext w:val="0"/>
              <w:keepLines w:val="0"/>
              <w:widowControl/>
              <w:numPr>
                <w:ilvl w:val="0"/>
                <w:numId w:val="23"/>
              </w:numPr>
              <w:suppressLineNumbers w:val="0"/>
              <w:spacing w:line="360" w:lineRule="auto"/>
              <w:ind w:left="420" w:leftChars="0" w:hanging="420" w:firstLineChars="0"/>
              <w:jc w:val="left"/>
              <w:rPr>
                <w:rFonts w:hint="eastAsia" w:ascii="宋体" w:hAnsi="宋体" w:eastAsia="宋体" w:cs="宋体"/>
                <w:color w:val="auto"/>
                <w:sz w:val="24"/>
                <w:szCs w:val="24"/>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设备</w:t>
            </w:r>
            <w:r>
              <w:rPr>
                <w:rFonts w:hint="eastAsia" w:ascii="宋体" w:hAnsi="宋体" w:eastAsia="宋体" w:cs="宋体"/>
                <w:color w:val="auto"/>
                <w:sz w:val="24"/>
                <w:szCs w:val="24"/>
                <w:lang w:val="en-US" w:eastAsia="zh-CN"/>
              </w:rPr>
              <w:t>使用年限≥10年（提供说明书或检测报告等文件佐证）</w:t>
            </w:r>
          </w:p>
        </w:tc>
      </w:tr>
      <w:tr w14:paraId="2F14BD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98" w:type="dxa"/>
            <w:vAlign w:val="center"/>
          </w:tcPr>
          <w:p w14:paraId="60D400E8">
            <w:pPr>
              <w:pStyle w:val="25"/>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1740" w:type="dxa"/>
            <w:vAlign w:val="center"/>
          </w:tcPr>
          <w:p w14:paraId="2E80FD22">
            <w:pPr>
              <w:keepNext w:val="0"/>
              <w:keepLines w:val="0"/>
              <w:widowControl/>
              <w:numPr>
                <w:ilvl w:val="0"/>
                <w:numId w:val="0"/>
              </w:numPr>
              <w:suppressLineNumbers w:val="0"/>
              <w:spacing w:line="360" w:lineRule="auto"/>
              <w:ind w:leftChars="0"/>
              <w:jc w:val="center"/>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电动智能转运床</w:t>
            </w:r>
          </w:p>
        </w:tc>
        <w:tc>
          <w:tcPr>
            <w:tcW w:w="6840" w:type="dxa"/>
          </w:tcPr>
          <w:p w14:paraId="5247887B">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框架采用优质30*60钢管</w:t>
            </w:r>
            <w:r>
              <w:rPr>
                <w:rFonts w:hint="eastAsia" w:ascii="宋体" w:hAnsi="宋体" w:cs="宋体"/>
                <w:color w:val="auto"/>
                <w:kern w:val="0"/>
                <w:sz w:val="24"/>
                <w:szCs w:val="24"/>
                <w:lang w:val="en-US" w:eastAsia="zh-CN"/>
              </w:rPr>
              <w:t>，厚度≥1.5mm</w:t>
            </w:r>
            <w:r>
              <w:rPr>
                <w:rFonts w:hint="eastAsia" w:ascii="宋体" w:hAnsi="宋体" w:eastAsia="宋体" w:cs="宋体"/>
                <w:color w:val="auto"/>
                <w:kern w:val="0"/>
                <w:sz w:val="24"/>
                <w:szCs w:val="24"/>
                <w:lang w:val="en-US" w:eastAsia="zh-CN"/>
              </w:rPr>
              <w:t>，车面及护栏采用PP工程塑料注塑成型，三角形支架采用</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2.5mm厚冷轧钢板一次性冲压成型。</w:t>
            </w:r>
          </w:p>
          <w:p w14:paraId="02A890A5">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背部气弹簧快速调节</w:t>
            </w:r>
          </w:p>
          <w:p w14:paraId="67A6E7E2">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整体升降功能，静音电机推杆。</w:t>
            </w:r>
          </w:p>
          <w:p w14:paraId="7641F047">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电源采用220V交流电源，带有交直流变压器，经变压后电机24V安全直流动力，具有较强承重能力，升降平稳静音，可选控制手柄操控或者床面板内嵌式按钮操控，操作方便，并配备折叠摇手柄，在电动部分停止工作时可手摇式操作。</w:t>
            </w:r>
          </w:p>
          <w:p w14:paraId="75B36B5B">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双片中控三档静音轮，刹车、万向、导向三档操控。</w:t>
            </w:r>
          </w:p>
          <w:p w14:paraId="12DF04D7">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隐藏式安全护栏，加长腿部护栏，气弹簧辅助自动下降。</w:t>
            </w:r>
          </w:p>
          <w:p w14:paraId="3CD25270">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设备搭载医用级电动平移功能，支持床面水平精准电动平移，可与手术台、检查床精准对接，实现患者零搬动转运。</w:t>
            </w:r>
          </w:p>
          <w:p w14:paraId="624F9C29">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最大安全承重≥250kg</w:t>
            </w:r>
            <w:r>
              <w:rPr>
                <w:rFonts w:hint="eastAsia" w:ascii="宋体" w:hAnsi="宋体" w:cs="宋体"/>
                <w:color w:val="auto"/>
                <w:kern w:val="0"/>
                <w:sz w:val="24"/>
                <w:szCs w:val="24"/>
                <w:lang w:val="en-US" w:eastAsia="zh-CN"/>
              </w:rPr>
              <w:t>。</w:t>
            </w:r>
          </w:p>
          <w:p w14:paraId="6228CB25">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内置蓄电池，无外接电源条件下可完成升降操作</w:t>
            </w:r>
            <w:r>
              <w:rPr>
                <w:rFonts w:hint="eastAsia" w:ascii="宋体" w:hAnsi="宋体" w:cs="宋体"/>
                <w:color w:val="auto"/>
                <w:kern w:val="0"/>
                <w:sz w:val="24"/>
                <w:szCs w:val="24"/>
                <w:lang w:val="en-US" w:eastAsia="zh-CN"/>
              </w:rPr>
              <w:t>。</w:t>
            </w:r>
          </w:p>
          <w:p w14:paraId="2677EE91">
            <w:pPr>
              <w:keepNext w:val="0"/>
              <w:keepLines w:val="0"/>
              <w:widowControl/>
              <w:numPr>
                <w:ilvl w:val="0"/>
                <w:numId w:val="24"/>
              </w:numPr>
              <w:suppressLineNumbers w:val="0"/>
              <w:spacing w:line="360" w:lineRule="auto"/>
              <w:ind w:left="420" w:leftChars="0" w:hanging="420" w:firstLineChars="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配置：监护仪支架、氧气瓶固定装置</w:t>
            </w:r>
            <w:r>
              <w:rPr>
                <w:rFonts w:hint="eastAsia" w:ascii="宋体" w:hAnsi="宋体" w:cs="宋体"/>
                <w:color w:val="auto"/>
                <w:kern w:val="0"/>
                <w:sz w:val="24"/>
                <w:szCs w:val="24"/>
                <w:lang w:val="en-US" w:eastAsia="zh-CN"/>
              </w:rPr>
              <w:t>、</w:t>
            </w:r>
            <w:r>
              <w:rPr>
                <w:rFonts w:hint="eastAsia" w:ascii="宋体" w:hAnsi="宋体" w:eastAsia="宋体" w:cs="宋体"/>
                <w:color w:val="auto"/>
                <w:kern w:val="0"/>
                <w:sz w:val="24"/>
                <w:szCs w:val="24"/>
                <w:lang w:val="en-US" w:eastAsia="zh-CN"/>
              </w:rPr>
              <w:t>电源线、转移床垫</w:t>
            </w:r>
            <w:r>
              <w:rPr>
                <w:rFonts w:hint="eastAsia" w:ascii="宋体" w:hAnsi="宋体" w:cs="宋体"/>
                <w:color w:val="auto"/>
                <w:kern w:val="0"/>
                <w:sz w:val="24"/>
                <w:szCs w:val="24"/>
                <w:lang w:val="en-US" w:eastAsia="zh-CN"/>
              </w:rPr>
              <w:t>、PP护栏、钢制车架、电动升降，不锈钢输液架、中控静音脚轮。</w:t>
            </w:r>
          </w:p>
        </w:tc>
      </w:tr>
    </w:tbl>
    <w:p w14:paraId="7CC84EE8">
      <w:pPr>
        <w:widowControl w:val="0"/>
        <w:numPr>
          <w:ilvl w:val="0"/>
          <w:numId w:val="0"/>
        </w:numPr>
        <w:jc w:val="both"/>
        <w:rPr>
          <w:rFonts w:hint="eastAsia" w:ascii="宋体" w:hAnsi="宋体" w:eastAsia="宋体" w:cs="宋体"/>
          <w:color w:val="auto"/>
          <w:lang w:val="en-US" w:eastAsia="zh-CN"/>
        </w:rPr>
      </w:pPr>
    </w:p>
    <w:p w14:paraId="4514C40A">
      <w:pPr>
        <w:pageBreakBefore w:val="0"/>
        <w:widowControl w:val="0"/>
        <w:kinsoku/>
        <w:wordWrap/>
        <w:overflowPunct/>
        <w:topLinePunct w:val="0"/>
        <w:autoSpaceDE/>
        <w:autoSpaceDN/>
        <w:bidi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四、商务要求</w:t>
      </w:r>
    </w:p>
    <w:p w14:paraId="06F2A9E8">
      <w:pPr>
        <w:pStyle w:val="8"/>
        <w:spacing w:before="91" w:line="360" w:lineRule="auto"/>
        <w:ind w:left="5" w:firstLine="240" w:firstLineChars="1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（一）、交货期及地点：</w:t>
      </w:r>
    </w:p>
    <w:p w14:paraId="1A4C5E54">
      <w:pPr>
        <w:pStyle w:val="8"/>
        <w:spacing w:before="128" w:line="360" w:lineRule="auto"/>
        <w:ind w:left="581"/>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bidi="ar-SA"/>
        </w:rPr>
        <w:t xml:space="preserve"> 交货期：合同签订后30个日历日内完成全部货物的配送、安装调试工作。</w:t>
      </w:r>
    </w:p>
    <w:p w14:paraId="39D74937">
      <w:pPr>
        <w:pStyle w:val="8"/>
        <w:spacing w:before="126" w:line="360" w:lineRule="auto"/>
        <w:ind w:left="563"/>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2.</w:t>
      </w:r>
      <w:r>
        <w:rPr>
          <w:rFonts w:hint="eastAsia" w:ascii="宋体" w:hAnsi="宋体" w:eastAsia="宋体" w:cs="宋体"/>
          <w:color w:val="auto"/>
          <w:kern w:val="0"/>
          <w:sz w:val="24"/>
          <w:szCs w:val="24"/>
          <w:lang w:val="en-US" w:eastAsia="zh-CN" w:bidi="ar-SA"/>
        </w:rPr>
        <w:t xml:space="preserve"> 交货地点：白河县人民医院指定地点</w:t>
      </w:r>
    </w:p>
    <w:p w14:paraId="3F863600">
      <w:pPr>
        <w:pStyle w:val="8"/>
        <w:spacing w:before="128" w:line="360" w:lineRule="auto"/>
        <w:ind w:left="5" w:firstLine="240" w:firstLineChars="100"/>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（二）、包装、运输、安装、调试及培训要求：</w:t>
      </w:r>
    </w:p>
    <w:p w14:paraId="681BE8E9">
      <w:pPr>
        <w:pStyle w:val="8"/>
        <w:spacing w:before="128" w:line="360" w:lineRule="auto"/>
        <w:ind w:right="98" w:firstLine="581"/>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bidi="ar-SA"/>
        </w:rPr>
        <w:t>包装：1</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按出厂原包装</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2</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卖方在设备发运手续办理完毕后24小时内或货到买方48小时前通知买方，以准备接设备</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3</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设备在交付买方前发生的风险均由卖方负责。应采取防潮、防晒、防腐蚀、防震动及防止</w:t>
      </w:r>
      <w:r>
        <w:rPr>
          <w:rFonts w:hint="eastAsia" w:cs="宋体"/>
          <w:color w:val="auto"/>
          <w:kern w:val="0"/>
          <w:sz w:val="24"/>
          <w:szCs w:val="24"/>
          <w:lang w:val="en-US" w:eastAsia="zh-CN" w:bidi="ar-SA"/>
        </w:rPr>
        <w:t>其他损坏</w:t>
      </w:r>
      <w:r>
        <w:rPr>
          <w:rFonts w:hint="eastAsia" w:ascii="宋体" w:hAnsi="宋体" w:eastAsia="宋体" w:cs="宋体"/>
          <w:color w:val="auto"/>
          <w:kern w:val="0"/>
          <w:sz w:val="24"/>
          <w:szCs w:val="24"/>
          <w:lang w:val="en-US" w:eastAsia="zh-CN" w:bidi="ar-SA"/>
        </w:rPr>
        <w:t>的必要措施。中标人应承担由于其包装或防护措施不妥而引起的货物锈蚀、损坏和丢失等任何损失造成的责任或费用。</w:t>
      </w:r>
    </w:p>
    <w:p w14:paraId="78A98477">
      <w:pPr>
        <w:pStyle w:val="8"/>
        <w:spacing w:before="129" w:line="360" w:lineRule="auto"/>
        <w:ind w:right="100" w:firstLine="702"/>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2.</w:t>
      </w:r>
      <w:r>
        <w:rPr>
          <w:rFonts w:hint="eastAsia" w:ascii="宋体" w:hAnsi="宋体" w:eastAsia="宋体" w:cs="宋体"/>
          <w:color w:val="auto"/>
          <w:kern w:val="0"/>
          <w:sz w:val="24"/>
          <w:szCs w:val="24"/>
          <w:lang w:val="en-US" w:eastAsia="zh-CN" w:bidi="ar-SA"/>
        </w:rPr>
        <w:t>运输：选择运输风险小、运费低、距离短的运输路线。运杂费一次包死在总价内，包括生产厂到现场所需的装卸、运输（含保险费）、现场保管费、二次倒运费、吊装费等费用。</w:t>
      </w:r>
    </w:p>
    <w:p w14:paraId="1A6D4F42">
      <w:pPr>
        <w:pStyle w:val="8"/>
        <w:spacing w:before="129" w:line="360" w:lineRule="auto"/>
        <w:ind w:left="1" w:right="21" w:firstLine="704"/>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3.</w:t>
      </w:r>
      <w:r>
        <w:rPr>
          <w:rFonts w:hint="eastAsia" w:ascii="宋体" w:hAnsi="宋体" w:eastAsia="宋体" w:cs="宋体"/>
          <w:color w:val="auto"/>
          <w:kern w:val="0"/>
          <w:sz w:val="24"/>
          <w:szCs w:val="24"/>
          <w:lang w:val="en-US" w:eastAsia="zh-CN" w:bidi="ar-SA"/>
        </w:rPr>
        <w:t>安装、调试及培训：中标人负责所有设备的安装、调试、培训工作，所有费用一次包死在总价内。每套设备安装调试完毕后，中标人必须安排技术人员对使用单位的设备管理人员及操作人员进行操作应用及维护保养方面的技能培训，使其掌握基本技能，保证熟练操作。</w:t>
      </w:r>
    </w:p>
    <w:p w14:paraId="0F56B89B">
      <w:pPr>
        <w:pStyle w:val="8"/>
        <w:spacing w:before="126" w:line="360" w:lineRule="auto"/>
        <w:ind w:left="1"/>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（三）</w:t>
      </w:r>
      <w:r>
        <w:rPr>
          <w:rFonts w:hint="eastAsia" w:ascii="宋体" w:hAnsi="宋体" w:eastAsia="宋体" w:cs="宋体"/>
          <w:color w:val="auto"/>
          <w:kern w:val="0"/>
          <w:sz w:val="24"/>
          <w:szCs w:val="24"/>
          <w:lang w:val="en-US" w:eastAsia="zh-CN" w:bidi="ar-SA"/>
        </w:rPr>
        <w:t>、付款方式：合同签订后支付合同总金额的30%，设备安装调试培训验收合格后支付合同总金额的60%，剩余的10%使用满-年后一次性无息支付。</w:t>
      </w:r>
    </w:p>
    <w:p w14:paraId="37EDF40E">
      <w:pPr>
        <w:pStyle w:val="8"/>
        <w:spacing w:before="131" w:line="360" w:lineRule="auto"/>
        <w:ind w:left="27"/>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w:t>
      </w:r>
      <w:r>
        <w:rPr>
          <w:rFonts w:hint="eastAsia" w:cs="宋体"/>
          <w:color w:val="auto"/>
          <w:kern w:val="0"/>
          <w:sz w:val="24"/>
          <w:szCs w:val="24"/>
          <w:lang w:val="en-US" w:eastAsia="zh-CN" w:bidi="ar-SA"/>
        </w:rPr>
        <w:t>四</w:t>
      </w:r>
      <w:r>
        <w:rPr>
          <w:rFonts w:hint="eastAsia" w:ascii="宋体" w:hAnsi="宋体" w:eastAsia="宋体" w:cs="宋体"/>
          <w:color w:val="auto"/>
          <w:kern w:val="0"/>
          <w:sz w:val="24"/>
          <w:szCs w:val="24"/>
          <w:lang w:val="en-US" w:eastAsia="zh-CN" w:bidi="ar-SA"/>
        </w:rPr>
        <w:t>）、验收</w:t>
      </w:r>
      <w:r>
        <w:rPr>
          <w:rFonts w:hint="eastAsia" w:cs="宋体"/>
          <w:color w:val="auto"/>
          <w:kern w:val="0"/>
          <w:sz w:val="24"/>
          <w:szCs w:val="24"/>
          <w:lang w:val="en-US" w:eastAsia="zh-CN" w:bidi="ar-SA"/>
        </w:rPr>
        <w:t>：</w:t>
      </w:r>
    </w:p>
    <w:p w14:paraId="3B8EF520">
      <w:pPr>
        <w:pStyle w:val="8"/>
        <w:spacing w:before="125" w:line="360" w:lineRule="auto"/>
        <w:ind w:left="571"/>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bidi="ar-SA"/>
        </w:rPr>
        <w:t>项目验收</w:t>
      </w:r>
    </w:p>
    <w:p w14:paraId="5772895F">
      <w:pPr>
        <w:pStyle w:val="8"/>
        <w:spacing w:before="125" w:line="360" w:lineRule="auto"/>
        <w:ind w:right="100" w:firstLine="559"/>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初验：货物到达交货地点后，由使用单位根据合同对货物（设备）的名称、品牌、规格、型号、产地、数量进行检查，所有货物</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设备</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安装、调试完毕，可以正常使用；由采购方进行终验（最终验收），合格后签发《终验合格单》。</w:t>
      </w:r>
    </w:p>
    <w:p w14:paraId="7F2C104C">
      <w:pPr>
        <w:pStyle w:val="8"/>
        <w:spacing w:before="42" w:line="360" w:lineRule="auto"/>
        <w:ind w:left="2" w:firstLine="561"/>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2.</w:t>
      </w:r>
      <w:r>
        <w:rPr>
          <w:rFonts w:hint="eastAsia" w:ascii="宋体" w:hAnsi="宋体" w:eastAsia="宋体" w:cs="宋体"/>
          <w:color w:val="auto"/>
          <w:kern w:val="0"/>
          <w:sz w:val="24"/>
          <w:szCs w:val="24"/>
          <w:lang w:val="en-US" w:eastAsia="zh-CN" w:bidi="ar-SA"/>
        </w:rPr>
        <w:t>验收不合格的中标单位，必须在接到通知后7个日历日内确保货物通过验收。如接到通知后7个日历日内验收仍不合格，采购方可提出索赔或取消其供货合同。</w:t>
      </w:r>
    </w:p>
    <w:p w14:paraId="10DDDE83">
      <w:pPr>
        <w:pStyle w:val="8"/>
        <w:spacing w:before="128" w:line="360" w:lineRule="auto"/>
        <w:ind w:left="556"/>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3.</w:t>
      </w:r>
      <w:r>
        <w:rPr>
          <w:rFonts w:hint="eastAsia" w:ascii="宋体" w:hAnsi="宋体" w:eastAsia="宋体" w:cs="宋体"/>
          <w:color w:val="auto"/>
          <w:kern w:val="0"/>
          <w:sz w:val="24"/>
          <w:szCs w:val="24"/>
          <w:lang w:val="en-US" w:eastAsia="zh-CN" w:bidi="ar-SA"/>
        </w:rPr>
        <w:t>验收依据</w:t>
      </w:r>
    </w:p>
    <w:p w14:paraId="1B08678F">
      <w:pPr>
        <w:pStyle w:val="8"/>
        <w:spacing w:before="114" w:line="360" w:lineRule="auto"/>
        <w:ind w:left="558"/>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（1）合同文本及合同补充文件（条款）；</w:t>
      </w:r>
    </w:p>
    <w:p w14:paraId="4951AABF">
      <w:pPr>
        <w:pStyle w:val="8"/>
        <w:spacing w:before="128" w:line="360" w:lineRule="auto"/>
        <w:ind w:left="558"/>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（2）产品的合法来源渠道证明文件、响应功能证明材料；</w:t>
      </w:r>
    </w:p>
    <w:p w14:paraId="5CA1E07E">
      <w:pPr>
        <w:pStyle w:val="8"/>
        <w:spacing w:before="125" w:line="360" w:lineRule="auto"/>
        <w:ind w:left="558"/>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（3）招标文件；</w:t>
      </w:r>
    </w:p>
    <w:p w14:paraId="78545917">
      <w:pPr>
        <w:pStyle w:val="8"/>
        <w:spacing w:before="127" w:line="360" w:lineRule="auto"/>
        <w:ind w:left="558"/>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（4）中标人的投标文件；</w:t>
      </w:r>
    </w:p>
    <w:p w14:paraId="1BEAF461">
      <w:pPr>
        <w:pStyle w:val="8"/>
        <w:spacing w:before="127" w:line="360" w:lineRule="auto"/>
        <w:ind w:left="558"/>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（5）货物清单；</w:t>
      </w:r>
    </w:p>
    <w:p w14:paraId="35B8F6CB">
      <w:pPr>
        <w:pStyle w:val="8"/>
        <w:spacing w:before="126" w:line="360" w:lineRule="auto"/>
        <w:ind w:left="558"/>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（6）生产厂家的企业资质、货物的执行标准。</w:t>
      </w:r>
    </w:p>
    <w:p w14:paraId="1F0E05E4">
      <w:pPr>
        <w:pStyle w:val="8"/>
        <w:spacing w:before="128" w:line="360" w:lineRule="auto"/>
        <w:ind w:left="549"/>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4.</w:t>
      </w:r>
      <w:r>
        <w:rPr>
          <w:rFonts w:hint="eastAsia" w:ascii="宋体" w:hAnsi="宋体" w:eastAsia="宋体" w:cs="宋体"/>
          <w:color w:val="auto"/>
          <w:kern w:val="0"/>
          <w:sz w:val="24"/>
          <w:szCs w:val="24"/>
          <w:lang w:val="en-US" w:eastAsia="zh-CN" w:bidi="ar-SA"/>
        </w:rPr>
        <w:t>验收所产生的费用由中标单位支付。</w:t>
      </w:r>
    </w:p>
    <w:p w14:paraId="5B0738DA">
      <w:pPr>
        <w:pStyle w:val="8"/>
        <w:spacing w:before="42" w:line="360" w:lineRule="auto"/>
        <w:ind w:left="2" w:firstLine="561"/>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5.</w:t>
      </w:r>
      <w:r>
        <w:rPr>
          <w:rFonts w:hint="eastAsia" w:ascii="宋体" w:hAnsi="宋体" w:eastAsia="宋体" w:cs="宋体"/>
          <w:color w:val="auto"/>
          <w:kern w:val="0"/>
          <w:sz w:val="24"/>
          <w:szCs w:val="24"/>
          <w:lang w:val="en-US" w:eastAsia="zh-CN" w:bidi="ar-SA"/>
        </w:rPr>
        <w:t>性能验收结果作为付款依据。在安装设备后2个月，乙方提交验收申请，并向甲方提交实施过程中的所有资料，由使用科室提交确认申请并实施确认，经审核后出具确认报告作为性能验收依据。验收合格后，支付货款。若存在质量问题，应按相应规定协商处理。</w:t>
      </w:r>
    </w:p>
    <w:p w14:paraId="0DAA94C3">
      <w:pPr>
        <w:pStyle w:val="8"/>
        <w:spacing w:before="128" w:line="360" w:lineRule="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（五）、质量保证</w:t>
      </w:r>
    </w:p>
    <w:p w14:paraId="1FD60E63">
      <w:pPr>
        <w:pStyle w:val="8"/>
        <w:spacing w:before="129" w:line="360" w:lineRule="auto"/>
        <w:ind w:left="3" w:firstLine="480" w:firstLineChars="200"/>
        <w:rPr>
          <w:rFonts w:hint="eastAsia" w:ascii="宋体" w:hAnsi="宋体" w:eastAsia="宋体" w:cs="宋体"/>
          <w:color w:val="auto"/>
          <w:kern w:val="0"/>
          <w:sz w:val="24"/>
          <w:szCs w:val="24"/>
          <w:lang w:val="en-US" w:eastAsia="zh-CN" w:bidi="ar-SA"/>
        </w:rPr>
      </w:pPr>
      <w:r>
        <w:rPr>
          <w:rFonts w:hint="eastAsia" w:cs="宋体"/>
          <w:color w:val="auto"/>
          <w:kern w:val="0"/>
          <w:sz w:val="24"/>
          <w:szCs w:val="24"/>
          <w:lang w:val="en-US" w:eastAsia="zh-CN" w:bidi="ar-SA"/>
        </w:rPr>
        <w:t>1）</w:t>
      </w:r>
      <w:r>
        <w:rPr>
          <w:rFonts w:hint="eastAsia" w:ascii="宋体" w:hAnsi="宋体" w:eastAsia="宋体" w:cs="宋体"/>
          <w:color w:val="auto"/>
          <w:kern w:val="0"/>
          <w:sz w:val="24"/>
          <w:szCs w:val="24"/>
          <w:lang w:val="en-US" w:eastAsia="zh-CN" w:bidi="ar-SA"/>
        </w:rPr>
        <w:t>质保期</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≥3年，质保期自设备验收、投入临床使用之日算起；2</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质保期内卖方负责免费</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包括配件</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为买方维修本合同所提供的产品和履行承诺的条款；3</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质保期内卖方接到买方维修通知后应在24小时内 到达买方现场进行维修，否则卖方按买方此设备日平均收入赔偿经济损失；4</w:t>
      </w:r>
      <w:r>
        <w:rPr>
          <w:rFonts w:hint="eastAsia" w:cs="宋体"/>
          <w:color w:val="auto"/>
          <w:kern w:val="0"/>
          <w:sz w:val="24"/>
          <w:szCs w:val="24"/>
          <w:lang w:val="en-US" w:eastAsia="zh-CN" w:bidi="ar-SA"/>
        </w:rPr>
        <w:t>）</w:t>
      </w:r>
      <w:r>
        <w:rPr>
          <w:rFonts w:hint="eastAsia" w:ascii="宋体" w:hAnsi="宋体" w:eastAsia="宋体" w:cs="宋体"/>
          <w:color w:val="auto"/>
          <w:kern w:val="0"/>
          <w:sz w:val="24"/>
          <w:szCs w:val="24"/>
          <w:lang w:val="en-US" w:eastAsia="zh-CN" w:bidi="ar-SA"/>
        </w:rPr>
        <w:t>卖方有义务为本合同所提供的产品进行终身维护和免费升级。</w:t>
      </w:r>
    </w:p>
    <w:p w14:paraId="6C72CC31">
      <w:pPr>
        <w:spacing w:line="360" w:lineRule="auto"/>
        <w:rPr>
          <w:rFonts w:hint="eastAsia" w:ascii="宋体" w:hAnsi="宋体" w:eastAsia="宋体" w:cs="宋体"/>
          <w:b/>
          <w:color w:val="auto"/>
          <w:sz w:val="36"/>
          <w:szCs w:val="20"/>
          <w:highlight w:val="none"/>
          <w:lang w:val="en-US" w:eastAsia="zh-CN"/>
        </w:rPr>
      </w:pPr>
      <w:r>
        <w:rPr>
          <w:rFonts w:hint="eastAsia" w:ascii="宋体" w:hAnsi="宋体" w:eastAsia="宋体" w:cs="宋体"/>
          <w:color w:val="auto"/>
          <w:kern w:val="0"/>
          <w:sz w:val="24"/>
          <w:szCs w:val="24"/>
          <w:lang w:val="en-US" w:eastAsia="zh-CN" w:bidi="ar-SA"/>
        </w:rPr>
        <w:t>（六）、其他：乙方应在使用操作和维修技术方面及临床应用向甲方提供培训，直至正确使用、熟练操作。</w:t>
      </w:r>
      <w:r>
        <w:rPr>
          <w:rFonts w:hint="eastAsia" w:ascii="宋体" w:hAnsi="宋体" w:eastAsia="宋体" w:cs="宋体"/>
          <w:b/>
          <w:color w:val="auto"/>
          <w:sz w:val="36"/>
          <w:szCs w:val="20"/>
          <w:highlight w:val="none"/>
          <w:lang w:val="en-US" w:eastAsia="zh-CN"/>
        </w:rPr>
        <w:br w:type="page"/>
      </w:r>
    </w:p>
    <w:p w14:paraId="7E36D80D">
      <w:pPr>
        <w:pStyle w:val="2"/>
        <w:keepNext/>
        <w:keepLines/>
        <w:pageBreakBefore w:val="0"/>
        <w:widowControl w:val="0"/>
        <w:numPr>
          <w:ilvl w:val="0"/>
          <w:numId w:val="0"/>
        </w:numPr>
        <w:kinsoku/>
        <w:wordWrap/>
        <w:overflowPunct/>
        <w:topLinePunct w:val="0"/>
        <w:autoSpaceDE/>
        <w:autoSpaceDN/>
        <w:bidi w:val="0"/>
        <w:adjustRightInd/>
        <w:snapToGrid w:val="0"/>
        <w:spacing w:before="0" w:beforeLines="100" w:after="0" w:afterLines="100" w:line="500" w:lineRule="exact"/>
        <w:ind w:firstLine="0" w:firstLineChars="0"/>
        <w:jc w:val="center"/>
        <w:textAlignment w:val="auto"/>
        <w:rPr>
          <w:rFonts w:hint="eastAsia" w:ascii="宋体" w:hAnsi="宋体" w:eastAsia="宋体" w:cs="宋体"/>
          <w:color w:val="auto"/>
          <w:highlight w:val="none"/>
        </w:rPr>
      </w:pPr>
      <w:r>
        <w:rPr>
          <w:rFonts w:hint="eastAsia" w:ascii="宋体" w:hAnsi="宋体" w:eastAsia="宋体" w:cs="宋体"/>
          <w:b/>
          <w:color w:val="auto"/>
          <w:sz w:val="36"/>
          <w:szCs w:val="20"/>
          <w:highlight w:val="none"/>
          <w:lang w:val="en-US" w:eastAsia="zh-CN"/>
        </w:rPr>
        <w:t xml:space="preserve">第五部分 </w:t>
      </w:r>
      <w:r>
        <w:rPr>
          <w:rFonts w:hint="eastAsia" w:ascii="宋体" w:hAnsi="宋体" w:eastAsia="宋体" w:cs="宋体"/>
          <w:b/>
          <w:color w:val="auto"/>
          <w:sz w:val="36"/>
          <w:szCs w:val="20"/>
          <w:highlight w:val="none"/>
        </w:rPr>
        <w:t>合同主要条款</w:t>
      </w:r>
    </w:p>
    <w:p w14:paraId="129D50FF">
      <w:pPr>
        <w:pStyle w:val="8"/>
        <w:keepNext w:val="0"/>
        <w:keepLines w:val="0"/>
        <w:pageBreakBefore w:val="0"/>
        <w:widowControl w:val="0"/>
        <w:kinsoku/>
        <w:wordWrap w:val="0"/>
        <w:overflowPunct/>
        <w:topLinePunct w:val="0"/>
        <w:autoSpaceDE/>
        <w:autoSpaceDN/>
        <w:bidi w:val="0"/>
        <w:adjustRightInd/>
        <w:snapToGrid w:val="0"/>
        <w:spacing w:line="500" w:lineRule="exact"/>
        <w:ind w:left="0" w:firstLine="393"/>
        <w:textAlignment w:val="auto"/>
        <w:rPr>
          <w:rFonts w:hint="eastAsia" w:ascii="宋体" w:hAnsi="宋体" w:eastAsia="宋体" w:cs="宋体"/>
          <w:b/>
          <w:bCs/>
          <w:color w:val="auto"/>
          <w:spacing w:val="0"/>
          <w:position w:val="0"/>
          <w:sz w:val="28"/>
          <w:szCs w:val="28"/>
          <w:highlight w:val="none"/>
        </w:rPr>
      </w:pPr>
      <w:r>
        <w:rPr>
          <w:rFonts w:hint="eastAsia" w:ascii="宋体" w:hAnsi="宋体" w:eastAsia="宋体" w:cs="宋体"/>
          <w:b/>
          <w:bCs/>
          <w:color w:val="auto"/>
          <w:spacing w:val="0"/>
          <w:position w:val="0"/>
          <w:sz w:val="28"/>
          <w:szCs w:val="28"/>
          <w:highlight w:val="none"/>
        </w:rPr>
        <w:t>（说明：本合同作为合同的基本格式，甲方有权在签订合同时对合同的相关条款及内容作进一步的细化和修改。）</w:t>
      </w:r>
    </w:p>
    <w:p w14:paraId="16B01D7F">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sz w:val="24"/>
          <w:szCs w:val="24"/>
        </w:rPr>
      </w:pPr>
    </w:p>
    <w:p w14:paraId="7CD8E80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val="0"/>
          <w:bCs w:val="0"/>
          <w:color w:val="auto"/>
          <w:sz w:val="24"/>
          <w:szCs w:val="24"/>
        </w:rPr>
      </w:pPr>
      <w:r>
        <w:rPr>
          <w:rFonts w:hint="eastAsia" w:ascii="宋体" w:hAnsi="宋体" w:eastAsia="宋体" w:cs="宋体"/>
          <w:b/>
          <w:bCs/>
          <w:color w:val="auto"/>
          <w:sz w:val="24"/>
          <w:szCs w:val="24"/>
        </w:rPr>
        <w:t>甲方：</w:t>
      </w:r>
      <w:r>
        <w:rPr>
          <w:rFonts w:hint="eastAsia" w:ascii="宋体" w:hAnsi="宋体" w:eastAsia="宋体" w:cs="宋体"/>
          <w:b w:val="0"/>
          <w:bCs w:val="0"/>
          <w:color w:val="auto"/>
          <w:sz w:val="24"/>
          <w:szCs w:val="24"/>
        </w:rPr>
        <w:t>白河县人民医院</w:t>
      </w:r>
    </w:p>
    <w:p w14:paraId="59F63652">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统一社会信用代码：</w:t>
      </w:r>
    </w:p>
    <w:p w14:paraId="0B0D020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w:t>
      </w:r>
    </w:p>
    <w:p w14:paraId="64A8E808">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联系方式： </w:t>
      </w:r>
    </w:p>
    <w:p w14:paraId="146439B3">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法定代表人/负责人：</w:t>
      </w:r>
    </w:p>
    <w:p w14:paraId="00C099D9">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p>
    <w:p w14:paraId="648ACCAA">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i w:val="0"/>
          <w:iCs w:val="0"/>
          <w:color w:val="auto"/>
          <w:sz w:val="24"/>
          <w:szCs w:val="24"/>
        </w:rPr>
      </w:pPr>
      <w:r>
        <w:rPr>
          <w:rFonts w:hint="eastAsia" w:ascii="宋体" w:hAnsi="宋体" w:eastAsia="宋体" w:cs="宋体"/>
          <w:b/>
          <w:bCs/>
          <w:i w:val="0"/>
          <w:iCs w:val="0"/>
          <w:color w:val="auto"/>
          <w:sz w:val="24"/>
          <w:szCs w:val="24"/>
        </w:rPr>
        <w:t>乙方：</w:t>
      </w:r>
    </w:p>
    <w:p w14:paraId="4FC3E0A6">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统一社会信用代码：</w:t>
      </w:r>
    </w:p>
    <w:p w14:paraId="0C4109DE">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地址：</w:t>
      </w:r>
    </w:p>
    <w:p w14:paraId="4AFAEAFD">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联系方式：</w:t>
      </w:r>
    </w:p>
    <w:p w14:paraId="7414A6CC">
      <w:pPr>
        <w:keepNext w:val="0"/>
        <w:keepLines w:val="0"/>
        <w:pageBreakBefore w:val="0"/>
        <w:widowControl w:val="0"/>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法定代表人/负责人：</w:t>
      </w:r>
    </w:p>
    <w:p w14:paraId="610C5245">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p>
    <w:p w14:paraId="05D5596D">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甲、乙双方</w:t>
      </w:r>
      <w:r>
        <w:rPr>
          <w:rFonts w:hint="eastAsia" w:ascii="宋体" w:hAnsi="宋体" w:eastAsia="宋体" w:cs="宋体"/>
          <w:color w:val="auto"/>
          <w:sz w:val="24"/>
          <w:szCs w:val="24"/>
        </w:rPr>
        <w:t>依照《中华人民共和国民法典》及有关</w:t>
      </w:r>
      <w:r>
        <w:rPr>
          <w:rFonts w:hint="eastAsia" w:ascii="宋体" w:hAnsi="宋体" w:cs="宋体"/>
          <w:color w:val="auto"/>
          <w:sz w:val="24"/>
          <w:szCs w:val="24"/>
          <w:lang w:eastAsia="zh-CN"/>
        </w:rPr>
        <w:t>法律法规</w:t>
      </w:r>
      <w:r>
        <w:rPr>
          <w:rFonts w:hint="eastAsia" w:ascii="宋体" w:hAnsi="宋体" w:eastAsia="宋体" w:cs="宋体"/>
          <w:color w:val="auto"/>
          <w:sz w:val="24"/>
          <w:szCs w:val="24"/>
        </w:rPr>
        <w:t>，遵循平等自愿、公平诚信的原则，经</w:t>
      </w:r>
      <w:r>
        <w:rPr>
          <w:rFonts w:hint="eastAsia" w:ascii="宋体" w:hAnsi="宋体" w:eastAsia="宋体" w:cs="宋体"/>
          <w:color w:val="auto"/>
          <w:sz w:val="24"/>
          <w:szCs w:val="24"/>
          <w:lang w:val="en-US" w:eastAsia="zh-CN"/>
        </w:rPr>
        <w:t>甲、乙</w:t>
      </w:r>
      <w:r>
        <w:rPr>
          <w:rFonts w:hint="eastAsia" w:ascii="宋体" w:hAnsi="宋体" w:eastAsia="宋体" w:cs="宋体"/>
          <w:color w:val="auto"/>
          <w:sz w:val="24"/>
          <w:szCs w:val="24"/>
        </w:rPr>
        <w:t>双方协商一致，</w:t>
      </w:r>
      <w:r>
        <w:rPr>
          <w:rFonts w:hint="eastAsia" w:ascii="宋体" w:hAnsi="宋体" w:eastAsia="宋体" w:cs="宋体"/>
          <w:color w:val="auto"/>
          <w:sz w:val="24"/>
          <w:szCs w:val="24"/>
          <w:lang w:val="en-US" w:eastAsia="zh-CN"/>
        </w:rPr>
        <w:t>就甲方向乙方采购</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的相关事宜</w:t>
      </w:r>
      <w:r>
        <w:rPr>
          <w:rFonts w:hint="eastAsia" w:ascii="宋体" w:hAnsi="宋体" w:eastAsia="宋体" w:cs="宋体"/>
          <w:color w:val="auto"/>
          <w:sz w:val="24"/>
          <w:szCs w:val="24"/>
        </w:rPr>
        <w:t>签订本合同。</w:t>
      </w:r>
    </w:p>
    <w:p w14:paraId="0732CD1A">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rPr>
        <w:t>一、</w:t>
      </w:r>
      <w:r>
        <w:rPr>
          <w:rFonts w:hint="eastAsia" w:ascii="宋体" w:hAnsi="宋体" w:eastAsia="宋体" w:cs="宋体"/>
          <w:b/>
          <w:color w:val="auto"/>
          <w:sz w:val="24"/>
          <w:szCs w:val="24"/>
          <w:lang w:val="en-US" w:eastAsia="zh-CN"/>
        </w:rPr>
        <w:t>采购</w:t>
      </w:r>
      <w:r>
        <w:rPr>
          <w:rFonts w:hint="eastAsia" w:ascii="宋体" w:hAnsi="宋体" w:eastAsia="宋体" w:cs="宋体"/>
          <w:b/>
          <w:color w:val="auto"/>
          <w:sz w:val="24"/>
          <w:szCs w:val="24"/>
        </w:rPr>
        <w:t>设备</w:t>
      </w:r>
      <w:r>
        <w:rPr>
          <w:rFonts w:hint="eastAsia" w:ascii="宋体" w:hAnsi="宋体" w:eastAsia="宋体" w:cs="宋体"/>
          <w:b/>
          <w:color w:val="auto"/>
          <w:sz w:val="24"/>
          <w:szCs w:val="24"/>
          <w:lang w:val="en-US" w:eastAsia="zh-CN"/>
        </w:rPr>
        <w:t>详况：</w:t>
      </w:r>
    </w:p>
    <w:tbl>
      <w:tblPr>
        <w:tblStyle w:val="15"/>
        <w:tblW w:w="890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
        <w:gridCol w:w="2400"/>
        <w:gridCol w:w="3144"/>
        <w:gridCol w:w="720"/>
        <w:gridCol w:w="768"/>
        <w:gridCol w:w="1440"/>
      </w:tblGrid>
      <w:tr w14:paraId="270F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dxa"/>
            <w:noWrap w:val="0"/>
            <w:vAlign w:val="top"/>
          </w:tcPr>
          <w:p w14:paraId="1948EF5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400" w:type="dxa"/>
            <w:noWrap w:val="0"/>
            <w:vAlign w:val="top"/>
          </w:tcPr>
          <w:p w14:paraId="426DBF4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设备</w:t>
            </w:r>
            <w:r>
              <w:rPr>
                <w:rFonts w:hint="eastAsia" w:ascii="宋体" w:hAnsi="宋体" w:eastAsia="宋体" w:cs="宋体"/>
                <w:color w:val="auto"/>
                <w:sz w:val="24"/>
                <w:szCs w:val="24"/>
              </w:rPr>
              <w:t>名称</w:t>
            </w:r>
          </w:p>
        </w:tc>
        <w:tc>
          <w:tcPr>
            <w:tcW w:w="3144" w:type="dxa"/>
            <w:noWrap w:val="0"/>
            <w:vAlign w:val="top"/>
          </w:tcPr>
          <w:p w14:paraId="2667C90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设备</w:t>
            </w:r>
            <w:r>
              <w:rPr>
                <w:rFonts w:hint="eastAsia" w:ascii="宋体" w:hAnsi="宋体" w:eastAsia="宋体" w:cs="宋体"/>
                <w:color w:val="auto"/>
                <w:sz w:val="24"/>
                <w:szCs w:val="24"/>
              </w:rPr>
              <w:t>规格参数</w:t>
            </w:r>
          </w:p>
          <w:p w14:paraId="58EF082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厂家、品牌、规格、型号、材质</w:t>
            </w:r>
            <w:r>
              <w:rPr>
                <w:rFonts w:hint="eastAsia" w:ascii="宋体" w:hAnsi="宋体" w:eastAsia="宋体" w:cs="宋体"/>
                <w:color w:val="auto"/>
                <w:sz w:val="24"/>
                <w:szCs w:val="24"/>
                <w:lang w:eastAsia="zh-CN"/>
              </w:rPr>
              <w:t>）</w:t>
            </w:r>
          </w:p>
        </w:tc>
        <w:tc>
          <w:tcPr>
            <w:tcW w:w="720" w:type="dxa"/>
            <w:noWrap w:val="0"/>
            <w:vAlign w:val="top"/>
          </w:tcPr>
          <w:p w14:paraId="6A653C92">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单位</w:t>
            </w:r>
          </w:p>
        </w:tc>
        <w:tc>
          <w:tcPr>
            <w:tcW w:w="768" w:type="dxa"/>
            <w:noWrap w:val="0"/>
            <w:vAlign w:val="top"/>
          </w:tcPr>
          <w:p w14:paraId="7B68AB6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数量</w:t>
            </w:r>
          </w:p>
        </w:tc>
        <w:tc>
          <w:tcPr>
            <w:tcW w:w="1440" w:type="dxa"/>
            <w:noWrap w:val="0"/>
            <w:vAlign w:val="top"/>
          </w:tcPr>
          <w:p w14:paraId="267D0879">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单价</w:t>
            </w:r>
          </w:p>
        </w:tc>
      </w:tr>
      <w:tr w14:paraId="0D833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dxa"/>
            <w:noWrap w:val="0"/>
            <w:vAlign w:val="top"/>
          </w:tcPr>
          <w:p w14:paraId="61BDB3F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400" w:type="dxa"/>
            <w:noWrap w:val="0"/>
            <w:vAlign w:val="top"/>
          </w:tcPr>
          <w:p w14:paraId="655F356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eastAsia="zh-CN"/>
              </w:rPr>
            </w:pPr>
          </w:p>
        </w:tc>
        <w:tc>
          <w:tcPr>
            <w:tcW w:w="3144" w:type="dxa"/>
            <w:noWrap w:val="0"/>
            <w:vAlign w:val="top"/>
          </w:tcPr>
          <w:p w14:paraId="3300F51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eastAsia="zh-CN"/>
              </w:rPr>
            </w:pPr>
          </w:p>
        </w:tc>
        <w:tc>
          <w:tcPr>
            <w:tcW w:w="720" w:type="dxa"/>
            <w:noWrap w:val="0"/>
            <w:vAlign w:val="top"/>
          </w:tcPr>
          <w:p w14:paraId="536A75B0">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eastAsia="zh-CN"/>
              </w:rPr>
            </w:pPr>
          </w:p>
        </w:tc>
        <w:tc>
          <w:tcPr>
            <w:tcW w:w="768" w:type="dxa"/>
            <w:noWrap w:val="0"/>
            <w:vAlign w:val="top"/>
          </w:tcPr>
          <w:p w14:paraId="09260D04">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p>
        </w:tc>
        <w:tc>
          <w:tcPr>
            <w:tcW w:w="1440" w:type="dxa"/>
            <w:noWrap w:val="0"/>
            <w:vAlign w:val="top"/>
          </w:tcPr>
          <w:p w14:paraId="5AAA86E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p>
        </w:tc>
      </w:tr>
      <w:tr w14:paraId="2FC28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dxa"/>
            <w:noWrap w:val="0"/>
            <w:vAlign w:val="top"/>
          </w:tcPr>
          <w:p w14:paraId="1F3C75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400" w:type="dxa"/>
            <w:noWrap w:val="0"/>
            <w:vAlign w:val="top"/>
          </w:tcPr>
          <w:p w14:paraId="1323BAB9">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sz w:val="24"/>
                <w:szCs w:val="24"/>
              </w:rPr>
            </w:pPr>
          </w:p>
        </w:tc>
        <w:tc>
          <w:tcPr>
            <w:tcW w:w="3144" w:type="dxa"/>
            <w:noWrap w:val="0"/>
            <w:vAlign w:val="top"/>
          </w:tcPr>
          <w:p w14:paraId="72986E0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p>
        </w:tc>
        <w:tc>
          <w:tcPr>
            <w:tcW w:w="720" w:type="dxa"/>
            <w:noWrap w:val="0"/>
            <w:vAlign w:val="top"/>
          </w:tcPr>
          <w:p w14:paraId="4F19100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p>
        </w:tc>
        <w:tc>
          <w:tcPr>
            <w:tcW w:w="768" w:type="dxa"/>
            <w:noWrap w:val="0"/>
            <w:vAlign w:val="top"/>
          </w:tcPr>
          <w:p w14:paraId="3B5535B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p>
        </w:tc>
        <w:tc>
          <w:tcPr>
            <w:tcW w:w="1440" w:type="dxa"/>
            <w:noWrap w:val="0"/>
            <w:vAlign w:val="top"/>
          </w:tcPr>
          <w:p w14:paraId="4522E93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p>
        </w:tc>
      </w:tr>
      <w:tr w14:paraId="58BCD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dxa"/>
            <w:noWrap w:val="0"/>
            <w:vAlign w:val="top"/>
          </w:tcPr>
          <w:p w14:paraId="2243012A">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400" w:type="dxa"/>
            <w:noWrap w:val="0"/>
            <w:vAlign w:val="top"/>
          </w:tcPr>
          <w:p w14:paraId="2579EA1F">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p>
        </w:tc>
        <w:tc>
          <w:tcPr>
            <w:tcW w:w="3144" w:type="dxa"/>
            <w:noWrap w:val="0"/>
            <w:vAlign w:val="top"/>
          </w:tcPr>
          <w:p w14:paraId="0DBB7256">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p>
        </w:tc>
        <w:tc>
          <w:tcPr>
            <w:tcW w:w="720" w:type="dxa"/>
            <w:noWrap w:val="0"/>
            <w:vAlign w:val="top"/>
          </w:tcPr>
          <w:p w14:paraId="67254D9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p>
        </w:tc>
        <w:tc>
          <w:tcPr>
            <w:tcW w:w="768" w:type="dxa"/>
            <w:noWrap w:val="0"/>
            <w:vAlign w:val="top"/>
          </w:tcPr>
          <w:p w14:paraId="120EABFD">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p>
        </w:tc>
        <w:tc>
          <w:tcPr>
            <w:tcW w:w="1440" w:type="dxa"/>
            <w:noWrap w:val="0"/>
            <w:vAlign w:val="top"/>
          </w:tcPr>
          <w:p w14:paraId="70388BD1">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p>
        </w:tc>
      </w:tr>
      <w:tr w14:paraId="04CD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 w:type="dxa"/>
            <w:noWrap w:val="0"/>
            <w:vAlign w:val="top"/>
          </w:tcPr>
          <w:p w14:paraId="134EAA48">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400" w:type="dxa"/>
            <w:noWrap w:val="0"/>
            <w:vAlign w:val="top"/>
          </w:tcPr>
          <w:p w14:paraId="5559811D">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sz w:val="24"/>
                <w:szCs w:val="24"/>
              </w:rPr>
            </w:pPr>
          </w:p>
        </w:tc>
        <w:tc>
          <w:tcPr>
            <w:tcW w:w="3144" w:type="dxa"/>
            <w:noWrap w:val="0"/>
            <w:vAlign w:val="top"/>
          </w:tcPr>
          <w:p w14:paraId="0FE37F4E">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p>
        </w:tc>
        <w:tc>
          <w:tcPr>
            <w:tcW w:w="720" w:type="dxa"/>
            <w:noWrap w:val="0"/>
            <w:vAlign w:val="top"/>
          </w:tcPr>
          <w:p w14:paraId="353F57AB">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rPr>
            </w:pPr>
          </w:p>
        </w:tc>
        <w:tc>
          <w:tcPr>
            <w:tcW w:w="768" w:type="dxa"/>
            <w:noWrap w:val="0"/>
            <w:vAlign w:val="top"/>
          </w:tcPr>
          <w:p w14:paraId="1BDDF3FC">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p>
        </w:tc>
        <w:tc>
          <w:tcPr>
            <w:tcW w:w="1440" w:type="dxa"/>
            <w:noWrap w:val="0"/>
            <w:vAlign w:val="top"/>
          </w:tcPr>
          <w:p w14:paraId="33CE3107">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auto"/>
                <w:sz w:val="24"/>
                <w:szCs w:val="24"/>
                <w:lang w:val="en-US" w:eastAsia="zh-CN"/>
              </w:rPr>
            </w:pPr>
          </w:p>
        </w:tc>
      </w:tr>
    </w:tbl>
    <w:p w14:paraId="1E779522">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二、合同价款</w:t>
      </w:r>
      <w:r>
        <w:rPr>
          <w:rFonts w:hint="eastAsia" w:ascii="宋体" w:hAnsi="宋体" w:eastAsia="宋体" w:cs="宋体"/>
          <w:b/>
          <w:color w:val="auto"/>
          <w:sz w:val="24"/>
          <w:szCs w:val="24"/>
          <w:lang w:eastAsia="zh-CN"/>
        </w:rPr>
        <w:t>：</w:t>
      </w:r>
    </w:p>
    <w:p w14:paraId="50A50F12">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1、合同总价款大写：</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p>
    <w:p w14:paraId="1233305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合同总价款包括</w:t>
      </w:r>
      <w:r>
        <w:rPr>
          <w:rFonts w:hint="eastAsia" w:ascii="宋体" w:hAnsi="宋体" w:eastAsia="宋体" w:cs="宋体"/>
          <w:color w:val="auto"/>
          <w:sz w:val="24"/>
          <w:szCs w:val="24"/>
          <w:lang w:val="en-US" w:eastAsia="zh-CN"/>
        </w:rPr>
        <w:t>但不限于本合同约定的所采购设备的</w:t>
      </w:r>
      <w:r>
        <w:rPr>
          <w:rFonts w:hint="eastAsia" w:ascii="宋体" w:hAnsi="宋体" w:eastAsia="宋体" w:cs="宋体"/>
          <w:color w:val="auto"/>
          <w:sz w:val="24"/>
          <w:szCs w:val="24"/>
        </w:rPr>
        <w:t>设备费、运输费、装卸费、仓储费、保险费、安装调试费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售后服务费</w:t>
      </w:r>
      <w:r>
        <w:rPr>
          <w:rFonts w:hint="eastAsia" w:ascii="宋体" w:hAnsi="宋体" w:eastAsia="宋体" w:cs="宋体"/>
          <w:color w:val="auto"/>
          <w:sz w:val="24"/>
          <w:szCs w:val="24"/>
        </w:rPr>
        <w:t>及税费</w:t>
      </w:r>
      <w:r>
        <w:rPr>
          <w:rFonts w:hint="eastAsia" w:ascii="宋体" w:hAnsi="宋体" w:eastAsia="宋体" w:cs="宋体"/>
          <w:color w:val="auto"/>
          <w:sz w:val="24"/>
          <w:szCs w:val="24"/>
          <w:lang w:val="en-US" w:eastAsia="zh-CN"/>
        </w:rPr>
        <w:t>等乙方完成本合同约定的全部合同义务所产生的所有费用在内。</w:t>
      </w:r>
    </w:p>
    <w:p w14:paraId="31E08161">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付款方式</w:t>
      </w:r>
      <w:r>
        <w:rPr>
          <w:rFonts w:hint="eastAsia" w:ascii="宋体" w:hAnsi="宋体" w:eastAsia="宋体" w:cs="宋体"/>
          <w:b/>
          <w:color w:val="auto"/>
          <w:sz w:val="24"/>
          <w:szCs w:val="24"/>
          <w:lang w:eastAsia="zh-CN"/>
        </w:rPr>
        <w:t>：</w:t>
      </w:r>
    </w:p>
    <w:p w14:paraId="2577CB7A">
      <w:pPr>
        <w:pStyle w:val="8"/>
        <w:spacing w:before="126" w:line="360" w:lineRule="auto"/>
        <w:ind w:left="1"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kern w:val="0"/>
          <w:sz w:val="24"/>
          <w:szCs w:val="24"/>
          <w:lang w:val="en-US" w:eastAsia="zh-CN" w:bidi="ar-SA"/>
        </w:rPr>
        <w:t>合同签订后支付合同总金额的30%，设备安装调试培训验收合格后支付合同总金额的60%，剩余的10%使用满一年后一次性无息支付。</w:t>
      </w:r>
    </w:p>
    <w:p w14:paraId="759BD721">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四、验收</w:t>
      </w:r>
      <w:r>
        <w:rPr>
          <w:rFonts w:hint="eastAsia" w:ascii="宋体" w:hAnsi="宋体" w:eastAsia="宋体" w:cs="宋体"/>
          <w:b/>
          <w:color w:val="auto"/>
          <w:sz w:val="24"/>
          <w:szCs w:val="24"/>
          <w:lang w:eastAsia="zh-CN"/>
        </w:rPr>
        <w:t>：</w:t>
      </w:r>
    </w:p>
    <w:p w14:paraId="3D81F26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1.</w:t>
      </w:r>
      <w:r>
        <w:rPr>
          <w:rFonts w:hint="eastAsia" w:ascii="宋体" w:hAnsi="宋体" w:eastAsia="宋体" w:cs="宋体"/>
          <w:color w:val="auto"/>
          <w:sz w:val="24"/>
          <w:szCs w:val="24"/>
          <w:lang w:val="en-US" w:eastAsia="zh-CN"/>
        </w:rPr>
        <w:t>本合同约定的</w:t>
      </w:r>
      <w:r>
        <w:rPr>
          <w:rFonts w:hint="eastAsia" w:ascii="宋体" w:hAnsi="宋体" w:eastAsia="宋体" w:cs="宋体"/>
          <w:color w:val="auto"/>
          <w:sz w:val="24"/>
          <w:szCs w:val="24"/>
        </w:rPr>
        <w:t>设备到达甲方指定地点后，</w:t>
      </w:r>
      <w:r>
        <w:rPr>
          <w:rFonts w:hint="eastAsia" w:ascii="宋体" w:hAnsi="宋体" w:eastAsia="宋体" w:cs="宋体"/>
          <w:color w:val="auto"/>
          <w:sz w:val="24"/>
          <w:szCs w:val="24"/>
          <w:lang w:val="en-US" w:eastAsia="zh-CN"/>
        </w:rPr>
        <w:t>乙方应通知甲方进行初验，即</w:t>
      </w:r>
      <w:r>
        <w:rPr>
          <w:rFonts w:hint="eastAsia" w:ascii="宋体" w:hAnsi="宋体" w:eastAsia="宋体" w:cs="宋体"/>
          <w:color w:val="auto"/>
          <w:sz w:val="24"/>
          <w:szCs w:val="24"/>
        </w:rPr>
        <w:t>甲方根据</w:t>
      </w:r>
      <w:r>
        <w:rPr>
          <w:rFonts w:hint="eastAsia" w:ascii="宋体" w:hAnsi="宋体" w:eastAsia="宋体" w:cs="宋体"/>
          <w:color w:val="auto"/>
          <w:sz w:val="24"/>
          <w:szCs w:val="24"/>
          <w:lang w:val="en-US" w:eastAsia="zh-CN"/>
        </w:rPr>
        <w:t>本</w:t>
      </w:r>
      <w:r>
        <w:rPr>
          <w:rFonts w:hint="eastAsia" w:ascii="宋体" w:hAnsi="宋体" w:eastAsia="宋体" w:cs="宋体"/>
          <w:color w:val="auto"/>
          <w:sz w:val="24"/>
          <w:szCs w:val="24"/>
        </w:rPr>
        <w:t>合同要求，</w:t>
      </w:r>
      <w:r>
        <w:rPr>
          <w:rFonts w:hint="eastAsia" w:ascii="宋体" w:hAnsi="宋体" w:eastAsia="宋体" w:cs="宋体"/>
          <w:color w:val="auto"/>
          <w:sz w:val="24"/>
          <w:szCs w:val="24"/>
          <w:lang w:val="en-US" w:eastAsia="zh-CN"/>
        </w:rPr>
        <w:t>对乙方交付的设备</w:t>
      </w:r>
      <w:r>
        <w:rPr>
          <w:rFonts w:hint="eastAsia" w:ascii="宋体" w:hAnsi="宋体" w:eastAsia="宋体" w:cs="宋体"/>
          <w:color w:val="auto"/>
          <w:sz w:val="24"/>
          <w:szCs w:val="24"/>
        </w:rPr>
        <w:t>进行外观验收，确认产地、规格、型号和数量</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若甲方在验收时发现乙方提供的设备与合同约定不相符时，乙方应自甲方通知之日起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日内重新按照合同约定补足或更换设备，乙方每逾期一日，乙方应向甲方支付</w:t>
      </w:r>
      <w:r>
        <w:rPr>
          <w:rFonts w:hint="eastAsia" w:ascii="宋体" w:hAnsi="宋体" w:eastAsia="宋体" w:cs="宋体"/>
          <w:color w:val="auto"/>
          <w:sz w:val="24"/>
          <w:szCs w:val="24"/>
          <w:u w:val="none"/>
          <w:lang w:val="en-US" w:eastAsia="zh-CN"/>
        </w:rPr>
        <w:t>合同总价款3%</w:t>
      </w:r>
      <w:r>
        <w:rPr>
          <w:rFonts w:hint="eastAsia" w:ascii="宋体" w:hAnsi="宋体" w:eastAsia="宋体" w:cs="宋体"/>
          <w:color w:val="auto"/>
          <w:sz w:val="24"/>
          <w:szCs w:val="24"/>
          <w:lang w:val="en-US" w:eastAsia="zh-CN"/>
        </w:rPr>
        <w:t>的违约金。若乙方逾期达到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天，甲方有权选择解除合同，并由乙方赔偿甲方的全部损失。</w:t>
      </w:r>
    </w:p>
    <w:p w14:paraId="66FD3BB7">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u w:val="none"/>
          <w:lang w:val="en-US" w:eastAsia="zh-CN"/>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设备安装、调试正常，乙方自检合格</w:t>
      </w:r>
      <w:r>
        <w:rPr>
          <w:rFonts w:hint="eastAsia" w:ascii="宋体" w:hAnsi="宋体" w:eastAsia="宋体" w:cs="宋体"/>
          <w:color w:val="auto"/>
          <w:sz w:val="24"/>
          <w:szCs w:val="24"/>
          <w:lang w:val="en-US" w:eastAsia="zh-CN"/>
        </w:rPr>
        <w:t>之日起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日内通知甲方</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由</w:t>
      </w:r>
      <w:r>
        <w:rPr>
          <w:rFonts w:hint="eastAsia" w:ascii="宋体" w:hAnsi="宋体" w:eastAsia="宋体" w:cs="宋体"/>
          <w:color w:val="auto"/>
          <w:sz w:val="24"/>
          <w:szCs w:val="24"/>
        </w:rPr>
        <w:t>甲方组织相关人员进行</w:t>
      </w:r>
      <w:r>
        <w:rPr>
          <w:rFonts w:hint="eastAsia" w:ascii="宋体" w:hAnsi="宋体" w:eastAsia="宋体" w:cs="宋体"/>
          <w:color w:val="auto"/>
          <w:sz w:val="24"/>
          <w:szCs w:val="24"/>
          <w:lang w:val="en-US" w:eastAsia="zh-CN"/>
        </w:rPr>
        <w:t>最终</w:t>
      </w:r>
      <w:r>
        <w:rPr>
          <w:rFonts w:hint="eastAsia" w:ascii="宋体" w:hAnsi="宋体" w:eastAsia="宋体" w:cs="宋体"/>
          <w:color w:val="auto"/>
          <w:sz w:val="24"/>
          <w:szCs w:val="24"/>
        </w:rPr>
        <w:t>验收，</w:t>
      </w:r>
      <w:r>
        <w:rPr>
          <w:rFonts w:hint="eastAsia" w:ascii="宋体" w:hAnsi="宋体" w:eastAsia="宋体" w:cs="宋体"/>
          <w:color w:val="auto"/>
          <w:sz w:val="24"/>
          <w:szCs w:val="24"/>
          <w:lang w:val="en-US" w:eastAsia="zh-CN"/>
        </w:rPr>
        <w:t>最终验收合格的标准为：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验收合格后，</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填写《采购验收结算单》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一式二份，</w:t>
      </w:r>
      <w:r>
        <w:rPr>
          <w:rFonts w:hint="eastAsia" w:ascii="宋体" w:hAnsi="宋体" w:eastAsia="宋体" w:cs="宋体"/>
          <w:color w:val="auto"/>
          <w:sz w:val="24"/>
          <w:szCs w:val="24"/>
          <w:lang w:val="en-US" w:eastAsia="zh-CN"/>
        </w:rPr>
        <w:t>甲、乙双方各执一份，</w:t>
      </w:r>
      <w:r>
        <w:rPr>
          <w:rFonts w:hint="eastAsia" w:ascii="宋体" w:hAnsi="宋体" w:eastAsia="宋体" w:cs="宋体"/>
          <w:color w:val="auto"/>
          <w:sz w:val="24"/>
          <w:szCs w:val="24"/>
        </w:rPr>
        <w:t>作为对货物的最终认可。</w:t>
      </w:r>
      <w:r>
        <w:rPr>
          <w:rFonts w:hint="eastAsia" w:ascii="宋体" w:hAnsi="宋体" w:eastAsia="宋体" w:cs="宋体"/>
          <w:color w:val="auto"/>
          <w:sz w:val="24"/>
          <w:szCs w:val="24"/>
          <w:lang w:val="en-US" w:eastAsia="zh-CN"/>
        </w:rPr>
        <w:t>若甲方验收不合格，乙方应自验收不合格之日起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日内重新调试并通知甲方验收，乙方每逾期一日，乙方应向甲方支付</w:t>
      </w:r>
      <w:r>
        <w:rPr>
          <w:rFonts w:hint="eastAsia" w:ascii="宋体" w:hAnsi="宋体" w:eastAsia="宋体" w:cs="宋体"/>
          <w:color w:val="auto"/>
          <w:sz w:val="24"/>
          <w:szCs w:val="24"/>
          <w:u w:val="none"/>
          <w:lang w:val="en-US" w:eastAsia="zh-CN"/>
        </w:rPr>
        <w:t>合同总价款3%</w:t>
      </w:r>
      <w:r>
        <w:rPr>
          <w:rFonts w:hint="eastAsia" w:ascii="宋体" w:hAnsi="宋体" w:eastAsia="宋体" w:cs="宋体"/>
          <w:color w:val="auto"/>
          <w:sz w:val="24"/>
          <w:szCs w:val="24"/>
          <w:lang w:val="en-US" w:eastAsia="zh-CN"/>
        </w:rPr>
        <w:t>的违约金，若乙方逾期达到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天或乙方再次验收不合格，甲方有权选择解除合同，并由乙方赔偿甲方的全部损失，包括但不限于甲方已经支付的相应款项及因此所产生的相关赔偿款、甲方实现相关权利所产生的全部费用，如律师费、诉讼费、保全费、交通费、差旅费、鉴定费等。</w:t>
      </w:r>
    </w:p>
    <w:p w14:paraId="7AC9535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3.</w:t>
      </w:r>
      <w:r>
        <w:rPr>
          <w:rFonts w:hint="eastAsia" w:ascii="宋体" w:hAnsi="宋体" w:eastAsia="宋体" w:cs="宋体"/>
          <w:color w:val="auto"/>
          <w:sz w:val="24"/>
          <w:szCs w:val="24"/>
          <w:lang w:val="en-US" w:eastAsia="zh-CN"/>
        </w:rPr>
        <w:t>无论何时甲方发现乙方提供的设备</w:t>
      </w:r>
      <w:r>
        <w:rPr>
          <w:rFonts w:hint="eastAsia" w:ascii="宋体" w:hAnsi="宋体" w:eastAsia="宋体" w:cs="宋体"/>
          <w:color w:val="auto"/>
          <w:sz w:val="24"/>
          <w:szCs w:val="24"/>
        </w:rPr>
        <w:t>与</w:t>
      </w:r>
      <w:r>
        <w:rPr>
          <w:rFonts w:hint="eastAsia" w:ascii="宋体" w:hAnsi="宋体" w:eastAsia="宋体" w:cs="宋体"/>
          <w:color w:val="auto"/>
          <w:sz w:val="24"/>
          <w:szCs w:val="24"/>
          <w:lang w:val="en-US" w:eastAsia="zh-CN"/>
        </w:rPr>
        <w:t>甲方的</w:t>
      </w:r>
      <w:r>
        <w:rPr>
          <w:rFonts w:hint="eastAsia" w:ascii="宋体" w:hAnsi="宋体" w:eastAsia="宋体" w:cs="宋体"/>
          <w:color w:val="auto"/>
          <w:sz w:val="24"/>
          <w:szCs w:val="24"/>
        </w:rPr>
        <w:t>要求</w:t>
      </w:r>
      <w:r>
        <w:rPr>
          <w:rFonts w:hint="eastAsia" w:ascii="宋体" w:hAnsi="宋体" w:eastAsia="宋体" w:cs="宋体"/>
          <w:color w:val="auto"/>
          <w:sz w:val="24"/>
          <w:szCs w:val="24"/>
          <w:lang w:val="en-US" w:eastAsia="zh-CN"/>
        </w:rPr>
        <w:t>及本合同的约定不相符的，甲方均有权要求乙方自甲方通知之日起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日内重新按照合同约定补足或更换设备，乙方每逾期一日，乙方应向甲方支付</w:t>
      </w:r>
      <w:r>
        <w:rPr>
          <w:rFonts w:hint="eastAsia" w:ascii="宋体" w:hAnsi="宋体" w:eastAsia="宋体" w:cs="宋体"/>
          <w:color w:val="auto"/>
          <w:sz w:val="24"/>
          <w:szCs w:val="24"/>
          <w:u w:val="none"/>
          <w:lang w:val="en-US" w:eastAsia="zh-CN"/>
        </w:rPr>
        <w:t>合同总价款3%</w:t>
      </w:r>
      <w:r>
        <w:rPr>
          <w:rFonts w:hint="eastAsia" w:ascii="宋体" w:hAnsi="宋体" w:eastAsia="宋体" w:cs="宋体"/>
          <w:color w:val="auto"/>
          <w:sz w:val="24"/>
          <w:szCs w:val="24"/>
          <w:lang w:val="en-US" w:eastAsia="zh-CN"/>
        </w:rPr>
        <w:t>的违约金。若乙方逾期达到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天，甲方有权选择解除合同，并由乙方赔偿甲方的全部损失。</w:t>
      </w:r>
    </w:p>
    <w:p w14:paraId="5FA79B2D">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eastAsia="zh-CN"/>
        </w:rPr>
        <w:t>4.</w:t>
      </w:r>
      <w:r>
        <w:rPr>
          <w:rFonts w:hint="eastAsia" w:ascii="宋体" w:hAnsi="宋体" w:eastAsia="宋体" w:cs="宋体"/>
          <w:color w:val="auto"/>
          <w:sz w:val="24"/>
          <w:szCs w:val="24"/>
        </w:rPr>
        <w:t>乙方</w:t>
      </w:r>
      <w:r>
        <w:rPr>
          <w:rFonts w:hint="eastAsia" w:ascii="宋体" w:hAnsi="宋体" w:eastAsia="宋体" w:cs="宋体"/>
          <w:color w:val="auto"/>
          <w:sz w:val="24"/>
          <w:szCs w:val="24"/>
          <w:lang w:val="en-US" w:eastAsia="zh-CN"/>
        </w:rPr>
        <w:t>必须在</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时</w:t>
      </w:r>
      <w:r>
        <w:rPr>
          <w:rFonts w:hint="eastAsia" w:ascii="宋体" w:hAnsi="宋体" w:eastAsia="宋体" w:cs="宋体"/>
          <w:color w:val="auto"/>
          <w:sz w:val="24"/>
          <w:szCs w:val="24"/>
        </w:rPr>
        <w:t>向甲方提交</w:t>
      </w:r>
      <w:r>
        <w:rPr>
          <w:rFonts w:hint="eastAsia" w:ascii="宋体" w:hAnsi="宋体" w:eastAsia="宋体" w:cs="宋体"/>
          <w:color w:val="auto"/>
          <w:sz w:val="24"/>
          <w:szCs w:val="24"/>
          <w:lang w:val="en-US" w:eastAsia="zh-CN"/>
        </w:rPr>
        <w:t>本合同约定的设备</w:t>
      </w:r>
      <w:r>
        <w:rPr>
          <w:rFonts w:hint="eastAsia" w:ascii="宋体" w:hAnsi="宋体" w:eastAsia="宋体" w:cs="宋体"/>
          <w:color w:val="auto"/>
          <w:sz w:val="24"/>
          <w:szCs w:val="24"/>
        </w:rPr>
        <w:t>的</w:t>
      </w:r>
      <w:r>
        <w:rPr>
          <w:rFonts w:hint="eastAsia" w:ascii="宋体" w:hAnsi="宋体" w:eastAsia="宋体" w:cs="宋体"/>
          <w:color w:val="auto"/>
          <w:sz w:val="24"/>
          <w:szCs w:val="24"/>
          <w:lang w:val="en-US" w:eastAsia="zh-CN"/>
        </w:rPr>
        <w:t>全部</w:t>
      </w:r>
      <w:r>
        <w:rPr>
          <w:rFonts w:hint="eastAsia" w:ascii="宋体" w:hAnsi="宋体" w:eastAsia="宋体" w:cs="宋体"/>
          <w:color w:val="auto"/>
          <w:sz w:val="24"/>
          <w:szCs w:val="24"/>
        </w:rPr>
        <w:t>技术资料（</w:t>
      </w:r>
      <w:r>
        <w:rPr>
          <w:rFonts w:hint="eastAsia" w:ascii="宋体" w:hAnsi="宋体" w:eastAsia="宋体" w:cs="宋体"/>
          <w:color w:val="auto"/>
          <w:sz w:val="24"/>
          <w:szCs w:val="24"/>
          <w:lang w:val="en-US" w:eastAsia="zh-CN"/>
        </w:rPr>
        <w:t>包括但不限于</w:t>
      </w:r>
      <w:r>
        <w:rPr>
          <w:rFonts w:hint="eastAsia" w:ascii="宋体" w:hAnsi="宋体" w:eastAsia="宋体" w:cs="宋体"/>
          <w:color w:val="auto"/>
          <w:sz w:val="24"/>
          <w:szCs w:val="24"/>
        </w:rPr>
        <w:t>合格证、使用及维护说明书、出厂校准证书、装箱清单</w:t>
      </w:r>
      <w:r>
        <w:rPr>
          <w:rFonts w:hint="eastAsia" w:ascii="宋体" w:hAnsi="宋体" w:eastAsia="宋体" w:cs="宋体"/>
          <w:color w:val="auto"/>
          <w:sz w:val="24"/>
          <w:szCs w:val="24"/>
          <w:lang w:val="en-US" w:eastAsia="zh-CN"/>
        </w:rPr>
        <w:t>等</w:t>
      </w:r>
      <w:r>
        <w:rPr>
          <w:rFonts w:hint="eastAsia" w:ascii="宋体" w:hAnsi="宋体" w:eastAsia="宋体" w:cs="宋体"/>
          <w:color w:val="auto"/>
          <w:sz w:val="24"/>
          <w:szCs w:val="24"/>
        </w:rPr>
        <w:t>），以便甲方日后管理和维护</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若乙方不能按照本条款的约定提供全部技术资料的，</w:t>
      </w:r>
      <w:r>
        <w:rPr>
          <w:rFonts w:hint="eastAsia" w:ascii="宋体" w:hAnsi="宋体" w:eastAsia="宋体" w:cs="宋体"/>
          <w:color w:val="auto"/>
          <w:sz w:val="24"/>
          <w:szCs w:val="24"/>
        </w:rPr>
        <w:t>按</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没有供货处理。</w:t>
      </w:r>
    </w:p>
    <w:p w14:paraId="5F35F485">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五、</w:t>
      </w:r>
      <w:r>
        <w:rPr>
          <w:rFonts w:hint="eastAsia" w:ascii="宋体" w:hAnsi="宋体" w:eastAsia="宋体" w:cs="宋体"/>
          <w:b/>
          <w:color w:val="auto"/>
          <w:sz w:val="24"/>
          <w:szCs w:val="24"/>
          <w:lang w:val="en-US" w:eastAsia="zh-CN"/>
        </w:rPr>
        <w:t>甲、乙</w:t>
      </w:r>
      <w:r>
        <w:rPr>
          <w:rFonts w:hint="eastAsia" w:ascii="宋体" w:hAnsi="宋体" w:eastAsia="宋体" w:cs="宋体"/>
          <w:b/>
          <w:color w:val="auto"/>
          <w:sz w:val="24"/>
          <w:szCs w:val="24"/>
        </w:rPr>
        <w:t>双方的权利和义务</w:t>
      </w:r>
      <w:r>
        <w:rPr>
          <w:rFonts w:hint="eastAsia" w:ascii="宋体" w:hAnsi="宋体" w:eastAsia="宋体" w:cs="宋体"/>
          <w:b/>
          <w:color w:val="auto"/>
          <w:sz w:val="24"/>
          <w:szCs w:val="24"/>
          <w:lang w:eastAsia="zh-CN"/>
        </w:rPr>
        <w:t>：</w:t>
      </w:r>
    </w:p>
    <w:p w14:paraId="40591F49">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甲方的权利和义务</w:t>
      </w:r>
      <w:r>
        <w:rPr>
          <w:rFonts w:hint="eastAsia" w:ascii="宋体" w:hAnsi="宋体" w:eastAsia="宋体" w:cs="宋体"/>
          <w:color w:val="auto"/>
          <w:sz w:val="24"/>
          <w:szCs w:val="24"/>
          <w:lang w:eastAsia="zh-CN"/>
        </w:rPr>
        <w:t>：</w:t>
      </w:r>
    </w:p>
    <w:p w14:paraId="7AAA6AE3">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甲方在收到货物后，应按照</w:t>
      </w:r>
      <w:r>
        <w:rPr>
          <w:rFonts w:hint="eastAsia" w:ascii="宋体" w:hAnsi="宋体" w:eastAsia="宋体" w:cs="宋体"/>
          <w:color w:val="auto"/>
          <w:sz w:val="24"/>
          <w:szCs w:val="24"/>
          <w:lang w:val="en-US" w:eastAsia="zh-CN"/>
        </w:rPr>
        <w:t>本合同的约定</w:t>
      </w:r>
      <w:r>
        <w:rPr>
          <w:rFonts w:hint="eastAsia" w:ascii="宋体" w:hAnsi="宋体" w:eastAsia="宋体" w:cs="宋体"/>
          <w:color w:val="auto"/>
          <w:sz w:val="24"/>
          <w:szCs w:val="24"/>
        </w:rPr>
        <w:t>进行核对，如发现产地、规格、型号和数量不符合合同</w:t>
      </w:r>
      <w:r>
        <w:rPr>
          <w:rFonts w:hint="eastAsia" w:ascii="宋体" w:hAnsi="宋体" w:eastAsia="宋体" w:cs="宋体"/>
          <w:color w:val="auto"/>
          <w:sz w:val="24"/>
          <w:szCs w:val="24"/>
          <w:lang w:val="en-US" w:eastAsia="zh-CN"/>
        </w:rPr>
        <w:t>约</w:t>
      </w:r>
      <w:r>
        <w:rPr>
          <w:rFonts w:hint="eastAsia" w:ascii="宋体" w:hAnsi="宋体" w:eastAsia="宋体" w:cs="宋体"/>
          <w:color w:val="auto"/>
          <w:sz w:val="24"/>
          <w:szCs w:val="24"/>
        </w:rPr>
        <w:t>定，</w:t>
      </w:r>
      <w:r>
        <w:rPr>
          <w:rFonts w:hint="eastAsia" w:ascii="宋体" w:hAnsi="宋体" w:eastAsia="宋体" w:cs="宋体"/>
          <w:color w:val="auto"/>
          <w:sz w:val="24"/>
          <w:szCs w:val="24"/>
          <w:lang w:val="en-US" w:eastAsia="zh-CN"/>
        </w:rPr>
        <w:t>应</w:t>
      </w:r>
      <w:r>
        <w:rPr>
          <w:rFonts w:hint="eastAsia" w:ascii="宋体" w:hAnsi="宋体" w:eastAsia="宋体" w:cs="宋体"/>
          <w:color w:val="auto"/>
          <w:sz w:val="24"/>
          <w:szCs w:val="24"/>
        </w:rPr>
        <w:t>及时提出</w:t>
      </w:r>
      <w:r>
        <w:rPr>
          <w:rFonts w:hint="eastAsia" w:ascii="宋体" w:hAnsi="宋体" w:eastAsia="宋体" w:cs="宋体"/>
          <w:color w:val="auto"/>
          <w:sz w:val="24"/>
          <w:szCs w:val="24"/>
          <w:lang w:eastAsia="zh-CN"/>
        </w:rPr>
        <w:t>；</w:t>
      </w:r>
    </w:p>
    <w:p w14:paraId="60A4A966">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（2）甲方应按照合同的约定履行付款义务；</w:t>
      </w:r>
    </w:p>
    <w:p w14:paraId="034E7584">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cs="宋体"/>
          <w:color w:val="auto"/>
          <w:sz w:val="24"/>
          <w:szCs w:val="24"/>
          <w:u w:val="none"/>
          <w:lang w:val="en-US" w:eastAsia="zh-CN"/>
        </w:rPr>
        <w:t>;</w:t>
      </w:r>
    </w:p>
    <w:p w14:paraId="4D4F3919">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（4</w:t>
      </w:r>
      <w:r>
        <w:rPr>
          <w:rFonts w:hint="eastAsia" w:ascii="宋体" w:hAnsi="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cs="宋体"/>
          <w:color w:val="auto"/>
          <w:sz w:val="24"/>
          <w:szCs w:val="24"/>
          <w:u w:val="none"/>
          <w:lang w:val="en-US" w:eastAsia="zh-CN"/>
        </w:rPr>
        <w:t>.</w:t>
      </w:r>
    </w:p>
    <w:p w14:paraId="7C55F82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乙方的权利和义务</w:t>
      </w:r>
      <w:r>
        <w:rPr>
          <w:rFonts w:hint="eastAsia" w:ascii="宋体" w:hAnsi="宋体" w:eastAsia="宋体" w:cs="宋体"/>
          <w:color w:val="auto"/>
          <w:sz w:val="24"/>
          <w:szCs w:val="24"/>
          <w:lang w:eastAsia="zh-CN"/>
        </w:rPr>
        <w:t>：</w:t>
      </w:r>
    </w:p>
    <w:p w14:paraId="254D6D06">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w:t>
      </w:r>
      <w:r>
        <w:rPr>
          <w:rFonts w:hint="eastAsia" w:ascii="宋体" w:hAnsi="宋体" w:eastAsia="宋体" w:cs="宋体"/>
          <w:color w:val="auto"/>
          <w:sz w:val="24"/>
          <w:szCs w:val="24"/>
          <w:lang w:val="en-US" w:eastAsia="zh-CN"/>
        </w:rPr>
        <w:t>应</w:t>
      </w:r>
      <w:r>
        <w:rPr>
          <w:rFonts w:hint="eastAsia" w:ascii="宋体" w:hAnsi="宋体" w:eastAsia="宋体" w:cs="宋体"/>
          <w:color w:val="auto"/>
          <w:sz w:val="24"/>
          <w:szCs w:val="24"/>
        </w:rPr>
        <w:t>保证按照</w:t>
      </w:r>
      <w:r>
        <w:rPr>
          <w:rFonts w:hint="eastAsia" w:ascii="宋体" w:hAnsi="宋体" w:eastAsia="宋体" w:cs="宋体"/>
          <w:color w:val="auto"/>
          <w:sz w:val="24"/>
          <w:szCs w:val="24"/>
          <w:lang w:val="en-US" w:eastAsia="zh-CN"/>
        </w:rPr>
        <w:t>本合同的约定</w:t>
      </w:r>
      <w:r>
        <w:rPr>
          <w:rFonts w:hint="eastAsia" w:ascii="宋体" w:hAnsi="宋体" w:eastAsia="宋体" w:cs="宋体"/>
          <w:color w:val="auto"/>
          <w:sz w:val="24"/>
          <w:szCs w:val="24"/>
        </w:rPr>
        <w:t>向甲方供货。如果出现品种、数量、规格、质量不符合合同</w:t>
      </w:r>
      <w:r>
        <w:rPr>
          <w:rFonts w:hint="eastAsia" w:ascii="宋体" w:hAnsi="宋体" w:eastAsia="宋体" w:cs="宋体"/>
          <w:color w:val="auto"/>
          <w:sz w:val="24"/>
          <w:szCs w:val="24"/>
          <w:lang w:val="en-US" w:eastAsia="zh-CN"/>
        </w:rPr>
        <w:t>约</w:t>
      </w:r>
      <w:r>
        <w:rPr>
          <w:rFonts w:hint="eastAsia" w:ascii="宋体" w:hAnsi="宋体" w:eastAsia="宋体" w:cs="宋体"/>
          <w:color w:val="auto"/>
          <w:sz w:val="24"/>
          <w:szCs w:val="24"/>
        </w:rPr>
        <w:t>定的，由乙方负责</w:t>
      </w:r>
      <w:r>
        <w:rPr>
          <w:rFonts w:hint="eastAsia" w:ascii="宋体" w:hAnsi="宋体" w:eastAsia="宋体" w:cs="宋体"/>
          <w:color w:val="auto"/>
          <w:sz w:val="24"/>
          <w:szCs w:val="24"/>
          <w:lang w:val="en-US" w:eastAsia="zh-CN"/>
        </w:rPr>
        <w:t>按照本合同的约定进行处理；</w:t>
      </w:r>
    </w:p>
    <w:p w14:paraId="6BFADE7B">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乙方</w:t>
      </w:r>
      <w:r>
        <w:rPr>
          <w:rFonts w:hint="eastAsia" w:ascii="宋体" w:hAnsi="宋体" w:eastAsia="宋体" w:cs="宋体"/>
          <w:color w:val="auto"/>
          <w:sz w:val="24"/>
          <w:szCs w:val="24"/>
          <w:lang w:val="en-US" w:eastAsia="zh-CN"/>
        </w:rPr>
        <w:t>必须按照本合同的约定履行合同义务，并</w:t>
      </w:r>
      <w:r>
        <w:rPr>
          <w:rFonts w:hint="eastAsia" w:ascii="宋体" w:hAnsi="宋体" w:eastAsia="宋体" w:cs="宋体"/>
          <w:color w:val="auto"/>
          <w:sz w:val="24"/>
          <w:szCs w:val="24"/>
        </w:rPr>
        <w:t>确保本合同中的安装、维修工作及时到位。</w:t>
      </w:r>
      <w:r>
        <w:rPr>
          <w:rFonts w:hint="eastAsia" w:ascii="宋体" w:hAnsi="宋体" w:cs="宋体"/>
          <w:color w:val="auto"/>
          <w:sz w:val="24"/>
          <w:szCs w:val="24"/>
          <w:lang w:eastAsia="zh-CN"/>
        </w:rPr>
        <w:t>因</w:t>
      </w:r>
      <w:r>
        <w:rPr>
          <w:rFonts w:hint="eastAsia" w:ascii="宋体" w:hAnsi="宋体" w:eastAsia="宋体" w:cs="宋体"/>
          <w:color w:val="auto"/>
          <w:sz w:val="24"/>
          <w:szCs w:val="24"/>
        </w:rPr>
        <w:t>乙方的原因造成</w:t>
      </w:r>
      <w:r>
        <w:rPr>
          <w:rFonts w:hint="eastAsia" w:ascii="宋体" w:hAnsi="宋体" w:eastAsia="宋体" w:cs="宋体"/>
          <w:color w:val="auto"/>
          <w:sz w:val="24"/>
          <w:szCs w:val="24"/>
          <w:lang w:val="en-US" w:eastAsia="zh-CN"/>
        </w:rPr>
        <w:t>甲方的</w:t>
      </w:r>
      <w:r>
        <w:rPr>
          <w:rFonts w:hint="eastAsia" w:ascii="宋体" w:hAnsi="宋体" w:cs="宋体"/>
          <w:color w:val="auto"/>
          <w:sz w:val="24"/>
          <w:szCs w:val="24"/>
          <w:lang w:val="en-US" w:eastAsia="zh-CN"/>
        </w:rPr>
        <w:t>损失</w:t>
      </w:r>
      <w:r>
        <w:rPr>
          <w:rFonts w:hint="eastAsia" w:ascii="宋体" w:hAnsi="宋体" w:eastAsia="宋体" w:cs="宋体"/>
          <w:color w:val="auto"/>
          <w:sz w:val="24"/>
          <w:szCs w:val="24"/>
        </w:rPr>
        <w:t>由乙方承担；</w:t>
      </w:r>
    </w:p>
    <w:p w14:paraId="0408F660">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cs="宋体"/>
          <w:color w:val="auto"/>
          <w:sz w:val="24"/>
          <w:szCs w:val="24"/>
          <w:u w:val="none"/>
          <w:lang w:val="en-US" w:eastAsia="zh-CN"/>
        </w:rPr>
        <w:t>;</w:t>
      </w:r>
    </w:p>
    <w:p w14:paraId="5DC0ED6D">
      <w:pPr>
        <w:keepNext w:val="0"/>
        <w:keepLines w:val="0"/>
        <w:pageBreakBefore w:val="0"/>
        <w:kinsoku/>
        <w:wordWrap/>
        <w:overflowPunct/>
        <w:topLinePunct w:val="0"/>
        <w:autoSpaceDE/>
        <w:autoSpaceDN/>
        <w:bidi w:val="0"/>
        <w:adjustRightInd w:val="0"/>
        <w:snapToGrid w:val="0"/>
        <w:spacing w:line="360" w:lineRule="auto"/>
        <w:ind w:firstLine="240" w:firstLineChars="1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u w:val="none"/>
          <w:lang w:val="en-US" w:eastAsia="zh-CN"/>
        </w:rPr>
        <w:t>（4</w:t>
      </w:r>
      <w:r>
        <w:rPr>
          <w:rFonts w:hint="eastAsia" w:ascii="宋体" w:hAnsi="宋体" w:cs="宋体"/>
          <w:color w:val="auto"/>
          <w:sz w:val="24"/>
          <w:szCs w:val="24"/>
          <w:u w:val="none"/>
          <w:lang w:val="en-US" w:eastAsia="zh-CN"/>
        </w:rPr>
        <w:t>)</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 xml:space="preserve"> </w:t>
      </w:r>
      <w:r>
        <w:rPr>
          <w:rFonts w:hint="eastAsia" w:ascii="宋体" w:hAnsi="宋体" w:cs="宋体"/>
          <w:color w:val="auto"/>
          <w:sz w:val="24"/>
          <w:szCs w:val="24"/>
          <w:u w:val="none"/>
          <w:lang w:val="en-US" w:eastAsia="zh-CN"/>
        </w:rPr>
        <w:t>.</w:t>
      </w:r>
    </w:p>
    <w:p w14:paraId="0AA02B8C">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六、交货地点</w:t>
      </w:r>
      <w:r>
        <w:rPr>
          <w:rFonts w:hint="eastAsia" w:ascii="宋体" w:hAnsi="宋体" w:eastAsia="宋体" w:cs="宋体"/>
          <w:b/>
          <w:color w:val="auto"/>
          <w:sz w:val="24"/>
          <w:szCs w:val="24"/>
          <w:lang w:eastAsia="zh-CN"/>
        </w:rPr>
        <w:t>：</w:t>
      </w:r>
    </w:p>
    <w:p w14:paraId="70F5E4F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交货地点：</w:t>
      </w:r>
      <w:r>
        <w:rPr>
          <w:rFonts w:hint="eastAsia" w:ascii="宋体" w:hAnsi="宋体" w:eastAsia="宋体" w:cs="宋体"/>
          <w:color w:val="auto"/>
          <w:sz w:val="24"/>
          <w:szCs w:val="24"/>
          <w:lang w:eastAsia="zh-CN"/>
        </w:rPr>
        <w:t>甲方指定的交货地点。</w:t>
      </w:r>
    </w:p>
    <w:p w14:paraId="387AA5F1">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交货期：</w:t>
      </w:r>
      <w:r>
        <w:rPr>
          <w:rFonts w:hint="eastAsia" w:ascii="宋体" w:hAnsi="宋体" w:eastAsia="宋体" w:cs="宋体"/>
          <w:color w:val="auto"/>
          <w:sz w:val="24"/>
          <w:szCs w:val="24"/>
          <w:lang w:val="en-US" w:eastAsia="zh-CN"/>
        </w:rPr>
        <w:t>本合同约定的</w:t>
      </w:r>
      <w:r>
        <w:rPr>
          <w:rFonts w:hint="eastAsia" w:ascii="宋体" w:hAnsi="宋体" w:eastAsia="宋体" w:cs="宋体"/>
          <w:color w:val="auto"/>
          <w:sz w:val="24"/>
          <w:szCs w:val="24"/>
        </w:rPr>
        <w:t>所有</w:t>
      </w:r>
      <w:r>
        <w:rPr>
          <w:rFonts w:hint="eastAsia" w:ascii="宋体" w:hAnsi="宋体" w:eastAsia="宋体" w:cs="宋体"/>
          <w:color w:val="auto"/>
          <w:sz w:val="24"/>
          <w:szCs w:val="24"/>
          <w:lang w:val="en-US" w:eastAsia="zh-CN"/>
        </w:rPr>
        <w:t>设备</w:t>
      </w:r>
      <w:r>
        <w:rPr>
          <w:rFonts w:hint="eastAsia" w:ascii="宋体" w:hAnsi="宋体" w:eastAsia="宋体" w:cs="宋体"/>
          <w:color w:val="auto"/>
          <w:sz w:val="24"/>
          <w:szCs w:val="24"/>
        </w:rPr>
        <w:t>均需在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日前完成安装、调试并申请验收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且验收合格。</w:t>
      </w:r>
    </w:p>
    <w:p w14:paraId="5C9E028B">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七、运输</w:t>
      </w:r>
      <w:r>
        <w:rPr>
          <w:rFonts w:hint="eastAsia" w:ascii="宋体" w:hAnsi="宋体" w:eastAsia="宋体" w:cs="宋体"/>
          <w:b/>
          <w:color w:val="auto"/>
          <w:sz w:val="24"/>
          <w:szCs w:val="24"/>
          <w:lang w:eastAsia="zh-CN"/>
        </w:rPr>
        <w:t>：</w:t>
      </w:r>
    </w:p>
    <w:p w14:paraId="08A283CA">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运输由乙方负责，费用已包含在合同总价内，包括所有的运输费、装卸费、仓储费、保险费等。</w:t>
      </w:r>
    </w:p>
    <w:p w14:paraId="58002F23">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运输方式由乙方自行选择，但必须保证货物完好、按期交货</w:t>
      </w:r>
      <w:r>
        <w:rPr>
          <w:rFonts w:hint="eastAsia" w:ascii="宋体" w:hAnsi="宋体" w:eastAsia="宋体" w:cs="宋体"/>
          <w:color w:val="auto"/>
          <w:sz w:val="24"/>
          <w:szCs w:val="24"/>
          <w:lang w:val="en-US" w:eastAsia="zh-CN"/>
        </w:rPr>
        <w:t>到甲方指定地点</w:t>
      </w:r>
      <w:r>
        <w:rPr>
          <w:rFonts w:hint="eastAsia" w:ascii="宋体" w:hAnsi="宋体" w:eastAsia="宋体" w:cs="宋体"/>
          <w:color w:val="auto"/>
          <w:sz w:val="24"/>
          <w:szCs w:val="24"/>
        </w:rPr>
        <w:t>。</w:t>
      </w:r>
    </w:p>
    <w:p w14:paraId="328A90CD">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八、质量保证</w:t>
      </w:r>
      <w:r>
        <w:rPr>
          <w:rFonts w:hint="eastAsia" w:ascii="宋体" w:hAnsi="宋体" w:eastAsia="宋体" w:cs="宋体"/>
          <w:b/>
          <w:color w:val="auto"/>
          <w:sz w:val="24"/>
          <w:szCs w:val="24"/>
          <w:lang w:eastAsia="zh-CN"/>
        </w:rPr>
        <w:t>：</w:t>
      </w:r>
    </w:p>
    <w:p w14:paraId="2D75CF47">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乙方提供的设备</w:t>
      </w:r>
      <w:r>
        <w:rPr>
          <w:rFonts w:hint="eastAsia" w:ascii="宋体" w:hAnsi="宋体" w:eastAsia="宋体" w:cs="宋体"/>
          <w:color w:val="auto"/>
          <w:sz w:val="24"/>
          <w:szCs w:val="24"/>
          <w:lang w:val="en-US" w:eastAsia="zh-CN"/>
        </w:rPr>
        <w:t>设施</w:t>
      </w:r>
      <w:r>
        <w:rPr>
          <w:rFonts w:hint="eastAsia" w:ascii="宋体" w:hAnsi="宋体" w:eastAsia="宋体" w:cs="宋体"/>
          <w:color w:val="auto"/>
          <w:sz w:val="24"/>
          <w:szCs w:val="24"/>
        </w:rPr>
        <w:t>必须是全新未使用、经国家质检部门检验合格并颁发了准销证的产品</w:t>
      </w:r>
      <w:r>
        <w:rPr>
          <w:rFonts w:hint="eastAsia" w:ascii="宋体" w:hAnsi="宋体" w:eastAsia="宋体" w:cs="宋体"/>
          <w:color w:val="auto"/>
          <w:sz w:val="24"/>
          <w:szCs w:val="24"/>
          <w:lang w:eastAsia="zh-CN"/>
        </w:rPr>
        <w:t>。</w:t>
      </w:r>
    </w:p>
    <w:p w14:paraId="102F5C45">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乙方确保产品整体技术性能达到</w:t>
      </w:r>
      <w:r>
        <w:rPr>
          <w:rFonts w:hint="eastAsia" w:ascii="宋体" w:hAnsi="宋体" w:eastAsia="宋体" w:cs="宋体"/>
          <w:color w:val="auto"/>
          <w:sz w:val="24"/>
          <w:szCs w:val="24"/>
          <w:lang w:val="en-US" w:eastAsia="zh-CN"/>
        </w:rPr>
        <w:t>现行</w:t>
      </w:r>
      <w:r>
        <w:rPr>
          <w:rFonts w:hint="eastAsia" w:ascii="宋体" w:hAnsi="宋体" w:eastAsia="宋体" w:cs="宋体"/>
          <w:color w:val="auto"/>
          <w:sz w:val="24"/>
          <w:szCs w:val="24"/>
        </w:rPr>
        <w:t>国家标准</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行业标准</w:t>
      </w:r>
      <w:r>
        <w:rPr>
          <w:rFonts w:hint="eastAsia" w:ascii="宋体" w:hAnsi="宋体" w:eastAsia="宋体" w:cs="宋体"/>
          <w:color w:val="auto"/>
          <w:sz w:val="24"/>
          <w:szCs w:val="24"/>
        </w:rPr>
        <w:t>，美观实用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并符合本合同的约定</w:t>
      </w:r>
      <w:r>
        <w:rPr>
          <w:rFonts w:hint="eastAsia" w:ascii="宋体" w:hAnsi="宋体" w:eastAsia="宋体" w:cs="宋体"/>
          <w:color w:val="auto"/>
          <w:sz w:val="24"/>
          <w:szCs w:val="24"/>
        </w:rPr>
        <w:t>。</w:t>
      </w:r>
    </w:p>
    <w:p w14:paraId="75ACD804">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九、售后服务</w:t>
      </w:r>
      <w:r>
        <w:rPr>
          <w:rFonts w:hint="eastAsia" w:ascii="宋体" w:hAnsi="宋体" w:eastAsia="宋体" w:cs="宋体"/>
          <w:b/>
          <w:color w:val="auto"/>
          <w:sz w:val="24"/>
          <w:szCs w:val="24"/>
          <w:lang w:eastAsia="zh-CN"/>
        </w:rPr>
        <w:t>：</w:t>
      </w:r>
    </w:p>
    <w:p w14:paraId="6B20B880">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乙方对所供设备实行</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≥3 </w:t>
      </w:r>
      <w:r>
        <w:rPr>
          <w:rFonts w:hint="eastAsia" w:ascii="宋体" w:hAnsi="宋体" w:eastAsia="宋体" w:cs="宋体"/>
          <w:color w:val="auto"/>
          <w:sz w:val="24"/>
          <w:szCs w:val="24"/>
        </w:rPr>
        <w:t>年免费保修，</w:t>
      </w:r>
      <w:r>
        <w:rPr>
          <w:rFonts w:hint="eastAsia" w:ascii="宋体" w:hAnsi="宋体" w:eastAsia="宋体" w:cs="宋体"/>
          <w:color w:val="auto"/>
          <w:sz w:val="24"/>
          <w:szCs w:val="24"/>
          <w:lang w:val="en-US" w:eastAsia="zh-CN"/>
        </w:rPr>
        <w:t>质保期自</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val="en-US" w:eastAsia="zh-CN"/>
        </w:rPr>
        <w:t>之日起算，</w:t>
      </w:r>
      <w:r>
        <w:rPr>
          <w:rFonts w:hint="eastAsia" w:ascii="宋体" w:hAnsi="宋体" w:eastAsia="宋体" w:cs="宋体"/>
          <w:color w:val="auto"/>
          <w:sz w:val="24"/>
          <w:szCs w:val="24"/>
        </w:rPr>
        <w:t>并提供终身维修服务（如因</w:t>
      </w:r>
      <w:r>
        <w:rPr>
          <w:rFonts w:hint="eastAsia" w:ascii="宋体" w:hAnsi="宋体" w:eastAsia="宋体" w:cs="宋体"/>
          <w:color w:val="auto"/>
          <w:sz w:val="24"/>
          <w:szCs w:val="24"/>
          <w:lang w:val="en-US" w:eastAsia="zh-CN"/>
        </w:rPr>
        <w:t>甲方</w:t>
      </w:r>
      <w:r>
        <w:rPr>
          <w:rFonts w:hint="eastAsia" w:ascii="宋体" w:hAnsi="宋体" w:eastAsia="宋体" w:cs="宋体"/>
          <w:color w:val="auto"/>
          <w:sz w:val="24"/>
          <w:szCs w:val="24"/>
        </w:rPr>
        <w:t>人为原因引起设备损坏不在保修范围之内）。在质保期内出现质量问题，乙方接到甲方通知</w:t>
      </w:r>
      <w:r>
        <w:rPr>
          <w:rFonts w:hint="eastAsia" w:ascii="宋体" w:hAnsi="宋体" w:eastAsia="宋体" w:cs="宋体"/>
          <w:color w:val="auto"/>
          <w:sz w:val="24"/>
          <w:szCs w:val="24"/>
          <w:lang w:val="en-US" w:eastAsia="zh-CN"/>
        </w:rPr>
        <w:t>当日</w:t>
      </w:r>
      <w:r>
        <w:rPr>
          <w:rFonts w:hint="eastAsia" w:ascii="宋体" w:hAnsi="宋体" w:eastAsia="宋体" w:cs="宋体"/>
          <w:color w:val="auto"/>
          <w:sz w:val="24"/>
          <w:szCs w:val="24"/>
        </w:rPr>
        <w:t>，应派专业人员到现场进行检测维修，产生的费用由乙方承担。若需送回生产厂家，往返费用由乙方承担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且乙方应确保修理期间甲方的相应工作不受影响，否则，乙方对甲方因此造成的全部损失进行赔偿。</w:t>
      </w:r>
    </w:p>
    <w:p w14:paraId="00C89E36">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在质保期内，排除故障不得超过</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个工作日。否则，甲方有权指定第三方进行维护，</w:t>
      </w:r>
      <w:r>
        <w:rPr>
          <w:rFonts w:hint="eastAsia" w:ascii="宋体" w:hAnsi="宋体" w:eastAsia="宋体" w:cs="宋体"/>
          <w:color w:val="auto"/>
          <w:sz w:val="24"/>
          <w:szCs w:val="24"/>
          <w:lang w:val="en-US" w:eastAsia="zh-CN"/>
        </w:rPr>
        <w:t>由此产生的相应</w:t>
      </w:r>
      <w:r>
        <w:rPr>
          <w:rFonts w:hint="eastAsia" w:ascii="宋体" w:hAnsi="宋体" w:eastAsia="宋体" w:cs="宋体"/>
          <w:color w:val="auto"/>
          <w:sz w:val="24"/>
          <w:szCs w:val="24"/>
        </w:rPr>
        <w:t>费用由乙方承担。</w:t>
      </w:r>
    </w:p>
    <w:p w14:paraId="12B00243">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十、违约责任</w:t>
      </w:r>
      <w:r>
        <w:rPr>
          <w:rFonts w:hint="eastAsia" w:ascii="宋体" w:hAnsi="宋体" w:eastAsia="宋体" w:cs="宋体"/>
          <w:b/>
          <w:color w:val="auto"/>
          <w:sz w:val="24"/>
          <w:szCs w:val="24"/>
          <w:lang w:eastAsia="zh-CN"/>
        </w:rPr>
        <w:t>：</w:t>
      </w:r>
    </w:p>
    <w:p w14:paraId="674850F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1.</w:t>
      </w:r>
      <w:r>
        <w:rPr>
          <w:rFonts w:hint="eastAsia" w:ascii="宋体" w:hAnsi="宋体" w:eastAsia="宋体" w:cs="宋体"/>
          <w:color w:val="auto"/>
          <w:sz w:val="24"/>
          <w:szCs w:val="24"/>
          <w:lang w:val="en-US" w:eastAsia="zh-CN"/>
        </w:rPr>
        <w:t>甲、乙双方均应按照合同的约定履行合同义务，否则，应按照本合同</w:t>
      </w:r>
      <w:r>
        <w:rPr>
          <w:rFonts w:hint="eastAsia" w:ascii="宋体" w:hAnsi="宋体" w:eastAsia="宋体" w:cs="宋体"/>
          <w:color w:val="auto"/>
          <w:sz w:val="24"/>
          <w:szCs w:val="24"/>
        </w:rPr>
        <w:t>中的相关</w:t>
      </w:r>
      <w:r>
        <w:rPr>
          <w:rFonts w:hint="eastAsia" w:ascii="宋体" w:hAnsi="宋体" w:eastAsia="宋体" w:cs="宋体"/>
          <w:color w:val="auto"/>
          <w:sz w:val="24"/>
          <w:szCs w:val="24"/>
          <w:lang w:val="en-US" w:eastAsia="zh-CN"/>
        </w:rPr>
        <w:t>违约</w:t>
      </w:r>
      <w:r>
        <w:rPr>
          <w:rFonts w:hint="eastAsia" w:ascii="宋体" w:hAnsi="宋体" w:eastAsia="宋体" w:cs="宋体"/>
          <w:color w:val="auto"/>
          <w:sz w:val="24"/>
          <w:szCs w:val="24"/>
        </w:rPr>
        <w:t>条款</w:t>
      </w:r>
      <w:r>
        <w:rPr>
          <w:rFonts w:hint="eastAsia" w:ascii="宋体" w:hAnsi="宋体" w:eastAsia="宋体" w:cs="宋体"/>
          <w:color w:val="auto"/>
          <w:sz w:val="24"/>
          <w:szCs w:val="24"/>
          <w:lang w:val="en-US" w:eastAsia="zh-CN"/>
        </w:rPr>
        <w:t>承担违约责任，本合同中未约定相关违约条款的，</w:t>
      </w:r>
      <w:r>
        <w:rPr>
          <w:rFonts w:hint="eastAsia" w:ascii="宋体" w:hAnsi="宋体" w:eastAsia="宋体" w:cs="宋体"/>
          <w:color w:val="auto"/>
          <w:sz w:val="24"/>
          <w:szCs w:val="24"/>
        </w:rPr>
        <w:t>按《中华人民共和国民法典》</w:t>
      </w:r>
      <w:r>
        <w:rPr>
          <w:rFonts w:hint="eastAsia" w:ascii="宋体" w:hAnsi="宋体" w:eastAsia="宋体" w:cs="宋体"/>
          <w:color w:val="auto"/>
          <w:sz w:val="24"/>
          <w:szCs w:val="24"/>
          <w:lang w:val="en-US" w:eastAsia="zh-CN"/>
        </w:rPr>
        <w:t>的相关规定执行</w:t>
      </w:r>
      <w:r>
        <w:rPr>
          <w:rFonts w:hint="eastAsia" w:ascii="宋体" w:hAnsi="宋体" w:eastAsia="宋体" w:cs="宋体"/>
          <w:color w:val="auto"/>
          <w:sz w:val="24"/>
          <w:szCs w:val="24"/>
        </w:rPr>
        <w:t>。</w:t>
      </w:r>
    </w:p>
    <w:p w14:paraId="68AC59AC">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lang w:val="en-US" w:eastAsia="zh-CN"/>
        </w:rPr>
        <w:t>乙方</w:t>
      </w:r>
      <w:r>
        <w:rPr>
          <w:rFonts w:hint="eastAsia" w:ascii="宋体" w:hAnsi="宋体" w:eastAsia="宋体" w:cs="宋体"/>
          <w:color w:val="auto"/>
          <w:sz w:val="24"/>
          <w:szCs w:val="24"/>
        </w:rPr>
        <w:t>交货期每超过一天，扣除乙方合同总价款的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迟延</w:t>
      </w:r>
      <w:r>
        <w:rPr>
          <w:rFonts w:hint="eastAsia" w:ascii="宋体" w:hAnsi="宋体" w:eastAsia="宋体" w:cs="宋体"/>
          <w:color w:val="auto"/>
          <w:sz w:val="24"/>
          <w:szCs w:val="24"/>
        </w:rPr>
        <w:t>交货超过30天，甲方有权</w:t>
      </w:r>
      <w:r>
        <w:rPr>
          <w:rFonts w:hint="eastAsia" w:ascii="宋体" w:hAnsi="宋体" w:eastAsia="宋体" w:cs="宋体"/>
          <w:color w:val="auto"/>
          <w:sz w:val="24"/>
          <w:szCs w:val="24"/>
          <w:lang w:val="en-US" w:eastAsia="zh-CN"/>
        </w:rPr>
        <w:t>解除本合同并拒收</w:t>
      </w:r>
      <w:r>
        <w:rPr>
          <w:rFonts w:hint="eastAsia" w:ascii="宋体" w:hAnsi="宋体" w:eastAsia="宋体" w:cs="宋体"/>
          <w:color w:val="auto"/>
          <w:sz w:val="24"/>
          <w:szCs w:val="24"/>
        </w:rPr>
        <w:t>货物。</w:t>
      </w:r>
    </w:p>
    <w:p w14:paraId="6D98001F">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rPr>
        <w:t>乙方保证所有设备及其技术资料不会侵犯任何第三方的权利，如有发生，乙方在承担全部责任和对第三方的赔偿外，以</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倍的合同总价额赔偿给甲方</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若该赔偿款不足以弥补甲方的全部损失的，乙方还应对不足部分进行赔偿。</w:t>
      </w:r>
    </w:p>
    <w:p w14:paraId="59FAD3AF">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十一、合同争议解决的方式</w:t>
      </w:r>
      <w:r>
        <w:rPr>
          <w:rFonts w:hint="eastAsia" w:ascii="宋体" w:hAnsi="宋体" w:eastAsia="宋体" w:cs="宋体"/>
          <w:b/>
          <w:color w:val="auto"/>
          <w:sz w:val="24"/>
          <w:szCs w:val="24"/>
          <w:lang w:eastAsia="zh-CN"/>
        </w:rPr>
        <w:t>：</w:t>
      </w:r>
    </w:p>
    <w:p w14:paraId="7110B6D0">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本合同在履行过程中如发生争议，由甲、乙双方协商解决；经协商无法解决的可依法向</w:t>
      </w:r>
      <w:r>
        <w:rPr>
          <w:rFonts w:hint="eastAsia" w:ascii="宋体" w:hAnsi="宋体" w:eastAsia="宋体" w:cs="宋体"/>
          <w:color w:val="auto"/>
          <w:sz w:val="24"/>
          <w:szCs w:val="24"/>
          <w:lang w:val="en-US" w:eastAsia="zh-CN"/>
        </w:rPr>
        <w:t>甲方所在地</w:t>
      </w:r>
      <w:r>
        <w:rPr>
          <w:rFonts w:hint="eastAsia" w:ascii="宋体" w:hAnsi="宋体" w:cs="宋体"/>
          <w:color w:val="auto"/>
          <w:sz w:val="24"/>
          <w:szCs w:val="24"/>
          <w:lang w:val="en-US" w:eastAsia="zh-CN"/>
        </w:rPr>
        <w:t>人民法院起诉</w:t>
      </w:r>
      <w:r>
        <w:rPr>
          <w:rFonts w:hint="eastAsia" w:ascii="宋体" w:hAnsi="宋体" w:eastAsia="宋体" w:cs="宋体"/>
          <w:color w:val="auto"/>
          <w:sz w:val="24"/>
          <w:szCs w:val="24"/>
          <w:lang w:val="en-US" w:eastAsia="zh-CN"/>
        </w:rPr>
        <w:t>。</w:t>
      </w:r>
    </w:p>
    <w:p w14:paraId="210D1F65">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十二、合同生效</w:t>
      </w:r>
      <w:r>
        <w:rPr>
          <w:rFonts w:hint="eastAsia" w:ascii="宋体" w:hAnsi="宋体" w:eastAsia="宋体" w:cs="宋体"/>
          <w:b/>
          <w:color w:val="auto"/>
          <w:sz w:val="24"/>
          <w:szCs w:val="24"/>
          <w:lang w:eastAsia="zh-CN"/>
        </w:rPr>
        <w:t>：</w:t>
      </w:r>
    </w:p>
    <w:p w14:paraId="2462DCAE">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本合同一式</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份（甲方</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份、乙方</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份），经</w:t>
      </w:r>
      <w:r>
        <w:rPr>
          <w:rFonts w:hint="eastAsia" w:ascii="宋体" w:hAnsi="宋体" w:eastAsia="宋体" w:cs="宋体"/>
          <w:color w:val="auto"/>
          <w:sz w:val="24"/>
          <w:szCs w:val="24"/>
          <w:lang w:val="en-US" w:eastAsia="zh-CN"/>
        </w:rPr>
        <w:t>甲、乙</w:t>
      </w:r>
      <w:r>
        <w:rPr>
          <w:rFonts w:hint="eastAsia" w:ascii="宋体" w:hAnsi="宋体" w:eastAsia="宋体" w:cs="宋体"/>
          <w:color w:val="auto"/>
          <w:sz w:val="24"/>
          <w:szCs w:val="24"/>
        </w:rPr>
        <w:t>双方</w:t>
      </w:r>
      <w:r>
        <w:rPr>
          <w:rFonts w:hint="eastAsia" w:ascii="宋体" w:hAnsi="宋体" w:eastAsia="宋体" w:cs="宋体"/>
          <w:color w:val="auto"/>
          <w:sz w:val="24"/>
          <w:szCs w:val="24"/>
          <w:lang w:val="en-US" w:eastAsia="zh-CN"/>
        </w:rPr>
        <w:t>法定代表人或负责人</w:t>
      </w:r>
      <w:r>
        <w:rPr>
          <w:rFonts w:hint="eastAsia" w:ascii="宋体" w:hAnsi="宋体" w:eastAsia="宋体" w:cs="宋体"/>
          <w:color w:val="auto"/>
          <w:sz w:val="24"/>
          <w:szCs w:val="24"/>
        </w:rPr>
        <w:t>签字盖章后生效。</w:t>
      </w:r>
    </w:p>
    <w:p w14:paraId="5F8B3D29">
      <w:pPr>
        <w:keepNext w:val="0"/>
        <w:keepLines w:val="0"/>
        <w:pageBreakBefore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十三、其他事项</w:t>
      </w:r>
      <w:r>
        <w:rPr>
          <w:rFonts w:hint="eastAsia" w:ascii="宋体" w:hAnsi="宋体" w:eastAsia="宋体" w:cs="宋体"/>
          <w:b/>
          <w:color w:val="auto"/>
          <w:sz w:val="24"/>
          <w:szCs w:val="24"/>
          <w:lang w:eastAsia="zh-CN"/>
        </w:rPr>
        <w:t>：</w:t>
      </w:r>
    </w:p>
    <w:p w14:paraId="05384EC4">
      <w:pPr>
        <w:keepNext w:val="0"/>
        <w:keepLines w:val="0"/>
        <w:pageBreakBefore w:val="0"/>
        <w:kinsoku/>
        <w:wordWrap/>
        <w:overflowPunct/>
        <w:topLinePunct w:val="0"/>
        <w:autoSpaceDE/>
        <w:autoSpaceDN/>
        <w:bidi w:val="0"/>
        <w:adjustRightInd w:val="0"/>
        <w:snapToGrid w:val="0"/>
        <w:spacing w:line="360" w:lineRule="auto"/>
        <w:ind w:firstLine="480" w:firstLineChars="200"/>
        <w:jc w:val="left"/>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合同未尽事宜，由甲</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乙双方</w:t>
      </w:r>
      <w:r>
        <w:rPr>
          <w:rFonts w:hint="eastAsia" w:ascii="宋体" w:hAnsi="宋体" w:eastAsia="宋体" w:cs="宋体"/>
          <w:color w:val="auto"/>
          <w:sz w:val="24"/>
          <w:szCs w:val="24"/>
          <w:lang w:val="en-US" w:eastAsia="zh-CN"/>
        </w:rPr>
        <w:t>另行</w:t>
      </w:r>
      <w:r>
        <w:rPr>
          <w:rFonts w:hint="eastAsia" w:ascii="宋体" w:hAnsi="宋体" w:eastAsia="宋体" w:cs="宋体"/>
          <w:color w:val="auto"/>
          <w:sz w:val="24"/>
          <w:szCs w:val="24"/>
        </w:rPr>
        <w:t>协商，变更增加补充合同，与原合同具有同等法律效力。</w:t>
      </w:r>
    </w:p>
    <w:p w14:paraId="4B02FEBB">
      <w:pPr>
        <w:keepNext w:val="0"/>
        <w:keepLines w:val="0"/>
        <w:pageBreakBefore w:val="0"/>
        <w:kinsoku/>
        <w:wordWrap/>
        <w:overflowPunct/>
        <w:topLinePunct w:val="0"/>
        <w:autoSpaceDE/>
        <w:autoSpaceDN/>
        <w:bidi w:val="0"/>
        <w:adjustRightInd w:val="0"/>
        <w:snapToGrid w:val="0"/>
        <w:spacing w:line="360" w:lineRule="auto"/>
        <w:ind w:firstLine="480" w:firstLineChars="200"/>
        <w:jc w:val="both"/>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合同一经签订，不得擅自变更、终止。确需调整的，应按</w:t>
      </w:r>
      <w:r>
        <w:rPr>
          <w:rFonts w:hint="eastAsia" w:ascii="宋体" w:hAnsi="宋体" w:eastAsia="宋体" w:cs="宋体"/>
          <w:color w:val="auto"/>
          <w:sz w:val="24"/>
          <w:szCs w:val="24"/>
          <w:lang w:val="en-US" w:eastAsia="zh-CN"/>
        </w:rPr>
        <w:t>约</w:t>
      </w:r>
      <w:r>
        <w:rPr>
          <w:rFonts w:hint="eastAsia" w:ascii="宋体" w:hAnsi="宋体" w:eastAsia="宋体" w:cs="宋体"/>
          <w:color w:val="auto"/>
          <w:sz w:val="24"/>
          <w:szCs w:val="24"/>
        </w:rPr>
        <w:t>定履行相应的手续。</w:t>
      </w:r>
    </w:p>
    <w:p w14:paraId="46F449CD">
      <w:pPr>
        <w:spacing w:line="420" w:lineRule="exact"/>
        <w:jc w:val="left"/>
        <w:rPr>
          <w:rFonts w:hint="eastAsia" w:ascii="宋体" w:hAnsi="宋体" w:eastAsia="宋体" w:cs="宋体"/>
          <w:color w:val="auto"/>
          <w:sz w:val="24"/>
          <w:szCs w:val="24"/>
        </w:rPr>
      </w:pPr>
    </w:p>
    <w:p w14:paraId="76E11A0D">
      <w:pPr>
        <w:spacing w:line="360" w:lineRule="auto"/>
        <w:ind w:left="960" w:hanging="960" w:hangingChars="400"/>
        <w:rPr>
          <w:rFonts w:hint="eastAsia" w:ascii="宋体" w:hAnsi="宋体" w:eastAsia="宋体" w:cs="宋体"/>
          <w:color w:val="auto"/>
          <w:sz w:val="24"/>
          <w:szCs w:val="24"/>
        </w:rPr>
      </w:pPr>
      <w:r>
        <w:rPr>
          <w:rFonts w:hint="eastAsia" w:ascii="宋体" w:hAnsi="宋体" w:eastAsia="宋体" w:cs="宋体"/>
          <w:color w:val="auto"/>
          <w:sz w:val="24"/>
          <w:szCs w:val="24"/>
        </w:rPr>
        <w:t xml:space="preserve">甲   方（签章）：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    乙   方（签章）：</w:t>
      </w:r>
    </w:p>
    <w:p w14:paraId="04166445">
      <w:pPr>
        <w:spacing w:line="360" w:lineRule="auto"/>
        <w:ind w:left="960" w:hanging="960" w:hangingChars="400"/>
        <w:rPr>
          <w:rFonts w:hint="eastAsia" w:ascii="宋体" w:hAnsi="宋体" w:eastAsia="宋体" w:cs="宋体"/>
          <w:color w:val="auto"/>
          <w:sz w:val="24"/>
          <w:szCs w:val="24"/>
        </w:rPr>
      </w:pPr>
    </w:p>
    <w:p w14:paraId="443F088C">
      <w:pPr>
        <w:spacing w:line="360" w:lineRule="auto"/>
        <w:ind w:left="960" w:hanging="960" w:hangingChars="400"/>
        <w:rPr>
          <w:rFonts w:hint="eastAsia" w:ascii="宋体" w:hAnsi="宋体" w:eastAsia="宋体" w:cs="宋体"/>
          <w:color w:val="auto"/>
          <w:sz w:val="24"/>
          <w:szCs w:val="24"/>
        </w:rPr>
      </w:pPr>
      <w:r>
        <w:rPr>
          <w:rFonts w:hint="eastAsia" w:ascii="宋体" w:hAnsi="宋体" w:eastAsia="宋体" w:cs="宋体"/>
          <w:color w:val="auto"/>
          <w:sz w:val="24"/>
          <w:szCs w:val="24"/>
        </w:rPr>
        <w:t xml:space="preserve">法 定 代 表 人：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 定 代 表 人：</w:t>
      </w:r>
    </w:p>
    <w:p w14:paraId="19B1EA1E">
      <w:pPr>
        <w:spacing w:line="360" w:lineRule="auto"/>
        <w:rPr>
          <w:rFonts w:hint="eastAsia" w:ascii="宋体" w:hAnsi="宋体" w:eastAsia="宋体" w:cs="宋体"/>
          <w:color w:val="auto"/>
          <w:sz w:val="24"/>
          <w:szCs w:val="24"/>
        </w:rPr>
      </w:pPr>
    </w:p>
    <w:p w14:paraId="7168C49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 托 代 理 人：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委 托 代 理 人：              </w:t>
      </w:r>
    </w:p>
    <w:p w14:paraId="63A758A1">
      <w:pPr>
        <w:spacing w:line="360" w:lineRule="auto"/>
        <w:rPr>
          <w:rFonts w:hint="eastAsia" w:ascii="宋体" w:hAnsi="宋体" w:eastAsia="宋体" w:cs="宋体"/>
          <w:color w:val="auto"/>
          <w:sz w:val="24"/>
          <w:szCs w:val="24"/>
        </w:rPr>
      </w:pPr>
    </w:p>
    <w:p w14:paraId="759A692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签订日期：   年  月  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签订日期：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年  月  日</w:t>
      </w:r>
    </w:p>
    <w:p w14:paraId="1B69B032">
      <w:pPr>
        <w:spacing w:before="145" w:line="219" w:lineRule="auto"/>
        <w:ind w:left="27"/>
        <w:rPr>
          <w:rFonts w:hint="eastAsia" w:ascii="宋体" w:hAnsi="宋体" w:eastAsia="宋体" w:cs="宋体"/>
          <w:color w:val="auto"/>
          <w:spacing w:val="-14"/>
          <w:sz w:val="24"/>
          <w:szCs w:val="24"/>
        </w:rPr>
      </w:pPr>
    </w:p>
    <w:p w14:paraId="37FF6F64">
      <w:pPr>
        <w:pStyle w:val="2"/>
        <w:bidi w:val="0"/>
        <w:jc w:val="center"/>
        <w:rPr>
          <w:rFonts w:hint="eastAsia" w:ascii="宋体" w:hAnsi="宋体" w:eastAsia="宋体" w:cs="宋体"/>
          <w:b/>
          <w:color w:val="auto"/>
          <w:sz w:val="36"/>
          <w:szCs w:val="20"/>
          <w:highlight w:val="none"/>
        </w:rPr>
      </w:pPr>
      <w:r>
        <w:rPr>
          <w:rFonts w:hint="eastAsia" w:ascii="宋体" w:hAnsi="宋体" w:eastAsia="宋体" w:cs="宋体"/>
          <w:b/>
          <w:color w:val="auto"/>
          <w:sz w:val="36"/>
          <w:szCs w:val="20"/>
          <w:highlight w:val="none"/>
        </w:rPr>
        <w:t>第</w:t>
      </w:r>
      <w:r>
        <w:rPr>
          <w:rFonts w:hint="eastAsia" w:ascii="宋体" w:hAnsi="宋体" w:eastAsia="宋体" w:cs="宋体"/>
          <w:b/>
          <w:color w:val="auto"/>
          <w:sz w:val="36"/>
          <w:szCs w:val="20"/>
          <w:highlight w:val="none"/>
          <w:lang w:val="en-US" w:eastAsia="zh-CN"/>
        </w:rPr>
        <w:t>六</w:t>
      </w:r>
      <w:r>
        <w:rPr>
          <w:rFonts w:hint="eastAsia" w:ascii="宋体" w:hAnsi="宋体" w:eastAsia="宋体" w:cs="宋体"/>
          <w:b/>
          <w:color w:val="auto"/>
          <w:sz w:val="36"/>
          <w:szCs w:val="20"/>
          <w:highlight w:val="none"/>
        </w:rPr>
        <w:t>部分  投标文件格式</w:t>
      </w:r>
    </w:p>
    <w:p w14:paraId="098D0146">
      <w:pPr>
        <w:adjustRightInd w:val="0"/>
        <w:snapToGrid w:val="0"/>
        <w:spacing w:line="360" w:lineRule="auto"/>
        <w:jc w:val="both"/>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项目编号</w:t>
      </w:r>
      <w:r>
        <w:rPr>
          <w:rFonts w:hint="eastAsia" w:ascii="宋体" w:hAnsi="宋体" w:eastAsia="宋体" w:cs="宋体"/>
          <w:b/>
          <w:color w:val="auto"/>
          <w:sz w:val="30"/>
          <w:szCs w:val="30"/>
          <w:highlight w:val="none"/>
          <w:lang w:eastAsia="zh-CN"/>
        </w:rPr>
        <w:t>：HHZY-2026-10</w:t>
      </w:r>
      <w:r>
        <w:rPr>
          <w:rFonts w:hint="eastAsia" w:ascii="宋体" w:hAnsi="宋体" w:eastAsia="宋体" w:cs="宋体"/>
          <w:b/>
          <w:color w:val="auto"/>
          <w:sz w:val="30"/>
          <w:szCs w:val="30"/>
          <w:highlight w:val="none"/>
          <w:lang w:val="en-US" w:eastAsia="zh-CN"/>
        </w:rPr>
        <w:t xml:space="preserve">                          </w:t>
      </w:r>
      <w:r>
        <w:rPr>
          <w:rFonts w:hint="eastAsia" w:ascii="宋体" w:hAnsi="宋体" w:eastAsia="宋体" w:cs="宋体"/>
          <w:b/>
          <w:bCs/>
          <w:color w:val="auto"/>
          <w:sz w:val="30"/>
          <w:szCs w:val="30"/>
          <w:highlight w:val="none"/>
          <w:lang w:val="zh-CN"/>
        </w:rPr>
        <w:t>电子投标文件</w:t>
      </w:r>
    </w:p>
    <w:p w14:paraId="0876BD6F">
      <w:pPr>
        <w:spacing w:line="360" w:lineRule="auto"/>
        <w:jc w:val="both"/>
        <w:rPr>
          <w:rFonts w:hint="eastAsia" w:ascii="宋体" w:hAnsi="宋体" w:eastAsia="宋体" w:cs="宋体"/>
          <w:b/>
          <w:color w:val="auto"/>
          <w:sz w:val="52"/>
          <w:szCs w:val="52"/>
          <w:highlight w:val="none"/>
        </w:rPr>
      </w:pPr>
    </w:p>
    <w:p w14:paraId="7BE6B901">
      <w:pPr>
        <w:adjustRightInd w:val="0"/>
        <w:snapToGrid w:val="0"/>
        <w:spacing w:line="360" w:lineRule="auto"/>
        <w:jc w:val="center"/>
        <w:rPr>
          <w:rFonts w:hint="eastAsia" w:ascii="宋体" w:hAnsi="宋体" w:eastAsia="宋体" w:cs="宋体"/>
          <w:b/>
          <w:color w:val="auto"/>
          <w:sz w:val="52"/>
          <w:szCs w:val="52"/>
          <w:highlight w:val="none"/>
          <w:lang w:val="en-US"/>
        </w:rPr>
      </w:pPr>
      <w:r>
        <w:rPr>
          <w:rFonts w:hint="eastAsia" w:ascii="宋体" w:hAnsi="宋体" w:eastAsia="宋体" w:cs="宋体"/>
          <w:b/>
          <w:color w:val="auto"/>
          <w:sz w:val="52"/>
          <w:szCs w:val="52"/>
          <w:highlight w:val="none"/>
          <w:lang w:val="en-US" w:eastAsia="zh-CN"/>
        </w:rPr>
        <w:t>重症医学科专科服务能力提升项目设备</w:t>
      </w:r>
    </w:p>
    <w:p w14:paraId="1A4D7700">
      <w:pPr>
        <w:pStyle w:val="8"/>
        <w:rPr>
          <w:rFonts w:hint="eastAsia" w:ascii="宋体" w:hAnsi="宋体" w:eastAsia="宋体" w:cs="宋体"/>
          <w:b/>
          <w:color w:val="auto"/>
          <w:sz w:val="56"/>
          <w:szCs w:val="56"/>
          <w:highlight w:val="none"/>
        </w:rPr>
      </w:pPr>
    </w:p>
    <w:p w14:paraId="6C997F04">
      <w:pPr>
        <w:rPr>
          <w:rFonts w:hint="eastAsia" w:ascii="宋体" w:hAnsi="宋体" w:eastAsia="宋体" w:cs="宋体"/>
          <w:color w:val="auto"/>
          <w:highlight w:val="none"/>
        </w:rPr>
      </w:pPr>
    </w:p>
    <w:p w14:paraId="62033A68">
      <w:pPr>
        <w:adjustRightInd w:val="0"/>
        <w:snapToGrid w:val="0"/>
        <w:spacing w:line="360" w:lineRule="auto"/>
        <w:jc w:val="center"/>
        <w:rPr>
          <w:rFonts w:hint="eastAsia" w:ascii="宋体" w:hAnsi="宋体" w:eastAsia="宋体" w:cs="宋体"/>
          <w:b/>
          <w:color w:val="auto"/>
          <w:sz w:val="56"/>
          <w:szCs w:val="56"/>
          <w:highlight w:val="none"/>
        </w:rPr>
      </w:pPr>
      <w:r>
        <w:rPr>
          <w:rFonts w:hint="eastAsia" w:ascii="宋体" w:hAnsi="宋体" w:eastAsia="宋体" w:cs="宋体"/>
          <w:b/>
          <w:color w:val="auto"/>
          <w:sz w:val="56"/>
          <w:szCs w:val="56"/>
          <w:highlight w:val="none"/>
        </w:rPr>
        <w:t>投标文件</w:t>
      </w:r>
    </w:p>
    <w:p w14:paraId="768AF854">
      <w:pPr>
        <w:pStyle w:val="8"/>
        <w:rPr>
          <w:rFonts w:hint="eastAsia" w:ascii="宋体" w:hAnsi="宋体" w:eastAsia="宋体" w:cs="宋体"/>
          <w:color w:val="auto"/>
          <w:highlight w:val="none"/>
        </w:rPr>
      </w:pPr>
    </w:p>
    <w:p w14:paraId="188F622E">
      <w:pPr>
        <w:pStyle w:val="8"/>
        <w:rPr>
          <w:rFonts w:hint="eastAsia" w:ascii="宋体" w:hAnsi="宋体" w:eastAsia="宋体" w:cs="宋体"/>
          <w:color w:val="auto"/>
          <w:highlight w:val="none"/>
        </w:rPr>
      </w:pPr>
    </w:p>
    <w:p w14:paraId="3606C014">
      <w:pPr>
        <w:pStyle w:val="8"/>
        <w:rPr>
          <w:rFonts w:hint="eastAsia" w:ascii="宋体" w:hAnsi="宋体" w:eastAsia="宋体" w:cs="宋体"/>
          <w:color w:val="auto"/>
          <w:highlight w:val="none"/>
        </w:rPr>
      </w:pPr>
    </w:p>
    <w:p w14:paraId="0CB7C79C">
      <w:pPr>
        <w:pStyle w:val="8"/>
        <w:rPr>
          <w:rFonts w:hint="eastAsia" w:ascii="宋体" w:hAnsi="宋体" w:eastAsia="宋体" w:cs="宋体"/>
          <w:color w:val="auto"/>
          <w:highlight w:val="none"/>
        </w:rPr>
      </w:pPr>
    </w:p>
    <w:p w14:paraId="24522636">
      <w:pPr>
        <w:pStyle w:val="8"/>
        <w:rPr>
          <w:rFonts w:hint="eastAsia" w:ascii="宋体" w:hAnsi="宋体" w:eastAsia="宋体" w:cs="宋体"/>
          <w:color w:val="auto"/>
          <w:highlight w:val="none"/>
        </w:rPr>
      </w:pPr>
    </w:p>
    <w:p w14:paraId="61E6EB39">
      <w:pPr>
        <w:pStyle w:val="8"/>
        <w:rPr>
          <w:rFonts w:hint="eastAsia" w:ascii="宋体" w:hAnsi="宋体" w:eastAsia="宋体" w:cs="宋体"/>
          <w:color w:val="auto"/>
          <w:highlight w:val="none"/>
        </w:rPr>
      </w:pPr>
    </w:p>
    <w:p w14:paraId="502A7ED0">
      <w:pPr>
        <w:pStyle w:val="8"/>
        <w:rPr>
          <w:rFonts w:hint="eastAsia" w:ascii="宋体" w:hAnsi="宋体" w:eastAsia="宋体" w:cs="宋体"/>
          <w:color w:val="auto"/>
          <w:highlight w:val="none"/>
        </w:rPr>
      </w:pPr>
    </w:p>
    <w:p w14:paraId="791817FF">
      <w:pPr>
        <w:pStyle w:val="8"/>
        <w:rPr>
          <w:rFonts w:hint="eastAsia" w:ascii="宋体" w:hAnsi="宋体" w:eastAsia="宋体" w:cs="宋体"/>
          <w:color w:val="auto"/>
          <w:highlight w:val="none"/>
        </w:rPr>
      </w:pPr>
    </w:p>
    <w:p w14:paraId="78B5CB40">
      <w:pPr>
        <w:pStyle w:val="8"/>
        <w:rPr>
          <w:rFonts w:hint="eastAsia" w:ascii="宋体" w:hAnsi="宋体" w:eastAsia="宋体" w:cs="宋体"/>
          <w:color w:val="auto"/>
          <w:highlight w:val="none"/>
        </w:rPr>
      </w:pPr>
    </w:p>
    <w:p w14:paraId="1717135B">
      <w:pPr>
        <w:pStyle w:val="8"/>
        <w:rPr>
          <w:rFonts w:hint="eastAsia" w:ascii="宋体" w:hAnsi="宋体" w:eastAsia="宋体" w:cs="宋体"/>
          <w:color w:val="auto"/>
          <w:highlight w:val="none"/>
        </w:rPr>
      </w:pPr>
    </w:p>
    <w:p w14:paraId="3106B300">
      <w:pPr>
        <w:pStyle w:val="8"/>
        <w:rPr>
          <w:rFonts w:hint="eastAsia" w:ascii="宋体" w:hAnsi="宋体" w:eastAsia="宋体" w:cs="宋体"/>
          <w:color w:val="auto"/>
          <w:highlight w:val="none"/>
        </w:rPr>
      </w:pPr>
    </w:p>
    <w:p w14:paraId="493600FD">
      <w:pPr>
        <w:pStyle w:val="8"/>
        <w:rPr>
          <w:rFonts w:hint="eastAsia" w:ascii="宋体" w:hAnsi="宋体" w:eastAsia="宋体" w:cs="宋体"/>
          <w:color w:val="auto"/>
          <w:highlight w:val="none"/>
        </w:rPr>
      </w:pPr>
    </w:p>
    <w:p w14:paraId="3881F7C1">
      <w:pPr>
        <w:pStyle w:val="8"/>
        <w:rPr>
          <w:rFonts w:hint="eastAsia" w:ascii="宋体" w:hAnsi="宋体" w:eastAsia="宋体" w:cs="宋体"/>
          <w:color w:val="auto"/>
          <w:highlight w:val="none"/>
        </w:rPr>
      </w:pPr>
    </w:p>
    <w:p w14:paraId="4ECC6C33">
      <w:pPr>
        <w:spacing w:line="360" w:lineRule="auto"/>
        <w:rPr>
          <w:rFonts w:hint="eastAsia" w:ascii="宋体" w:hAnsi="宋体" w:eastAsia="宋体" w:cs="宋体"/>
          <w:color w:val="auto"/>
          <w:highlight w:val="none"/>
        </w:rPr>
      </w:pPr>
    </w:p>
    <w:p w14:paraId="48DD1382">
      <w:pPr>
        <w:adjustRightInd w:val="0"/>
        <w:snapToGrid w:val="0"/>
        <w:spacing w:line="360" w:lineRule="auto"/>
        <w:ind w:firstLine="643" w:firstLineChars="200"/>
        <w:rPr>
          <w:rFonts w:hint="eastAsia" w:ascii="宋体" w:hAnsi="宋体" w:eastAsia="宋体" w:cs="宋体"/>
          <w:color w:val="auto"/>
          <w:sz w:val="32"/>
          <w:szCs w:val="32"/>
          <w:highlight w:val="none"/>
          <w:u w:val="single"/>
        </w:rPr>
      </w:pPr>
      <w:r>
        <w:rPr>
          <w:rFonts w:hint="eastAsia" w:ascii="宋体" w:hAnsi="宋体" w:eastAsia="宋体" w:cs="宋体"/>
          <w:b/>
          <w:bCs/>
          <w:color w:val="auto"/>
          <w:sz w:val="32"/>
          <w:szCs w:val="32"/>
          <w:highlight w:val="none"/>
        </w:rPr>
        <w:t>投 标 人</w:t>
      </w:r>
      <w:r>
        <w:rPr>
          <w:rFonts w:hint="eastAsia" w:ascii="宋体" w:hAnsi="宋体" w:eastAsia="宋体" w:cs="宋体"/>
          <w:b/>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（盖章）    </w:t>
      </w:r>
    </w:p>
    <w:p w14:paraId="1C022D1E">
      <w:pPr>
        <w:adjustRightInd w:val="0"/>
        <w:snapToGrid w:val="0"/>
        <w:spacing w:line="360" w:lineRule="auto"/>
        <w:ind w:firstLine="643" w:firstLineChars="200"/>
        <w:rPr>
          <w:rFonts w:hint="eastAsia" w:ascii="宋体" w:hAnsi="宋体" w:eastAsia="宋体" w:cs="宋体"/>
          <w:color w:val="auto"/>
          <w:sz w:val="32"/>
          <w:szCs w:val="32"/>
          <w:highlight w:val="none"/>
          <w:u w:val="single"/>
        </w:rPr>
      </w:pPr>
      <w:r>
        <w:rPr>
          <w:rFonts w:hint="eastAsia" w:ascii="宋体" w:hAnsi="宋体" w:eastAsia="宋体" w:cs="宋体"/>
          <w:b/>
          <w:bCs/>
          <w:color w:val="auto"/>
          <w:sz w:val="32"/>
          <w:szCs w:val="32"/>
          <w:highlight w:val="none"/>
        </w:rPr>
        <w:t>法人或授权代表</w:t>
      </w:r>
      <w:r>
        <w:rPr>
          <w:rFonts w:hint="eastAsia" w:ascii="宋体" w:hAnsi="宋体" w:eastAsia="宋体" w:cs="宋体"/>
          <w:b/>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（签字或盖章） </w:t>
      </w:r>
    </w:p>
    <w:p w14:paraId="5965CFD6">
      <w:pPr>
        <w:adjustRightInd w:val="0"/>
        <w:snapToGrid w:val="0"/>
        <w:spacing w:line="360" w:lineRule="auto"/>
        <w:ind w:firstLine="643" w:firstLineChars="200"/>
        <w:rPr>
          <w:rFonts w:hint="eastAsia" w:ascii="宋体" w:hAnsi="宋体" w:eastAsia="宋体" w:cs="宋体"/>
          <w:color w:val="auto"/>
          <w:sz w:val="32"/>
          <w:szCs w:val="32"/>
          <w:highlight w:val="none"/>
          <w:u w:val="single"/>
        </w:rPr>
      </w:pPr>
      <w:r>
        <w:rPr>
          <w:rFonts w:hint="eastAsia" w:ascii="宋体" w:hAnsi="宋体" w:eastAsia="宋体" w:cs="宋体"/>
          <w:b/>
          <w:color w:val="auto"/>
          <w:sz w:val="32"/>
          <w:szCs w:val="32"/>
          <w:highlight w:val="none"/>
        </w:rPr>
        <w:t>时    间</w:t>
      </w:r>
      <w:r>
        <w:rPr>
          <w:rFonts w:hint="eastAsia" w:ascii="宋体" w:hAnsi="宋体" w:eastAsia="宋体" w:cs="宋体"/>
          <w:color w:val="auto"/>
          <w:sz w:val="32"/>
          <w:szCs w:val="32"/>
          <w:highlight w:val="none"/>
        </w:rPr>
        <w:t>：</w:t>
      </w:r>
      <w:r>
        <w:rPr>
          <w:rFonts w:hint="eastAsia" w:ascii="宋体" w:hAnsi="宋体" w:eastAsia="宋体" w:cs="宋体"/>
          <w:color w:val="auto"/>
          <w:sz w:val="32"/>
          <w:szCs w:val="32"/>
          <w:highlight w:val="none"/>
          <w:u w:val="single"/>
        </w:rPr>
        <w:t xml:space="preserve">                     </w:t>
      </w: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 xml:space="preserve">       </w:t>
      </w:r>
    </w:p>
    <w:p w14:paraId="12DDB79F">
      <w:pP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br w:type="page"/>
      </w:r>
    </w:p>
    <w:p w14:paraId="6A793A88">
      <w:pPr>
        <w:spacing w:line="360" w:lineRule="auto"/>
        <w:jc w:val="center"/>
        <w:rPr>
          <w:rFonts w:hint="eastAsia" w:ascii="宋体" w:hAnsi="宋体" w:eastAsia="宋体" w:cs="宋体"/>
          <w:b/>
          <w:color w:val="auto"/>
          <w:sz w:val="48"/>
          <w:szCs w:val="48"/>
          <w:highlight w:val="none"/>
        </w:rPr>
      </w:pPr>
      <w:r>
        <w:rPr>
          <w:rFonts w:hint="eastAsia" w:ascii="宋体" w:hAnsi="宋体" w:eastAsia="宋体" w:cs="宋体"/>
          <w:b/>
          <w:color w:val="auto"/>
          <w:sz w:val="48"/>
          <w:szCs w:val="48"/>
          <w:highlight w:val="none"/>
        </w:rPr>
        <w:t>目   录</w:t>
      </w:r>
    </w:p>
    <w:p w14:paraId="777A12E6">
      <w:pPr>
        <w:pStyle w:val="30"/>
        <w:spacing w:line="360" w:lineRule="auto"/>
        <w:ind w:firstLine="964"/>
        <w:rPr>
          <w:rFonts w:hint="eastAsia" w:ascii="宋体" w:hAnsi="宋体" w:eastAsia="宋体" w:cs="宋体"/>
          <w:b/>
          <w:color w:val="auto"/>
          <w:sz w:val="48"/>
          <w:szCs w:val="48"/>
          <w:highlight w:val="none"/>
        </w:rPr>
      </w:pPr>
    </w:p>
    <w:p w14:paraId="30CCBAFA">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一、投标响应函</w:t>
      </w:r>
    </w:p>
    <w:p w14:paraId="204BA6B5">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二、</w:t>
      </w:r>
      <w:r>
        <w:rPr>
          <w:rFonts w:hint="eastAsia" w:ascii="宋体" w:hAnsi="宋体" w:eastAsia="宋体" w:cs="宋体"/>
          <w:b/>
          <w:color w:val="auto"/>
          <w:sz w:val="30"/>
          <w:szCs w:val="30"/>
          <w:highlight w:val="none"/>
          <w:lang w:val="en-US" w:eastAsia="zh-CN"/>
        </w:rPr>
        <w:t>开标一览表</w:t>
      </w:r>
    </w:p>
    <w:p w14:paraId="3CCD554F">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三、资格证明文件 </w:t>
      </w:r>
    </w:p>
    <w:p w14:paraId="1E099480">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四、供应商概况</w:t>
      </w:r>
    </w:p>
    <w:p w14:paraId="520F349A">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五、</w:t>
      </w:r>
      <w:r>
        <w:rPr>
          <w:rFonts w:hint="eastAsia" w:ascii="宋体" w:hAnsi="宋体" w:eastAsia="宋体" w:cs="宋体"/>
          <w:b/>
          <w:color w:val="auto"/>
          <w:sz w:val="30"/>
          <w:szCs w:val="30"/>
          <w:highlight w:val="none"/>
        </w:rPr>
        <w:t>招标文件确认书</w:t>
      </w:r>
    </w:p>
    <w:p w14:paraId="54731605">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六</w:t>
      </w:r>
      <w:r>
        <w:rPr>
          <w:rFonts w:hint="eastAsia" w:ascii="宋体" w:hAnsi="宋体" w:eastAsia="宋体" w:cs="宋体"/>
          <w:b/>
          <w:color w:val="auto"/>
          <w:sz w:val="30"/>
          <w:szCs w:val="30"/>
          <w:highlight w:val="none"/>
        </w:rPr>
        <w:t>、技术</w:t>
      </w:r>
      <w:r>
        <w:rPr>
          <w:rFonts w:hint="eastAsia" w:ascii="宋体" w:hAnsi="宋体" w:cs="宋体"/>
          <w:b/>
          <w:color w:val="auto"/>
          <w:sz w:val="30"/>
          <w:szCs w:val="30"/>
          <w:highlight w:val="none"/>
          <w:lang w:val="en-US" w:eastAsia="zh-CN"/>
        </w:rPr>
        <w:t>指标</w:t>
      </w:r>
      <w:r>
        <w:rPr>
          <w:rFonts w:hint="eastAsia" w:ascii="宋体" w:hAnsi="宋体" w:eastAsia="宋体" w:cs="宋体"/>
          <w:b/>
          <w:color w:val="auto"/>
          <w:sz w:val="30"/>
          <w:szCs w:val="30"/>
          <w:highlight w:val="none"/>
        </w:rPr>
        <w:t>响应偏离表</w:t>
      </w:r>
    </w:p>
    <w:p w14:paraId="7FD483AD">
      <w:pPr>
        <w:spacing w:line="360" w:lineRule="auto"/>
        <w:ind w:leftChars="900"/>
        <w:rPr>
          <w:rFonts w:hint="eastAsia" w:ascii="宋体" w:hAnsi="宋体" w:eastAsia="宋体" w:cs="宋体"/>
          <w:b/>
          <w:bCs/>
          <w:color w:val="auto"/>
          <w:sz w:val="30"/>
          <w:szCs w:val="30"/>
          <w:highlight w:val="none"/>
        </w:rPr>
      </w:pPr>
      <w:r>
        <w:rPr>
          <w:rFonts w:hint="eastAsia" w:ascii="宋体" w:hAnsi="宋体" w:eastAsia="宋体" w:cs="宋体"/>
          <w:b/>
          <w:color w:val="auto"/>
          <w:sz w:val="30"/>
          <w:szCs w:val="30"/>
          <w:highlight w:val="none"/>
          <w:lang w:val="en-US" w:eastAsia="zh-CN"/>
        </w:rPr>
        <w:t>七</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en-US" w:eastAsia="zh-CN"/>
        </w:rPr>
        <w:t>商务条款偏离表</w:t>
      </w:r>
    </w:p>
    <w:p w14:paraId="214379CB">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八</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en-US" w:eastAsia="zh-CN"/>
        </w:rPr>
        <w:t>投标</w:t>
      </w:r>
      <w:r>
        <w:rPr>
          <w:rFonts w:hint="eastAsia" w:ascii="宋体" w:hAnsi="宋体" w:eastAsia="宋体" w:cs="宋体"/>
          <w:b/>
          <w:color w:val="auto"/>
          <w:sz w:val="30"/>
          <w:szCs w:val="30"/>
          <w:highlight w:val="none"/>
        </w:rPr>
        <w:t>方案</w:t>
      </w:r>
    </w:p>
    <w:p w14:paraId="2A268307">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九</w:t>
      </w:r>
      <w:r>
        <w:rPr>
          <w:rFonts w:hint="eastAsia" w:ascii="宋体" w:hAnsi="宋体" w:eastAsia="宋体" w:cs="宋体"/>
          <w:b/>
          <w:color w:val="auto"/>
          <w:sz w:val="30"/>
          <w:szCs w:val="30"/>
          <w:highlight w:val="none"/>
        </w:rPr>
        <w:t>、</w:t>
      </w:r>
      <w:r>
        <w:rPr>
          <w:rFonts w:hint="eastAsia" w:ascii="宋体" w:hAnsi="宋体" w:eastAsia="宋体" w:cs="宋体"/>
          <w:b/>
          <w:color w:val="auto"/>
          <w:sz w:val="30"/>
          <w:szCs w:val="30"/>
          <w:highlight w:val="none"/>
          <w:lang w:val="en-US" w:eastAsia="zh-CN"/>
        </w:rPr>
        <w:t>拟投入项目人员情况表</w:t>
      </w:r>
    </w:p>
    <w:p w14:paraId="7AB44959">
      <w:pPr>
        <w:spacing w:line="360" w:lineRule="auto"/>
        <w:ind w:leftChars="900"/>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十、类似项目业绩表</w:t>
      </w:r>
    </w:p>
    <w:p w14:paraId="6CC3D681">
      <w:pPr>
        <w:spacing w:line="360" w:lineRule="auto"/>
        <w:ind w:leftChars="9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十一、</w:t>
      </w:r>
      <w:r>
        <w:rPr>
          <w:rFonts w:hint="eastAsia" w:ascii="宋体" w:hAnsi="宋体" w:eastAsia="宋体" w:cs="宋体"/>
          <w:b/>
          <w:color w:val="auto"/>
          <w:sz w:val="30"/>
          <w:szCs w:val="30"/>
          <w:highlight w:val="none"/>
        </w:rPr>
        <w:t>供应商拒绝政府采购领域商业贿赂承诺</w:t>
      </w:r>
    </w:p>
    <w:p w14:paraId="7655402E">
      <w:pPr>
        <w:spacing w:line="360" w:lineRule="auto"/>
        <w:ind w:leftChars="900"/>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lang w:val="en-US" w:eastAsia="zh-CN"/>
        </w:rPr>
        <w:t>十二、其他证明资料</w:t>
      </w:r>
    </w:p>
    <w:p w14:paraId="66072723">
      <w:pPr>
        <w:spacing w:line="360" w:lineRule="auto"/>
        <w:ind w:leftChars="900"/>
        <w:rPr>
          <w:rFonts w:hint="eastAsia" w:ascii="宋体" w:hAnsi="宋体" w:eastAsia="宋体" w:cs="宋体"/>
          <w:b/>
          <w:color w:val="auto"/>
          <w:sz w:val="30"/>
          <w:szCs w:val="30"/>
          <w:highlight w:val="none"/>
          <w:lang w:val="en-US" w:eastAsia="zh-CN"/>
        </w:rPr>
      </w:pPr>
    </w:p>
    <w:p w14:paraId="7C12C9D8">
      <w:pPr>
        <w:autoSpaceDE w:val="0"/>
        <w:autoSpaceDN w:val="0"/>
        <w:adjustRightInd w:val="0"/>
        <w:snapToGrid w:val="0"/>
        <w:spacing w:line="360" w:lineRule="auto"/>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68C26644">
      <w:pP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r>
    </w:p>
    <w:p w14:paraId="04763669">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rPr>
      </w:pPr>
      <w:r>
        <w:rPr>
          <w:rFonts w:hint="eastAsia" w:ascii="宋体" w:hAnsi="宋体" w:eastAsia="宋体" w:cs="宋体"/>
          <w:color w:val="auto"/>
          <w:sz w:val="30"/>
          <w:szCs w:val="30"/>
        </w:rPr>
        <w:t>一、投标响应函</w:t>
      </w:r>
    </w:p>
    <w:p w14:paraId="37F5FCAA">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安康华昊智远项目管理有限公司</w:t>
      </w:r>
      <w:r>
        <w:rPr>
          <w:rFonts w:hint="eastAsia" w:ascii="宋体" w:hAnsi="宋体" w:eastAsia="宋体" w:cs="宋体"/>
          <w:color w:val="auto"/>
          <w:sz w:val="24"/>
          <w:szCs w:val="24"/>
          <w:highlight w:val="none"/>
        </w:rPr>
        <w:t>：</w:t>
      </w:r>
    </w:p>
    <w:p w14:paraId="689DFF40">
      <w:pPr>
        <w:spacing w:line="480" w:lineRule="exact"/>
        <w:ind w:firstLine="4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（采购</w:t>
      </w:r>
      <w:r>
        <w:rPr>
          <w:rFonts w:hint="eastAsia" w:ascii="宋体" w:hAnsi="宋体" w:eastAsia="宋体" w:cs="宋体"/>
          <w:color w:val="auto"/>
          <w:sz w:val="24"/>
          <w:szCs w:val="24"/>
          <w:highlight w:val="none"/>
          <w:u w:val="single"/>
          <w:lang w:val="en-US"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招标采购货物及服务的招标公告</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项目</w:t>
      </w:r>
      <w:r>
        <w:rPr>
          <w:rFonts w:hint="eastAsia" w:ascii="宋体" w:hAnsi="宋体" w:eastAsia="宋体" w:cs="宋体"/>
          <w:color w:val="auto"/>
          <w:sz w:val="24"/>
          <w:szCs w:val="24"/>
          <w:highlight w:val="none"/>
          <w:u w:val="single"/>
        </w:rPr>
        <w:t xml:space="preserve">编号） </w:t>
      </w:r>
      <w:r>
        <w:rPr>
          <w:rFonts w:hint="eastAsia" w:ascii="宋体" w:hAnsi="宋体" w:eastAsia="宋体" w:cs="宋体"/>
          <w:color w:val="auto"/>
          <w:sz w:val="24"/>
          <w:szCs w:val="24"/>
          <w:highlight w:val="none"/>
        </w:rPr>
        <w:t>，签字代表</w:t>
      </w:r>
      <w:r>
        <w:rPr>
          <w:rFonts w:hint="eastAsia" w:ascii="宋体" w:hAnsi="宋体" w:eastAsia="宋体" w:cs="宋体"/>
          <w:color w:val="auto"/>
          <w:sz w:val="24"/>
          <w:szCs w:val="24"/>
          <w:highlight w:val="none"/>
          <w:u w:val="single"/>
        </w:rPr>
        <w:t xml:space="preserve"> （姓名、职务） </w:t>
      </w:r>
      <w:r>
        <w:rPr>
          <w:rFonts w:hint="eastAsia" w:ascii="宋体" w:hAnsi="宋体" w:eastAsia="宋体" w:cs="宋体"/>
          <w:color w:val="auto"/>
          <w:sz w:val="24"/>
          <w:szCs w:val="24"/>
          <w:highlight w:val="none"/>
        </w:rPr>
        <w:t>经正式授权并代表投标人</w:t>
      </w:r>
      <w:r>
        <w:rPr>
          <w:rFonts w:hint="eastAsia" w:ascii="宋体" w:hAnsi="宋体" w:eastAsia="宋体" w:cs="宋体"/>
          <w:color w:val="auto"/>
          <w:sz w:val="24"/>
          <w:szCs w:val="24"/>
          <w:highlight w:val="none"/>
          <w:u w:val="single"/>
        </w:rPr>
        <w:t xml:space="preserve"> （投标人名称、地址）  </w:t>
      </w:r>
      <w:r>
        <w:rPr>
          <w:rFonts w:hint="eastAsia" w:ascii="宋体" w:hAnsi="宋体" w:eastAsia="宋体" w:cs="宋体"/>
          <w:color w:val="auto"/>
          <w:sz w:val="24"/>
          <w:szCs w:val="24"/>
          <w:highlight w:val="none"/>
        </w:rPr>
        <w:t>，提交电子投标文件一份。</w:t>
      </w:r>
    </w:p>
    <w:p w14:paraId="09C904E2">
      <w:pPr>
        <w:spacing w:line="480" w:lineRule="exact"/>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在此，签字代表宣布同意如下：</w:t>
      </w:r>
    </w:p>
    <w:p w14:paraId="388C13B2">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所附投标报价表中规定的应提交和交付的货物投标总价为</w:t>
      </w:r>
      <w:r>
        <w:rPr>
          <w:rFonts w:hint="eastAsia" w:ascii="宋体" w:hAnsi="宋体" w:eastAsia="宋体" w:cs="宋体"/>
          <w:color w:val="auto"/>
          <w:sz w:val="24"/>
          <w:szCs w:val="24"/>
          <w:highlight w:val="none"/>
          <w:u w:val="single"/>
        </w:rPr>
        <w:t>人民币金额数（同时用汉字大写和数字表示的投标总价）</w:t>
      </w:r>
      <w:r>
        <w:rPr>
          <w:rFonts w:hint="eastAsia" w:ascii="宋体" w:hAnsi="宋体" w:eastAsia="宋体" w:cs="宋体"/>
          <w:color w:val="auto"/>
          <w:sz w:val="24"/>
          <w:szCs w:val="24"/>
          <w:highlight w:val="none"/>
        </w:rPr>
        <w:t>。</w:t>
      </w:r>
    </w:p>
    <w:p w14:paraId="756B3388">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投标人将按招标文件的规定履行合同责任和义务。</w:t>
      </w:r>
    </w:p>
    <w:p w14:paraId="07ED5236">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投标人已详细审查全部招标文件。我们完全理解并同意放弃对这方面有不明及误解的权力。</w:t>
      </w:r>
    </w:p>
    <w:p w14:paraId="72918DA1">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4.</w:t>
      </w:r>
      <w:r>
        <w:rPr>
          <w:rFonts w:hint="eastAsia" w:ascii="宋体" w:hAnsi="宋体" w:eastAsia="宋体" w:cs="宋体"/>
          <w:color w:val="auto"/>
          <w:sz w:val="24"/>
          <w:szCs w:val="24"/>
          <w:highlight w:val="none"/>
        </w:rPr>
        <w:t>本投标有效期为自开标日起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个日历日（中标人的投标文件有效期延长与合同有效期一致）。</w:t>
      </w:r>
    </w:p>
    <w:p w14:paraId="0D3AE2F6">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5.</w:t>
      </w:r>
      <w:r>
        <w:rPr>
          <w:rFonts w:hint="eastAsia" w:ascii="宋体" w:hAnsi="宋体" w:eastAsia="宋体" w:cs="宋体"/>
          <w:color w:val="auto"/>
          <w:sz w:val="24"/>
          <w:szCs w:val="24"/>
          <w:highlight w:val="none"/>
        </w:rPr>
        <w:t>投标人完全理解并同意贵方在招标文件中的有关不予退还投标保证金和拒绝投标的条款。</w:t>
      </w:r>
    </w:p>
    <w:p w14:paraId="0E1C7167">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6.</w:t>
      </w:r>
      <w:r>
        <w:rPr>
          <w:rFonts w:hint="eastAsia" w:ascii="宋体" w:hAnsi="宋体" w:eastAsia="宋体" w:cs="宋体"/>
          <w:color w:val="auto"/>
          <w:sz w:val="24"/>
          <w:szCs w:val="24"/>
          <w:highlight w:val="none"/>
        </w:rPr>
        <w:t>投标人同意提供按照贵方可能要求的与其投标有关的一切数据或资料，完全理解贵方不一定接受最低投标报价的投标或收到的任何投标。</w:t>
      </w:r>
    </w:p>
    <w:p w14:paraId="38488C7A">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7.</w:t>
      </w:r>
      <w:r>
        <w:rPr>
          <w:rFonts w:hint="eastAsia" w:ascii="宋体" w:hAnsi="宋体" w:eastAsia="宋体" w:cs="宋体"/>
          <w:color w:val="auto"/>
          <w:sz w:val="24"/>
          <w:szCs w:val="24"/>
          <w:highlight w:val="none"/>
        </w:rPr>
        <w:t>若我方获得中标，我方保证按有关规定向贵方支付中标服务费。</w:t>
      </w:r>
    </w:p>
    <w:p w14:paraId="454E04A7">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8.</w:t>
      </w:r>
      <w:r>
        <w:rPr>
          <w:rFonts w:hint="eastAsia" w:ascii="宋体" w:hAnsi="宋体" w:eastAsia="宋体" w:cs="宋体"/>
          <w:color w:val="auto"/>
          <w:sz w:val="24"/>
          <w:szCs w:val="24"/>
          <w:highlight w:val="none"/>
        </w:rPr>
        <w:t>与本投标有关的一切正式往来信函请寄：</w:t>
      </w:r>
    </w:p>
    <w:p w14:paraId="34A028EC">
      <w:pPr>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投标人名称（公章）：</w:t>
      </w:r>
      <w:r>
        <w:rPr>
          <w:rFonts w:hint="eastAsia" w:ascii="宋体" w:hAnsi="宋体" w:eastAsia="宋体" w:cs="宋体"/>
          <w:color w:val="auto"/>
          <w:sz w:val="24"/>
          <w:szCs w:val="24"/>
          <w:highlight w:val="none"/>
          <w:u w:val="single"/>
        </w:rPr>
        <w:t xml:space="preserve">                                </w:t>
      </w:r>
    </w:p>
    <w:p w14:paraId="472ABD0B">
      <w:pPr>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详   细   地   址：</w:t>
      </w:r>
      <w:r>
        <w:rPr>
          <w:rFonts w:hint="eastAsia" w:ascii="宋体" w:hAnsi="宋体" w:eastAsia="宋体" w:cs="宋体"/>
          <w:color w:val="auto"/>
          <w:sz w:val="24"/>
          <w:szCs w:val="24"/>
          <w:highlight w:val="none"/>
          <w:u w:val="single"/>
        </w:rPr>
        <w:t xml:space="preserve">                                </w:t>
      </w:r>
    </w:p>
    <w:p w14:paraId="527E6A56">
      <w:pPr>
        <w:tabs>
          <w:tab w:val="left" w:pos="360"/>
        </w:tabs>
        <w:spacing w:line="480" w:lineRule="exact"/>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邮   政   编   码：</w:t>
      </w:r>
      <w:r>
        <w:rPr>
          <w:rFonts w:hint="eastAsia" w:ascii="宋体" w:hAnsi="宋体" w:eastAsia="宋体" w:cs="宋体"/>
          <w:color w:val="auto"/>
          <w:sz w:val="24"/>
          <w:szCs w:val="24"/>
          <w:highlight w:val="none"/>
          <w:u w:val="single"/>
        </w:rPr>
        <w:t xml:space="preserve">                                </w:t>
      </w:r>
    </w:p>
    <w:p w14:paraId="037982EA">
      <w:pPr>
        <w:autoSpaceDE w:val="0"/>
        <w:autoSpaceDN w:val="0"/>
        <w:adjustRightInd w:val="0"/>
        <w:spacing w:line="480" w:lineRule="exact"/>
        <w:ind w:firstLine="480" w:firstLineChars="200"/>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电             话：</w:t>
      </w:r>
      <w:r>
        <w:rPr>
          <w:rFonts w:hint="eastAsia" w:ascii="宋体" w:hAnsi="宋体" w:eastAsia="宋体" w:cs="宋体"/>
          <w:color w:val="auto"/>
          <w:sz w:val="24"/>
          <w:szCs w:val="24"/>
          <w:highlight w:val="none"/>
          <w:u w:val="single"/>
          <w:lang w:val="zh-CN"/>
        </w:rPr>
        <w:t xml:space="preserve">                                </w:t>
      </w:r>
    </w:p>
    <w:p w14:paraId="08E5F03D">
      <w:pPr>
        <w:autoSpaceDE w:val="0"/>
        <w:autoSpaceDN w:val="0"/>
        <w:adjustRightInd w:val="0"/>
        <w:spacing w:line="480" w:lineRule="exact"/>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传             真：</w:t>
      </w:r>
      <w:r>
        <w:rPr>
          <w:rFonts w:hint="eastAsia" w:ascii="宋体" w:hAnsi="宋体" w:eastAsia="宋体" w:cs="宋体"/>
          <w:color w:val="auto"/>
          <w:sz w:val="24"/>
          <w:szCs w:val="24"/>
          <w:highlight w:val="none"/>
          <w:u w:val="single"/>
          <w:lang w:val="zh-CN"/>
        </w:rPr>
        <w:t xml:space="preserve">                                </w:t>
      </w:r>
    </w:p>
    <w:p w14:paraId="4C85E217">
      <w:pPr>
        <w:tabs>
          <w:tab w:val="left" w:pos="360"/>
        </w:tabs>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子 邮 件 地 址：</w:t>
      </w:r>
      <w:r>
        <w:rPr>
          <w:rFonts w:hint="eastAsia" w:ascii="宋体" w:hAnsi="宋体" w:eastAsia="宋体" w:cs="宋体"/>
          <w:color w:val="auto"/>
          <w:sz w:val="24"/>
          <w:szCs w:val="24"/>
          <w:highlight w:val="none"/>
          <w:u w:val="single"/>
        </w:rPr>
        <w:t xml:space="preserve">                                </w:t>
      </w:r>
    </w:p>
    <w:p w14:paraId="792421E7">
      <w:pPr>
        <w:autoSpaceDE w:val="0"/>
        <w:autoSpaceDN w:val="0"/>
        <w:adjustRightInd w:val="0"/>
        <w:spacing w:line="480" w:lineRule="exact"/>
        <w:ind w:firstLine="480" w:firstLineChars="200"/>
        <w:rPr>
          <w:rFonts w:hint="eastAsia" w:ascii="宋体" w:hAnsi="宋体" w:eastAsia="宋体" w:cs="宋体"/>
          <w:color w:val="auto"/>
          <w:sz w:val="24"/>
          <w:szCs w:val="24"/>
          <w:highlight w:val="none"/>
          <w:u w:val="single"/>
          <w:lang w:val="zh-CN"/>
        </w:rPr>
      </w:pPr>
      <w:r>
        <w:rPr>
          <w:rFonts w:hint="eastAsia" w:ascii="宋体" w:hAnsi="宋体" w:eastAsia="宋体" w:cs="宋体"/>
          <w:color w:val="auto"/>
          <w:sz w:val="24"/>
          <w:szCs w:val="24"/>
          <w:highlight w:val="none"/>
          <w:lang w:val="zh-CN"/>
        </w:rPr>
        <w:t>开   户   银   行：</w:t>
      </w:r>
      <w:r>
        <w:rPr>
          <w:rFonts w:hint="eastAsia" w:ascii="宋体" w:hAnsi="宋体" w:eastAsia="宋体" w:cs="宋体"/>
          <w:color w:val="auto"/>
          <w:sz w:val="24"/>
          <w:szCs w:val="24"/>
          <w:highlight w:val="none"/>
          <w:u w:val="single"/>
          <w:lang w:val="zh-CN"/>
        </w:rPr>
        <w:t xml:space="preserve">                                </w:t>
      </w:r>
    </w:p>
    <w:p w14:paraId="67679833">
      <w:pPr>
        <w:autoSpaceDE w:val="0"/>
        <w:autoSpaceDN w:val="0"/>
        <w:adjustRightInd w:val="0"/>
        <w:spacing w:line="480" w:lineRule="exact"/>
        <w:ind w:firstLine="480" w:firstLineChars="20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账</w:t>
      </w:r>
      <w:r>
        <w:rPr>
          <w:rFonts w:hint="eastAsia" w:ascii="宋体" w:hAnsi="宋体" w:eastAsia="宋体" w:cs="宋体"/>
          <w:color w:val="auto"/>
          <w:sz w:val="24"/>
          <w:szCs w:val="24"/>
          <w:highlight w:val="none"/>
          <w:lang w:val="zh-CN"/>
        </w:rPr>
        <w:t xml:space="preserve">             号：</w:t>
      </w:r>
      <w:r>
        <w:rPr>
          <w:rFonts w:hint="eastAsia" w:ascii="宋体" w:hAnsi="宋体" w:eastAsia="宋体" w:cs="宋体"/>
          <w:color w:val="auto"/>
          <w:sz w:val="24"/>
          <w:szCs w:val="24"/>
          <w:highlight w:val="none"/>
          <w:u w:val="single"/>
          <w:lang w:val="zh-CN"/>
        </w:rPr>
        <w:t xml:space="preserve">                                </w:t>
      </w:r>
    </w:p>
    <w:p w14:paraId="5F65AC39">
      <w:pPr>
        <w:autoSpaceDE w:val="0"/>
        <w:autoSpaceDN w:val="0"/>
        <w:adjustRightInd w:val="0"/>
        <w:spacing w:line="480" w:lineRule="exact"/>
        <w:ind w:right="480" w:firstLine="480" w:firstLineChars="200"/>
        <w:jc w:val="right"/>
        <w:rPr>
          <w:rFonts w:hint="eastAsia" w:ascii="宋体" w:hAnsi="宋体" w:eastAsia="宋体" w:cs="宋体"/>
          <w:color w:val="auto"/>
          <w:sz w:val="28"/>
          <w:szCs w:val="28"/>
          <w:highlight w:val="none"/>
          <w:u w:val="single"/>
          <w:lang w:val="zh-CN"/>
        </w:rPr>
      </w:pP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年    月    日</w:t>
      </w:r>
    </w:p>
    <w:p w14:paraId="5DEF761F">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二、开标一览表</w:t>
      </w:r>
    </w:p>
    <w:p w14:paraId="6C914B07">
      <w:pPr>
        <w:widowControl/>
        <w:spacing w:line="360" w:lineRule="auto"/>
        <w:jc w:val="center"/>
        <w:outlineLvl w:val="9"/>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（一）开标一览表</w:t>
      </w:r>
    </w:p>
    <w:p w14:paraId="37C9723E">
      <w:pPr>
        <w:widowControl/>
        <w:spacing w:line="360" w:lineRule="auto"/>
        <w:jc w:val="both"/>
        <w:outlineLvl w:val="9"/>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lang w:val="en-US" w:eastAsia="zh-CN"/>
        </w:rPr>
        <w:t>项目编号</w:t>
      </w:r>
      <w:r>
        <w:rPr>
          <w:rFonts w:hint="eastAsia" w:ascii="宋体" w:hAnsi="宋体" w:eastAsia="宋体" w:cs="宋体"/>
          <w:bCs/>
          <w:color w:val="auto"/>
          <w:kern w:val="0"/>
          <w:sz w:val="24"/>
          <w:szCs w:val="24"/>
          <w:highlight w:val="none"/>
          <w:lang w:eastAsia="zh-CN"/>
        </w:rPr>
        <w:t>：HHZY-2026-10</w:t>
      </w:r>
    </w:p>
    <w:tbl>
      <w:tblPr>
        <w:tblStyle w:val="15"/>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65"/>
        <w:gridCol w:w="2428"/>
        <w:gridCol w:w="2538"/>
        <w:gridCol w:w="1477"/>
      </w:tblGrid>
      <w:tr w14:paraId="42DF8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2865" w:type="dxa"/>
            <w:vAlign w:val="center"/>
          </w:tcPr>
          <w:p w14:paraId="75B3BD88">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项目名称</w:t>
            </w:r>
          </w:p>
        </w:tc>
        <w:tc>
          <w:tcPr>
            <w:tcW w:w="2428" w:type="dxa"/>
            <w:vAlign w:val="center"/>
          </w:tcPr>
          <w:p w14:paraId="35A0CEB7">
            <w:pPr>
              <w:spacing w:line="360" w:lineRule="auto"/>
              <w:jc w:val="center"/>
              <w:rPr>
                <w:rFonts w:hint="eastAsia" w:ascii="宋体" w:hAnsi="宋体" w:eastAsia="宋体" w:cs="宋体"/>
                <w:color w:val="auto"/>
                <w:sz w:val="20"/>
                <w:szCs w:val="21"/>
                <w:highlight w:val="none"/>
              </w:rPr>
            </w:pPr>
            <w:r>
              <w:rPr>
                <w:rFonts w:hint="eastAsia" w:ascii="宋体" w:hAnsi="宋体" w:eastAsia="宋体" w:cs="宋体"/>
                <w:bCs/>
                <w:color w:val="auto"/>
                <w:sz w:val="24"/>
                <w:szCs w:val="24"/>
                <w:highlight w:val="none"/>
              </w:rPr>
              <w:t>投标报价（元）</w:t>
            </w:r>
          </w:p>
        </w:tc>
        <w:tc>
          <w:tcPr>
            <w:tcW w:w="2538" w:type="dxa"/>
            <w:vAlign w:val="center"/>
          </w:tcPr>
          <w:p w14:paraId="159D98CF">
            <w:pPr>
              <w:spacing w:line="360" w:lineRule="auto"/>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交货期</w:t>
            </w:r>
          </w:p>
        </w:tc>
        <w:tc>
          <w:tcPr>
            <w:tcW w:w="1477" w:type="dxa"/>
            <w:vAlign w:val="center"/>
          </w:tcPr>
          <w:p w14:paraId="1FFDC1CF">
            <w:pPr>
              <w:spacing w:line="360" w:lineRule="auto"/>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  注</w:t>
            </w:r>
          </w:p>
        </w:tc>
      </w:tr>
      <w:tr w14:paraId="59428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7" w:hRule="atLeast"/>
          <w:jc w:val="center"/>
        </w:trPr>
        <w:tc>
          <w:tcPr>
            <w:tcW w:w="2865" w:type="dxa"/>
            <w:vAlign w:val="center"/>
          </w:tcPr>
          <w:p w14:paraId="59FA3A99">
            <w:pPr>
              <w:spacing w:line="480" w:lineRule="exact"/>
              <w:jc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重症医学科专科服务能力提升项目设备</w:t>
            </w:r>
          </w:p>
        </w:tc>
        <w:tc>
          <w:tcPr>
            <w:tcW w:w="2428" w:type="dxa"/>
            <w:vAlign w:val="center"/>
          </w:tcPr>
          <w:p w14:paraId="3B0FAF1D">
            <w:pPr>
              <w:spacing w:line="360" w:lineRule="auto"/>
              <w:jc w:val="center"/>
              <w:rPr>
                <w:rFonts w:hint="eastAsia" w:ascii="宋体" w:hAnsi="宋体" w:eastAsia="宋体" w:cs="宋体"/>
                <w:bCs/>
                <w:color w:val="auto"/>
                <w:sz w:val="24"/>
                <w:szCs w:val="24"/>
                <w:highlight w:val="none"/>
              </w:rPr>
            </w:pPr>
          </w:p>
        </w:tc>
        <w:tc>
          <w:tcPr>
            <w:tcW w:w="2538" w:type="dxa"/>
            <w:vAlign w:val="center"/>
          </w:tcPr>
          <w:p w14:paraId="6221197A">
            <w:pPr>
              <w:spacing w:line="360" w:lineRule="auto"/>
              <w:jc w:val="center"/>
              <w:rPr>
                <w:rFonts w:hint="eastAsia" w:ascii="宋体" w:hAnsi="宋体" w:eastAsia="宋体" w:cs="宋体"/>
                <w:bCs/>
                <w:color w:val="auto"/>
                <w:sz w:val="24"/>
                <w:szCs w:val="24"/>
                <w:highlight w:val="none"/>
              </w:rPr>
            </w:pPr>
          </w:p>
        </w:tc>
        <w:tc>
          <w:tcPr>
            <w:tcW w:w="1477" w:type="dxa"/>
            <w:vAlign w:val="center"/>
          </w:tcPr>
          <w:p w14:paraId="6E1318BB">
            <w:pPr>
              <w:spacing w:line="360" w:lineRule="auto"/>
              <w:jc w:val="center"/>
              <w:rPr>
                <w:rFonts w:hint="eastAsia" w:ascii="宋体" w:hAnsi="宋体" w:eastAsia="宋体" w:cs="宋体"/>
                <w:bCs/>
                <w:color w:val="auto"/>
                <w:sz w:val="24"/>
                <w:szCs w:val="24"/>
                <w:highlight w:val="none"/>
              </w:rPr>
            </w:pPr>
          </w:p>
        </w:tc>
      </w:tr>
      <w:tr w14:paraId="3461B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2865" w:type="dxa"/>
            <w:vAlign w:val="center"/>
          </w:tcPr>
          <w:p w14:paraId="78E68836">
            <w:pPr>
              <w:spacing w:line="560" w:lineRule="exact"/>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投标报价（大写）</w:t>
            </w:r>
          </w:p>
        </w:tc>
        <w:tc>
          <w:tcPr>
            <w:tcW w:w="6443" w:type="dxa"/>
            <w:gridSpan w:val="3"/>
            <w:vAlign w:val="center"/>
          </w:tcPr>
          <w:p w14:paraId="5261A487">
            <w:pPr>
              <w:spacing w:line="560" w:lineRule="exact"/>
              <w:jc w:val="center"/>
              <w:rPr>
                <w:rFonts w:hint="eastAsia" w:ascii="宋体" w:hAnsi="宋体" w:eastAsia="宋体" w:cs="宋体"/>
                <w:bCs/>
                <w:color w:val="auto"/>
                <w:sz w:val="24"/>
                <w:szCs w:val="24"/>
                <w:highlight w:val="none"/>
              </w:rPr>
            </w:pPr>
          </w:p>
        </w:tc>
      </w:tr>
    </w:tbl>
    <w:p w14:paraId="22A5EC30">
      <w:pPr>
        <w:pStyle w:val="8"/>
        <w:spacing w:line="360" w:lineRule="auto"/>
        <w:rPr>
          <w:rFonts w:hint="eastAsia" w:ascii="宋体" w:hAnsi="宋体" w:eastAsia="宋体" w:cs="宋体"/>
          <w:color w:val="auto"/>
          <w:sz w:val="16"/>
          <w:szCs w:val="16"/>
          <w:highlight w:val="none"/>
          <w:lang w:val="en-US"/>
        </w:rPr>
      </w:pPr>
      <w:r>
        <w:rPr>
          <w:rFonts w:hint="eastAsia" w:ascii="宋体" w:hAnsi="宋体" w:eastAsia="宋体" w:cs="宋体"/>
          <w:color w:val="auto"/>
          <w:sz w:val="24"/>
          <w:szCs w:val="24"/>
          <w:highlight w:val="none"/>
          <w:lang w:val="en-US"/>
        </w:rPr>
        <w:t xml:space="preserve">      </w:t>
      </w:r>
    </w:p>
    <w:p w14:paraId="1AC3872D">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表内报价内容以元为单位，保留小数点后两位。</w:t>
      </w:r>
    </w:p>
    <w:p w14:paraId="72B825D8">
      <w:pPr>
        <w:spacing w:line="360" w:lineRule="auto"/>
        <w:ind w:firstLine="240" w:firstLineChars="100"/>
        <w:rPr>
          <w:rFonts w:hint="eastAsia" w:ascii="宋体" w:hAnsi="宋体" w:eastAsia="宋体" w:cs="宋体"/>
          <w:color w:val="auto"/>
          <w:sz w:val="24"/>
          <w:szCs w:val="24"/>
          <w:highlight w:val="none"/>
        </w:rPr>
      </w:pPr>
    </w:p>
    <w:p w14:paraId="601CA280">
      <w:pPr>
        <w:spacing w:line="480" w:lineRule="auto"/>
        <w:ind w:firstLine="240" w:firstLineChars="100"/>
        <w:rPr>
          <w:rFonts w:hint="eastAsia" w:ascii="宋体" w:hAnsi="宋体" w:eastAsia="宋体" w:cs="宋体"/>
          <w:color w:val="auto"/>
          <w:kern w:val="0"/>
          <w:sz w:val="24"/>
          <w:szCs w:val="24"/>
          <w:highlight w:val="none"/>
          <w:u w:val="single"/>
          <w:lang w:val="en-US" w:eastAsia="zh-CN"/>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p>
    <w:p w14:paraId="50A9D81C">
      <w:pPr>
        <w:spacing w:line="480" w:lineRule="auto"/>
        <w:ind w:firstLine="240" w:firstLineChars="1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w:t>
      </w:r>
    </w:p>
    <w:p w14:paraId="6F9EF705">
      <w:pPr>
        <w:wordWrap w:val="0"/>
        <w:spacing w:line="480" w:lineRule="auto"/>
        <w:ind w:firstLine="240" w:firstLineChars="100"/>
        <w:jc w:val="both"/>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943194B">
      <w:pPr>
        <w:spacing w:line="360" w:lineRule="auto"/>
        <w:jc w:val="center"/>
        <w:rPr>
          <w:rFonts w:hint="eastAsia" w:ascii="宋体" w:hAnsi="宋体" w:eastAsia="宋体" w:cs="宋体"/>
          <w:b/>
          <w:color w:val="auto"/>
          <w:sz w:val="28"/>
          <w:szCs w:val="28"/>
          <w:highlight w:val="none"/>
        </w:rPr>
      </w:pPr>
    </w:p>
    <w:p w14:paraId="2FB310B9">
      <w:pPr>
        <w:pStyle w:val="9"/>
        <w:kinsoku w:val="0"/>
        <w:autoSpaceDE w:val="0"/>
        <w:autoSpaceDN w:val="0"/>
        <w:adjustRightInd w:val="0"/>
        <w:spacing w:line="500" w:lineRule="exact"/>
        <w:ind w:left="0" w:leftChars="0"/>
        <w:rPr>
          <w:rFonts w:hint="eastAsia" w:ascii="宋体" w:hAnsi="宋体" w:eastAsia="宋体" w:cs="宋体"/>
          <w:b/>
          <w:bCs/>
          <w:color w:val="auto"/>
          <w:sz w:val="28"/>
          <w:szCs w:val="28"/>
          <w:highlight w:val="none"/>
        </w:rPr>
      </w:pPr>
    </w:p>
    <w:p w14:paraId="497212BB">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14:paraId="73134C7E">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rPr>
          <w:rFonts w:hint="eastAsia" w:ascii="宋体" w:hAnsi="宋体" w:eastAsia="宋体" w:cs="宋体"/>
          <w:b/>
          <w:bCs/>
          <w:color w:val="auto"/>
          <w:sz w:val="32"/>
          <w:szCs w:val="32"/>
          <w:highlight w:val="none"/>
          <w:lang w:val="en-US" w:eastAsia="zh-CN"/>
        </w:rPr>
        <w:t>（二）分项报价表</w:t>
      </w:r>
    </w:p>
    <w:p w14:paraId="58F0B358">
      <w:pPr>
        <w:widowControl/>
        <w:spacing w:line="360" w:lineRule="auto"/>
        <w:jc w:val="left"/>
        <w:outlineLvl w:val="9"/>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项目</w:t>
      </w:r>
      <w:r>
        <w:rPr>
          <w:rFonts w:hint="eastAsia" w:ascii="宋体" w:hAnsi="宋体" w:eastAsia="宋体" w:cs="宋体"/>
          <w:bCs/>
          <w:color w:val="auto"/>
          <w:kern w:val="0"/>
          <w:sz w:val="24"/>
          <w:szCs w:val="24"/>
          <w:highlight w:val="none"/>
          <w:lang w:eastAsia="zh-CN"/>
        </w:rPr>
        <w:t>名称：</w:t>
      </w:r>
      <w:r>
        <w:rPr>
          <w:rFonts w:hint="eastAsia" w:ascii="宋体" w:hAnsi="宋体" w:eastAsia="宋体" w:cs="宋体"/>
          <w:bCs/>
          <w:color w:val="auto"/>
          <w:kern w:val="0"/>
          <w:sz w:val="24"/>
          <w:szCs w:val="24"/>
          <w:highlight w:val="none"/>
          <w:lang w:val="en-US" w:eastAsia="zh-CN"/>
        </w:rPr>
        <w:t xml:space="preserve">                                              项目编号</w:t>
      </w:r>
      <w:r>
        <w:rPr>
          <w:rFonts w:hint="eastAsia" w:ascii="宋体" w:hAnsi="宋体" w:eastAsia="宋体" w:cs="宋体"/>
          <w:bCs/>
          <w:color w:val="auto"/>
          <w:kern w:val="0"/>
          <w:sz w:val="24"/>
          <w:szCs w:val="24"/>
          <w:highlight w:val="none"/>
          <w:lang w:eastAsia="zh-CN"/>
        </w:rPr>
        <w:t>：</w:t>
      </w:r>
    </w:p>
    <w:tbl>
      <w:tblPr>
        <w:tblStyle w:val="28"/>
        <w:tblW w:w="95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351"/>
        <w:gridCol w:w="1368"/>
        <w:gridCol w:w="1796"/>
        <w:gridCol w:w="1273"/>
        <w:gridCol w:w="1332"/>
        <w:gridCol w:w="1728"/>
      </w:tblGrid>
      <w:tr w14:paraId="2AD1B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07" w:type="dxa"/>
            <w:vAlign w:val="center"/>
          </w:tcPr>
          <w:p w14:paraId="70A41353">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序号</w:t>
            </w:r>
          </w:p>
        </w:tc>
        <w:tc>
          <w:tcPr>
            <w:tcW w:w="1351" w:type="dxa"/>
            <w:vAlign w:val="center"/>
          </w:tcPr>
          <w:p w14:paraId="35F91BBA">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货物名称</w:t>
            </w:r>
          </w:p>
        </w:tc>
        <w:tc>
          <w:tcPr>
            <w:tcW w:w="1368" w:type="dxa"/>
            <w:tcBorders>
              <w:right w:val="single" w:color="auto" w:sz="4" w:space="0"/>
            </w:tcBorders>
            <w:vAlign w:val="center"/>
          </w:tcPr>
          <w:p w14:paraId="0619AA71">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品牌/型号</w:t>
            </w:r>
          </w:p>
        </w:tc>
        <w:tc>
          <w:tcPr>
            <w:tcW w:w="1796" w:type="dxa"/>
            <w:tcBorders>
              <w:left w:val="single" w:color="auto" w:sz="4" w:space="0"/>
            </w:tcBorders>
            <w:vAlign w:val="center"/>
          </w:tcPr>
          <w:p w14:paraId="1363401B">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数量</w:t>
            </w:r>
          </w:p>
        </w:tc>
        <w:tc>
          <w:tcPr>
            <w:tcW w:w="1273" w:type="dxa"/>
            <w:vAlign w:val="center"/>
          </w:tcPr>
          <w:p w14:paraId="4EBB3872">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单价（元）</w:t>
            </w:r>
          </w:p>
        </w:tc>
        <w:tc>
          <w:tcPr>
            <w:tcW w:w="1332" w:type="dxa"/>
            <w:vAlign w:val="center"/>
          </w:tcPr>
          <w:p w14:paraId="113079D9">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小计（元）</w:t>
            </w:r>
          </w:p>
        </w:tc>
        <w:tc>
          <w:tcPr>
            <w:tcW w:w="1728" w:type="dxa"/>
            <w:vAlign w:val="center"/>
          </w:tcPr>
          <w:p w14:paraId="758C5A0D">
            <w:pPr>
              <w:spacing w:before="72" w:line="238" w:lineRule="auto"/>
              <w:jc w:val="center"/>
              <w:rPr>
                <w:rFonts w:hint="eastAsia" w:ascii="宋体" w:hAnsi="宋体" w:eastAsia="宋体" w:cs="宋体"/>
                <w:color w:val="auto"/>
                <w:spacing w:val="15"/>
                <w:sz w:val="24"/>
                <w:szCs w:val="24"/>
                <w:highlight w:val="none"/>
                <w:lang w:val="en-US" w:eastAsia="zh-CN"/>
              </w:rPr>
            </w:pPr>
            <w:r>
              <w:rPr>
                <w:rFonts w:hint="eastAsia" w:ascii="宋体" w:hAnsi="宋体" w:eastAsia="宋体" w:cs="宋体"/>
                <w:color w:val="auto"/>
                <w:spacing w:val="15"/>
                <w:sz w:val="24"/>
                <w:szCs w:val="24"/>
                <w:highlight w:val="none"/>
                <w:lang w:val="en-US" w:eastAsia="zh-CN"/>
              </w:rPr>
              <w:t>备注</w:t>
            </w:r>
          </w:p>
        </w:tc>
      </w:tr>
      <w:tr w14:paraId="5A787B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07" w:type="dxa"/>
            <w:vAlign w:val="center"/>
          </w:tcPr>
          <w:p w14:paraId="56DCC4A9">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51" w:type="dxa"/>
            <w:vAlign w:val="center"/>
          </w:tcPr>
          <w:p w14:paraId="548FAD5D">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68" w:type="dxa"/>
            <w:tcBorders>
              <w:right w:val="single" w:color="auto" w:sz="4" w:space="0"/>
            </w:tcBorders>
            <w:vAlign w:val="center"/>
          </w:tcPr>
          <w:p w14:paraId="4C4481D5">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796" w:type="dxa"/>
            <w:tcBorders>
              <w:left w:val="single" w:color="auto" w:sz="4" w:space="0"/>
            </w:tcBorders>
            <w:vAlign w:val="center"/>
          </w:tcPr>
          <w:p w14:paraId="6E1A651A">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273" w:type="dxa"/>
            <w:vAlign w:val="center"/>
          </w:tcPr>
          <w:p w14:paraId="76C937B8">
            <w:pPr>
              <w:widowControl/>
              <w:jc w:val="center"/>
              <w:rPr>
                <w:rFonts w:hint="eastAsia" w:ascii="宋体" w:hAnsi="宋体" w:eastAsia="宋体" w:cs="宋体"/>
                <w:b/>
                <w:bCs/>
                <w:color w:val="auto"/>
                <w:kern w:val="0"/>
                <w:sz w:val="24"/>
                <w:szCs w:val="22"/>
                <w:lang w:val="en-US" w:eastAsia="zh-CN"/>
              </w:rPr>
            </w:pPr>
          </w:p>
        </w:tc>
        <w:tc>
          <w:tcPr>
            <w:tcW w:w="1332" w:type="dxa"/>
            <w:vAlign w:val="center"/>
          </w:tcPr>
          <w:p w14:paraId="13869653">
            <w:pPr>
              <w:widowControl/>
              <w:jc w:val="center"/>
              <w:rPr>
                <w:rFonts w:hint="eastAsia" w:ascii="宋体" w:hAnsi="宋体" w:eastAsia="宋体" w:cs="宋体"/>
                <w:b/>
                <w:bCs/>
                <w:color w:val="auto"/>
                <w:kern w:val="0"/>
                <w:sz w:val="24"/>
                <w:szCs w:val="22"/>
                <w:lang w:val="en-US" w:eastAsia="zh-CN"/>
              </w:rPr>
            </w:pPr>
          </w:p>
        </w:tc>
        <w:tc>
          <w:tcPr>
            <w:tcW w:w="1728" w:type="dxa"/>
            <w:vAlign w:val="center"/>
          </w:tcPr>
          <w:p w14:paraId="072C8D84">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7EAECE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07" w:type="dxa"/>
            <w:vAlign w:val="center"/>
          </w:tcPr>
          <w:p w14:paraId="20D97C8C">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51" w:type="dxa"/>
            <w:vAlign w:val="center"/>
          </w:tcPr>
          <w:p w14:paraId="616DF18D">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68" w:type="dxa"/>
            <w:tcBorders>
              <w:right w:val="single" w:color="auto" w:sz="4" w:space="0"/>
            </w:tcBorders>
            <w:vAlign w:val="center"/>
          </w:tcPr>
          <w:p w14:paraId="5E6301ED">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796" w:type="dxa"/>
            <w:tcBorders>
              <w:left w:val="single" w:color="auto" w:sz="4" w:space="0"/>
            </w:tcBorders>
            <w:vAlign w:val="center"/>
          </w:tcPr>
          <w:p w14:paraId="3A7D2431">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273" w:type="dxa"/>
            <w:vAlign w:val="center"/>
          </w:tcPr>
          <w:p w14:paraId="73D465AE">
            <w:pPr>
              <w:widowControl/>
              <w:jc w:val="center"/>
              <w:rPr>
                <w:rFonts w:hint="eastAsia" w:ascii="宋体" w:hAnsi="宋体" w:eastAsia="宋体" w:cs="宋体"/>
                <w:b/>
                <w:bCs/>
                <w:color w:val="auto"/>
                <w:kern w:val="0"/>
                <w:sz w:val="24"/>
                <w:szCs w:val="22"/>
                <w:lang w:val="en-US" w:eastAsia="zh-CN"/>
              </w:rPr>
            </w:pPr>
          </w:p>
        </w:tc>
        <w:tc>
          <w:tcPr>
            <w:tcW w:w="1332" w:type="dxa"/>
            <w:vAlign w:val="center"/>
          </w:tcPr>
          <w:p w14:paraId="00519423">
            <w:pPr>
              <w:widowControl/>
              <w:jc w:val="center"/>
              <w:rPr>
                <w:rFonts w:hint="eastAsia" w:ascii="宋体" w:hAnsi="宋体" w:eastAsia="宋体" w:cs="宋体"/>
                <w:b/>
                <w:bCs/>
                <w:color w:val="auto"/>
                <w:kern w:val="0"/>
                <w:sz w:val="24"/>
                <w:szCs w:val="22"/>
                <w:lang w:val="en-US" w:eastAsia="zh-CN"/>
              </w:rPr>
            </w:pPr>
          </w:p>
        </w:tc>
        <w:tc>
          <w:tcPr>
            <w:tcW w:w="1728" w:type="dxa"/>
            <w:vAlign w:val="center"/>
          </w:tcPr>
          <w:p w14:paraId="28EC53DF">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19A6D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07" w:type="dxa"/>
            <w:vAlign w:val="center"/>
          </w:tcPr>
          <w:p w14:paraId="038CC426">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51" w:type="dxa"/>
            <w:vAlign w:val="center"/>
          </w:tcPr>
          <w:p w14:paraId="3BE7DBC4">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68" w:type="dxa"/>
            <w:tcBorders>
              <w:right w:val="single" w:color="auto" w:sz="4" w:space="0"/>
            </w:tcBorders>
            <w:vAlign w:val="center"/>
          </w:tcPr>
          <w:p w14:paraId="02963913">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796" w:type="dxa"/>
            <w:tcBorders>
              <w:left w:val="single" w:color="auto" w:sz="4" w:space="0"/>
            </w:tcBorders>
            <w:vAlign w:val="center"/>
          </w:tcPr>
          <w:p w14:paraId="1E3B8469">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273" w:type="dxa"/>
            <w:vAlign w:val="center"/>
          </w:tcPr>
          <w:p w14:paraId="207DE15E">
            <w:pPr>
              <w:widowControl/>
              <w:jc w:val="center"/>
              <w:rPr>
                <w:rFonts w:hint="eastAsia" w:ascii="宋体" w:hAnsi="宋体" w:eastAsia="宋体" w:cs="宋体"/>
                <w:b/>
                <w:bCs/>
                <w:color w:val="auto"/>
                <w:kern w:val="0"/>
                <w:sz w:val="24"/>
                <w:szCs w:val="22"/>
                <w:lang w:val="en-US" w:eastAsia="zh-CN"/>
              </w:rPr>
            </w:pPr>
          </w:p>
        </w:tc>
        <w:tc>
          <w:tcPr>
            <w:tcW w:w="1332" w:type="dxa"/>
            <w:vAlign w:val="center"/>
          </w:tcPr>
          <w:p w14:paraId="5711BDD2">
            <w:pPr>
              <w:widowControl/>
              <w:jc w:val="center"/>
              <w:rPr>
                <w:rFonts w:hint="eastAsia" w:ascii="宋体" w:hAnsi="宋体" w:eastAsia="宋体" w:cs="宋体"/>
                <w:b/>
                <w:bCs/>
                <w:color w:val="auto"/>
                <w:kern w:val="0"/>
                <w:sz w:val="24"/>
                <w:szCs w:val="22"/>
                <w:lang w:val="en-US" w:eastAsia="zh-CN"/>
              </w:rPr>
            </w:pPr>
          </w:p>
        </w:tc>
        <w:tc>
          <w:tcPr>
            <w:tcW w:w="1728" w:type="dxa"/>
            <w:vAlign w:val="center"/>
          </w:tcPr>
          <w:p w14:paraId="105CF3DA">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4769FD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07" w:type="dxa"/>
            <w:vAlign w:val="center"/>
          </w:tcPr>
          <w:p w14:paraId="6FDAF2D4">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51" w:type="dxa"/>
            <w:vAlign w:val="center"/>
          </w:tcPr>
          <w:p w14:paraId="143D084D">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68" w:type="dxa"/>
            <w:tcBorders>
              <w:right w:val="single" w:color="auto" w:sz="4" w:space="0"/>
            </w:tcBorders>
            <w:vAlign w:val="center"/>
          </w:tcPr>
          <w:p w14:paraId="71117213">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796" w:type="dxa"/>
            <w:tcBorders>
              <w:left w:val="single" w:color="auto" w:sz="4" w:space="0"/>
            </w:tcBorders>
            <w:vAlign w:val="center"/>
          </w:tcPr>
          <w:p w14:paraId="631F02F1">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273" w:type="dxa"/>
            <w:vAlign w:val="center"/>
          </w:tcPr>
          <w:p w14:paraId="45ADD790">
            <w:pPr>
              <w:widowControl/>
              <w:jc w:val="center"/>
              <w:rPr>
                <w:rFonts w:hint="eastAsia" w:ascii="宋体" w:hAnsi="宋体" w:eastAsia="宋体" w:cs="宋体"/>
                <w:b/>
                <w:bCs/>
                <w:color w:val="auto"/>
                <w:kern w:val="0"/>
                <w:sz w:val="24"/>
                <w:szCs w:val="22"/>
                <w:lang w:val="en-US" w:eastAsia="zh-CN"/>
              </w:rPr>
            </w:pPr>
          </w:p>
        </w:tc>
        <w:tc>
          <w:tcPr>
            <w:tcW w:w="1332" w:type="dxa"/>
            <w:vAlign w:val="center"/>
          </w:tcPr>
          <w:p w14:paraId="16BD190E">
            <w:pPr>
              <w:widowControl/>
              <w:jc w:val="center"/>
              <w:rPr>
                <w:rFonts w:hint="eastAsia" w:ascii="宋体" w:hAnsi="宋体" w:eastAsia="宋体" w:cs="宋体"/>
                <w:b/>
                <w:bCs/>
                <w:color w:val="auto"/>
                <w:kern w:val="0"/>
                <w:sz w:val="24"/>
                <w:szCs w:val="22"/>
                <w:lang w:val="en-US" w:eastAsia="zh-CN"/>
              </w:rPr>
            </w:pPr>
          </w:p>
        </w:tc>
        <w:tc>
          <w:tcPr>
            <w:tcW w:w="1728" w:type="dxa"/>
            <w:vAlign w:val="center"/>
          </w:tcPr>
          <w:p w14:paraId="596A99F6">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6B4CB6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07" w:type="dxa"/>
            <w:vAlign w:val="center"/>
          </w:tcPr>
          <w:p w14:paraId="142D941B">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51" w:type="dxa"/>
            <w:vAlign w:val="center"/>
          </w:tcPr>
          <w:p w14:paraId="6F11A286">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68" w:type="dxa"/>
            <w:tcBorders>
              <w:right w:val="single" w:color="auto" w:sz="4" w:space="0"/>
            </w:tcBorders>
            <w:vAlign w:val="center"/>
          </w:tcPr>
          <w:p w14:paraId="4AFC2870">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796" w:type="dxa"/>
            <w:tcBorders>
              <w:left w:val="single" w:color="auto" w:sz="4" w:space="0"/>
            </w:tcBorders>
            <w:vAlign w:val="center"/>
          </w:tcPr>
          <w:p w14:paraId="29BA64CF">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273" w:type="dxa"/>
            <w:vAlign w:val="center"/>
          </w:tcPr>
          <w:p w14:paraId="47876D6C">
            <w:pPr>
              <w:widowControl/>
              <w:jc w:val="center"/>
              <w:rPr>
                <w:rFonts w:hint="eastAsia" w:ascii="宋体" w:hAnsi="宋体" w:eastAsia="宋体" w:cs="宋体"/>
                <w:b/>
                <w:bCs/>
                <w:color w:val="auto"/>
                <w:kern w:val="0"/>
                <w:sz w:val="24"/>
                <w:szCs w:val="22"/>
                <w:lang w:val="en-US" w:eastAsia="zh-CN"/>
              </w:rPr>
            </w:pPr>
          </w:p>
        </w:tc>
        <w:tc>
          <w:tcPr>
            <w:tcW w:w="1332" w:type="dxa"/>
            <w:vAlign w:val="center"/>
          </w:tcPr>
          <w:p w14:paraId="431C3DA0">
            <w:pPr>
              <w:widowControl/>
              <w:jc w:val="center"/>
              <w:rPr>
                <w:rFonts w:hint="eastAsia" w:ascii="宋体" w:hAnsi="宋体" w:eastAsia="宋体" w:cs="宋体"/>
                <w:b/>
                <w:bCs/>
                <w:color w:val="auto"/>
                <w:kern w:val="0"/>
                <w:sz w:val="24"/>
                <w:szCs w:val="22"/>
                <w:lang w:val="en-US" w:eastAsia="zh-CN"/>
              </w:rPr>
            </w:pPr>
          </w:p>
        </w:tc>
        <w:tc>
          <w:tcPr>
            <w:tcW w:w="1728" w:type="dxa"/>
            <w:vAlign w:val="center"/>
          </w:tcPr>
          <w:p w14:paraId="69F4CCEE">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25E62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07" w:type="dxa"/>
            <w:vAlign w:val="center"/>
          </w:tcPr>
          <w:p w14:paraId="3E67AB25">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51" w:type="dxa"/>
            <w:vAlign w:val="center"/>
          </w:tcPr>
          <w:p w14:paraId="71BCECB0">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68" w:type="dxa"/>
            <w:tcBorders>
              <w:right w:val="single" w:color="auto" w:sz="4" w:space="0"/>
            </w:tcBorders>
            <w:vAlign w:val="center"/>
          </w:tcPr>
          <w:p w14:paraId="53CE2653">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796" w:type="dxa"/>
            <w:tcBorders>
              <w:left w:val="single" w:color="auto" w:sz="4" w:space="0"/>
            </w:tcBorders>
            <w:vAlign w:val="center"/>
          </w:tcPr>
          <w:p w14:paraId="5BA2AEDA">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273" w:type="dxa"/>
            <w:vAlign w:val="center"/>
          </w:tcPr>
          <w:p w14:paraId="6ECAFF75">
            <w:pPr>
              <w:widowControl/>
              <w:jc w:val="center"/>
              <w:rPr>
                <w:rFonts w:hint="eastAsia" w:ascii="宋体" w:hAnsi="宋体" w:eastAsia="宋体" w:cs="宋体"/>
                <w:b/>
                <w:bCs/>
                <w:color w:val="auto"/>
                <w:kern w:val="0"/>
                <w:sz w:val="24"/>
                <w:szCs w:val="22"/>
                <w:lang w:val="en-US" w:eastAsia="zh-CN"/>
              </w:rPr>
            </w:pPr>
          </w:p>
        </w:tc>
        <w:tc>
          <w:tcPr>
            <w:tcW w:w="1332" w:type="dxa"/>
            <w:vAlign w:val="center"/>
          </w:tcPr>
          <w:p w14:paraId="59E0BAF6">
            <w:pPr>
              <w:widowControl/>
              <w:jc w:val="center"/>
              <w:rPr>
                <w:rFonts w:hint="eastAsia" w:ascii="宋体" w:hAnsi="宋体" w:eastAsia="宋体" w:cs="宋体"/>
                <w:b/>
                <w:bCs/>
                <w:color w:val="auto"/>
                <w:kern w:val="0"/>
                <w:sz w:val="24"/>
                <w:szCs w:val="22"/>
                <w:lang w:val="en-US" w:eastAsia="zh-CN"/>
              </w:rPr>
            </w:pPr>
          </w:p>
        </w:tc>
        <w:tc>
          <w:tcPr>
            <w:tcW w:w="1728" w:type="dxa"/>
            <w:vAlign w:val="center"/>
          </w:tcPr>
          <w:p w14:paraId="28762DD3">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3B3AEE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3" w:hRule="atLeast"/>
        </w:trPr>
        <w:tc>
          <w:tcPr>
            <w:tcW w:w="707" w:type="dxa"/>
            <w:vAlign w:val="center"/>
          </w:tcPr>
          <w:p w14:paraId="2E6CFFB0">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51" w:type="dxa"/>
            <w:vAlign w:val="center"/>
          </w:tcPr>
          <w:p w14:paraId="73263C92">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368" w:type="dxa"/>
            <w:tcBorders>
              <w:right w:val="single" w:color="auto" w:sz="4" w:space="0"/>
            </w:tcBorders>
            <w:vAlign w:val="center"/>
          </w:tcPr>
          <w:p w14:paraId="3EE18C75">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796" w:type="dxa"/>
            <w:tcBorders>
              <w:left w:val="single" w:color="auto" w:sz="4" w:space="0"/>
            </w:tcBorders>
            <w:vAlign w:val="center"/>
          </w:tcPr>
          <w:p w14:paraId="03D33230">
            <w:pPr>
              <w:spacing w:before="72" w:line="238" w:lineRule="auto"/>
              <w:jc w:val="center"/>
              <w:rPr>
                <w:rFonts w:hint="eastAsia" w:ascii="宋体" w:hAnsi="宋体" w:eastAsia="宋体" w:cs="宋体"/>
                <w:color w:val="auto"/>
                <w:spacing w:val="15"/>
                <w:sz w:val="24"/>
                <w:szCs w:val="24"/>
                <w:highlight w:val="none"/>
                <w:lang w:val="en-US" w:eastAsia="zh-CN"/>
              </w:rPr>
            </w:pPr>
          </w:p>
        </w:tc>
        <w:tc>
          <w:tcPr>
            <w:tcW w:w="1273" w:type="dxa"/>
            <w:vAlign w:val="center"/>
          </w:tcPr>
          <w:p w14:paraId="3A4A66B1">
            <w:pPr>
              <w:widowControl/>
              <w:jc w:val="center"/>
              <w:rPr>
                <w:rFonts w:hint="eastAsia" w:ascii="宋体" w:hAnsi="宋体" w:eastAsia="宋体" w:cs="宋体"/>
                <w:b/>
                <w:bCs/>
                <w:color w:val="auto"/>
                <w:kern w:val="0"/>
                <w:sz w:val="24"/>
                <w:szCs w:val="22"/>
                <w:lang w:val="en-US" w:eastAsia="zh-CN"/>
              </w:rPr>
            </w:pPr>
          </w:p>
        </w:tc>
        <w:tc>
          <w:tcPr>
            <w:tcW w:w="1332" w:type="dxa"/>
            <w:vAlign w:val="center"/>
          </w:tcPr>
          <w:p w14:paraId="2DBD1BAD">
            <w:pPr>
              <w:widowControl/>
              <w:jc w:val="center"/>
              <w:rPr>
                <w:rFonts w:hint="eastAsia" w:ascii="宋体" w:hAnsi="宋体" w:eastAsia="宋体" w:cs="宋体"/>
                <w:b/>
                <w:bCs/>
                <w:color w:val="auto"/>
                <w:kern w:val="0"/>
                <w:sz w:val="24"/>
                <w:szCs w:val="22"/>
                <w:lang w:val="en-US" w:eastAsia="zh-CN"/>
              </w:rPr>
            </w:pPr>
          </w:p>
        </w:tc>
        <w:tc>
          <w:tcPr>
            <w:tcW w:w="1728" w:type="dxa"/>
            <w:vAlign w:val="center"/>
          </w:tcPr>
          <w:p w14:paraId="74576082">
            <w:pPr>
              <w:spacing w:before="72" w:line="238" w:lineRule="auto"/>
              <w:jc w:val="center"/>
              <w:rPr>
                <w:rFonts w:hint="eastAsia" w:ascii="宋体" w:hAnsi="宋体" w:eastAsia="宋体" w:cs="宋体"/>
                <w:color w:val="auto"/>
                <w:spacing w:val="15"/>
                <w:sz w:val="24"/>
                <w:szCs w:val="24"/>
                <w:highlight w:val="none"/>
                <w:lang w:val="en-US" w:eastAsia="zh-CN"/>
              </w:rPr>
            </w:pPr>
          </w:p>
        </w:tc>
      </w:tr>
      <w:tr w14:paraId="59733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3" w:hRule="atLeast"/>
        </w:trPr>
        <w:tc>
          <w:tcPr>
            <w:tcW w:w="9555" w:type="dxa"/>
            <w:gridSpan w:val="7"/>
            <w:vAlign w:val="center"/>
          </w:tcPr>
          <w:p w14:paraId="1E5B3387">
            <w:pPr>
              <w:jc w:val="left"/>
              <w:rPr>
                <w:rFonts w:hint="eastAsia"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lang w:val="en-US" w:eastAsia="zh-CN"/>
              </w:rPr>
              <w:t>合计：           大写：               小写：</w:t>
            </w:r>
          </w:p>
        </w:tc>
      </w:tr>
    </w:tbl>
    <w:p w14:paraId="3B1FA4C3">
      <w:pPr>
        <w:keepNext w:val="0"/>
        <w:keepLines w:val="0"/>
        <w:pageBreakBefore w:val="0"/>
        <w:widowControl w:val="0"/>
        <w:kinsoku/>
        <w:wordWrap/>
        <w:overflowPunct/>
        <w:topLinePunct w:val="0"/>
        <w:autoSpaceDE/>
        <w:autoSpaceDN/>
        <w:bidi w:val="0"/>
        <w:adjustRightInd/>
        <w:snapToGrid/>
        <w:spacing w:line="500" w:lineRule="exact"/>
        <w:ind w:left="42"/>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本表中的“总价”与“开标一览表”中的</w:t>
      </w:r>
      <w:r>
        <w:rPr>
          <w:rFonts w:hint="eastAsia" w:ascii="宋体" w:hAnsi="宋体" w:eastAsia="宋体" w:cs="宋体"/>
          <w:color w:val="auto"/>
          <w:spacing w:val="12"/>
          <w:sz w:val="24"/>
          <w:szCs w:val="24"/>
          <w:highlight w:val="none"/>
        </w:rPr>
        <w:t>“总价”一致。</w:t>
      </w:r>
    </w:p>
    <w:p w14:paraId="1DC190CD">
      <w:pPr>
        <w:keepNext w:val="0"/>
        <w:keepLines w:val="0"/>
        <w:pageBreakBefore w:val="0"/>
        <w:widowControl w:val="0"/>
        <w:kinsoku/>
        <w:wordWrap/>
        <w:overflowPunct/>
        <w:topLinePunct w:val="0"/>
        <w:autoSpaceDE/>
        <w:autoSpaceDN/>
        <w:bidi w:val="0"/>
        <w:adjustRightInd/>
        <w:snapToGrid/>
        <w:spacing w:line="500" w:lineRule="exact"/>
        <w:ind w:left="480" w:hanging="480" w:hanging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注：1.投标报价以人民币为结算货币</w:t>
      </w:r>
    </w:p>
    <w:p w14:paraId="1E6BF67F">
      <w:pPr>
        <w:pStyle w:val="8"/>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2.</w:t>
      </w:r>
      <w:r>
        <w:rPr>
          <w:rFonts w:hint="eastAsia" w:ascii="宋体" w:hAnsi="宋体" w:eastAsia="宋体" w:cs="宋体"/>
          <w:color w:val="auto"/>
          <w:sz w:val="24"/>
          <w:szCs w:val="24"/>
          <w:highlight w:val="none"/>
          <w:lang w:val="en-US" w:eastAsia="zh-CN"/>
        </w:rPr>
        <w:t>如果不提供详细分项报价将视为没有实质性响应招标文件要求。</w:t>
      </w:r>
    </w:p>
    <w:p w14:paraId="5F5272DC">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bidi="zh-CN"/>
        </w:rPr>
      </w:pPr>
      <w:r>
        <w:rPr>
          <w:rFonts w:hint="eastAsia" w:ascii="宋体" w:hAnsi="宋体" w:eastAsia="宋体" w:cs="宋体"/>
          <w:color w:val="auto"/>
          <w:sz w:val="24"/>
          <w:szCs w:val="24"/>
          <w:highlight w:val="none"/>
          <w:lang w:bidi="zh-CN"/>
        </w:rPr>
        <w:t>3.</w:t>
      </w:r>
      <w:r>
        <w:rPr>
          <w:rFonts w:hint="eastAsia" w:ascii="宋体" w:hAnsi="宋体" w:eastAsia="宋体" w:cs="宋体"/>
          <w:color w:val="auto"/>
          <w:sz w:val="24"/>
          <w:szCs w:val="24"/>
          <w:highlight w:val="none"/>
          <w:lang w:val="en-US" w:eastAsia="zh-CN" w:bidi="zh-CN"/>
        </w:rPr>
        <w:t>本表为样表，仅供参考，供应商根据项目实际需求进行填写，报价精确到小数点后两位。</w:t>
      </w:r>
    </w:p>
    <w:p w14:paraId="39C37E41">
      <w:pPr>
        <w:spacing w:line="360" w:lineRule="auto"/>
        <w:ind w:firstLine="240" w:firstLineChars="100"/>
        <w:rPr>
          <w:rFonts w:hint="eastAsia" w:ascii="宋体" w:hAnsi="宋体" w:eastAsia="宋体" w:cs="宋体"/>
          <w:color w:val="auto"/>
          <w:sz w:val="24"/>
          <w:szCs w:val="24"/>
          <w:highlight w:val="none"/>
        </w:rPr>
      </w:pPr>
    </w:p>
    <w:p w14:paraId="34D5FFC5">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6B45C9E9">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369A5FBC">
      <w:pPr>
        <w:wordWrap w:val="0"/>
        <w:spacing w:line="480" w:lineRule="auto"/>
        <w:ind w:firstLine="240" w:firstLineChars="100"/>
        <w:jc w:val="both"/>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AF5639E">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3CCE0C01">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三、投标人资格证明文件（复印件并加盖公章）</w:t>
      </w:r>
    </w:p>
    <w:p w14:paraId="731596D0">
      <w:pPr>
        <w:spacing w:line="360" w:lineRule="auto"/>
        <w:rPr>
          <w:rFonts w:hint="eastAsia" w:ascii="宋体" w:hAnsi="宋体" w:eastAsia="宋体" w:cs="宋体"/>
          <w:i w:val="0"/>
          <w:iCs w:val="0"/>
          <w:caps w:val="0"/>
          <w:color w:val="auto"/>
          <w:spacing w:val="0"/>
          <w:sz w:val="24"/>
          <w:szCs w:val="24"/>
          <w:highlight w:val="none"/>
          <w:shd w:val="clear" w:fill="FFFFFF"/>
        </w:rPr>
      </w:pPr>
    </w:p>
    <w:p w14:paraId="1288D2F4">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1</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供应商必须是具有独立承担民事责任的能力的法人、其他组织或自然人，提供营业执照、税务登记证、组织机构代码证或登载有统一社会信用代码的营业执照（或《事业单位法人证书》或其他合法组织登记证书、自然人只须提交身份证）；</w:t>
      </w:r>
    </w:p>
    <w:p w14:paraId="015FBF4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lang w:eastAsia="zh-CN"/>
        </w:rPr>
        <w:t>）提供法定代表人授权书（附法定代表人身份证复印件）及被授权代表身份证复印件（法定代表人直接参加只须提供法定代表人身份证复印件）；</w:t>
      </w:r>
    </w:p>
    <w:p w14:paraId="57237F7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lang w:eastAsia="zh-CN"/>
        </w:rPr>
        <w:t>）财务状况报告：提供2024年或2025年经审计的财务审计报告</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成立时间至提交投标响应文件截止时间不足1年的可提供成立后任意时段的资产负债表</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或开标前6个月内其基本账户开户银行出具的资信证明或政府采购信用担保机构出具的投标担保函。</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成立时间至提交响应文件截止时间不足三个月的提供公司财务会计制度并加盖供应商鲜章即可</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eastAsia="zh-CN"/>
        </w:rPr>
        <w:t>；</w:t>
      </w:r>
    </w:p>
    <w:p w14:paraId="551D27BB">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4</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税收缴纳证明：</w:t>
      </w:r>
      <w:r>
        <w:rPr>
          <w:rFonts w:hint="eastAsia" w:ascii="宋体" w:hAnsi="宋体" w:eastAsia="宋体" w:cs="宋体"/>
          <w:i w:val="0"/>
          <w:iCs w:val="0"/>
          <w:caps w:val="0"/>
          <w:color w:val="auto"/>
          <w:spacing w:val="0"/>
          <w:sz w:val="24"/>
          <w:szCs w:val="24"/>
          <w:shd w:val="clear" w:color="auto" w:fill="FFFFFF"/>
          <w:lang w:eastAsia="zh-CN"/>
        </w:rPr>
        <w:t>提供投标截止日前半年内至少一个月的</w:t>
      </w:r>
      <w:r>
        <w:rPr>
          <w:rFonts w:hint="eastAsia" w:ascii="宋体" w:hAnsi="宋体" w:eastAsia="宋体" w:cs="宋体"/>
          <w:i w:val="0"/>
          <w:iCs w:val="0"/>
          <w:caps w:val="0"/>
          <w:color w:val="auto"/>
          <w:spacing w:val="0"/>
          <w:sz w:val="24"/>
          <w:szCs w:val="24"/>
          <w:shd w:val="clear" w:color="auto" w:fill="FFFFFF"/>
        </w:rPr>
        <w:t>纳税证明或完税证明</w:t>
      </w:r>
      <w:r>
        <w:rPr>
          <w:rFonts w:hint="eastAsia"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纳税证明或完税证明上应有代收机构或税务机关的公章或业务专用章。依法免税的供应商应提供相关文件证明；</w:t>
      </w:r>
    </w:p>
    <w:p w14:paraId="7664CA53">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5</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社会保障资金缴纳证明：</w:t>
      </w:r>
      <w:r>
        <w:rPr>
          <w:rFonts w:hint="eastAsia" w:ascii="宋体" w:hAnsi="宋体" w:eastAsia="宋体" w:cs="宋体"/>
          <w:i w:val="0"/>
          <w:iCs w:val="0"/>
          <w:caps w:val="0"/>
          <w:color w:val="auto"/>
          <w:spacing w:val="0"/>
          <w:sz w:val="24"/>
          <w:szCs w:val="24"/>
          <w:shd w:val="clear" w:color="auto" w:fill="FFFFFF"/>
          <w:lang w:eastAsia="zh-CN"/>
        </w:rPr>
        <w:t>提供投标截止日前半年内至少一个月的</w:t>
      </w:r>
      <w:r>
        <w:rPr>
          <w:rFonts w:hint="eastAsia" w:ascii="宋体" w:hAnsi="宋体" w:eastAsia="宋体" w:cs="宋体"/>
          <w:i w:val="0"/>
          <w:iCs w:val="0"/>
          <w:caps w:val="0"/>
          <w:color w:val="auto"/>
          <w:spacing w:val="0"/>
          <w:sz w:val="24"/>
          <w:szCs w:val="24"/>
          <w:shd w:val="clear" w:color="auto" w:fill="FFFFFF"/>
        </w:rPr>
        <w:t>社会保障资金缴存单据或社保机构开具的社会保险参保缴费情况证明，单据或证明上应有社保机构或代收机构的印章。依法不需要缴纳社会保障资金的供应商应提供相关文件证明；</w:t>
      </w:r>
    </w:p>
    <w:p w14:paraId="57995640">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参加政府采购活动前三年内</w:t>
      </w:r>
      <w:r>
        <w:rPr>
          <w:rFonts w:hint="eastAsia" w:ascii="宋体" w:hAnsi="宋体" w:eastAsia="宋体" w:cs="宋体"/>
          <w:i w:val="0"/>
          <w:iCs w:val="0"/>
          <w:caps w:val="0"/>
          <w:color w:val="auto"/>
          <w:spacing w:val="0"/>
          <w:sz w:val="24"/>
          <w:szCs w:val="24"/>
          <w:shd w:val="clear" w:color="auto" w:fill="FFFFFF"/>
          <w:lang w:eastAsia="zh-CN"/>
        </w:rPr>
        <w:t>（2023年1月至今）</w:t>
      </w:r>
      <w:r>
        <w:rPr>
          <w:rFonts w:hint="eastAsia" w:ascii="宋体" w:hAnsi="宋体" w:eastAsia="宋体" w:cs="宋体"/>
          <w:i w:val="0"/>
          <w:iCs w:val="0"/>
          <w:caps w:val="0"/>
          <w:color w:val="auto"/>
          <w:spacing w:val="0"/>
          <w:sz w:val="24"/>
          <w:szCs w:val="24"/>
          <w:shd w:val="clear" w:color="auto" w:fill="FFFFFF"/>
        </w:rPr>
        <w:t>，在经营活动中没有重大违法记录的书面声明；</w:t>
      </w:r>
    </w:p>
    <w:p w14:paraId="2AD72F7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7</w:t>
      </w: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rPr>
        <w:t>投标人具备履行合同所必需的设备和专业技术能力的书面声明（格式自拟）；</w:t>
      </w:r>
    </w:p>
    <w:p w14:paraId="420417FF">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8</w:t>
      </w:r>
      <w:r>
        <w:rPr>
          <w:rFonts w:hint="eastAsia" w:ascii="宋体" w:hAnsi="宋体" w:eastAsia="宋体" w:cs="宋体"/>
          <w:i w:val="0"/>
          <w:iCs w:val="0"/>
          <w:caps w:val="0"/>
          <w:color w:val="auto"/>
          <w:spacing w:val="0"/>
          <w:sz w:val="24"/>
          <w:szCs w:val="24"/>
          <w:shd w:val="clear" w:color="auto" w:fill="FFFFFF"/>
          <w:lang w:eastAsia="zh-CN"/>
        </w:rPr>
        <w:t>）投标人通过“信用中国 ”网站（www.creditchina.gov.cn）、中国政府采购网（www.ccgp.gov.cn）等渠道查询相关主体无失信记录。对列入失信被执行人、 重大税收违法案件当事人名单、政府采购严重违法失信行为记录名单的投标人，将拒绝其参与政府采购活动；以“信用中国 ”网站、中国政府采购网查询结果为准（投标文件中提供查询结果网页截图并加盖投标人公章，查询日期为从招标文件发售之日起至投标截止日前，评标现场通过网站对信用记录进行核实）</w:t>
      </w:r>
      <w:r>
        <w:rPr>
          <w:rFonts w:hint="eastAsia" w:ascii="宋体" w:hAnsi="宋体" w:eastAsia="宋体" w:cs="宋体"/>
          <w:i w:val="0"/>
          <w:iCs w:val="0"/>
          <w:caps w:val="0"/>
          <w:color w:val="auto"/>
          <w:spacing w:val="0"/>
          <w:sz w:val="24"/>
          <w:szCs w:val="24"/>
          <w:shd w:val="clear" w:color="auto" w:fill="FFFFFF"/>
        </w:rPr>
        <w:t>；</w:t>
      </w:r>
    </w:p>
    <w:p w14:paraId="1843CB6E">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eastAsia="zh-CN"/>
        </w:rPr>
        <w:t>（</w:t>
      </w:r>
      <w:r>
        <w:rPr>
          <w:rFonts w:hint="eastAsia" w:ascii="宋体" w:hAnsi="宋体" w:eastAsia="宋体" w:cs="宋体"/>
          <w:i w:val="0"/>
          <w:iCs w:val="0"/>
          <w:caps w:val="0"/>
          <w:color w:val="auto"/>
          <w:spacing w:val="0"/>
          <w:sz w:val="24"/>
          <w:szCs w:val="24"/>
          <w:shd w:val="clear" w:color="auto" w:fill="FFFFFF"/>
          <w:lang w:val="en-US" w:eastAsia="zh-CN"/>
        </w:rPr>
        <w:t>9</w:t>
      </w:r>
      <w:r>
        <w:rPr>
          <w:rFonts w:hint="eastAsia" w:ascii="宋体" w:hAnsi="宋体" w:eastAsia="宋体" w:cs="宋体"/>
          <w:i w:val="0"/>
          <w:iCs w:val="0"/>
          <w:caps w:val="0"/>
          <w:color w:val="auto"/>
          <w:spacing w:val="0"/>
          <w:sz w:val="24"/>
          <w:szCs w:val="24"/>
          <w:shd w:val="clear" w:color="auto" w:fill="FFFFFF"/>
          <w:lang w:eastAsia="zh-CN"/>
        </w:rPr>
        <w:t>）</w:t>
      </w:r>
      <w:r>
        <w:rPr>
          <w:rFonts w:hint="eastAsia" w:cs="宋体"/>
          <w:i w:val="0"/>
          <w:iCs w:val="0"/>
          <w:caps w:val="0"/>
          <w:color w:val="auto"/>
          <w:spacing w:val="0"/>
          <w:sz w:val="24"/>
          <w:szCs w:val="24"/>
          <w:shd w:val="clear" w:color="auto" w:fill="FFFFFF"/>
          <w:lang w:val="en-US" w:eastAsia="zh-CN"/>
        </w:rPr>
        <w:t>投标产品属于医疗器械管理范围的须提供医疗器械注册证。投标产品属于第二类医疗器械管理的，投标人应具有第二类医疗器械经营备案凭证（投标产品须在其经营范围内）；投标产品属于第三类医疗器械管理的，投标人应具有医疗器械经营许可证（投标产品须在其经营范围内）。投标人为制造厂家的：应具有医疗器械生产许可证（投标产品须在其生产范围内），且具有本条前述要求的相关医疗器械经营资质</w:t>
      </w:r>
      <w:r>
        <w:rPr>
          <w:rFonts w:hint="eastAsia" w:ascii="宋体" w:hAnsi="宋体" w:eastAsia="宋体" w:cs="宋体"/>
          <w:i w:val="0"/>
          <w:iCs w:val="0"/>
          <w:caps w:val="0"/>
          <w:color w:val="auto"/>
          <w:spacing w:val="0"/>
          <w:sz w:val="24"/>
          <w:szCs w:val="24"/>
          <w:shd w:val="clear" w:color="auto" w:fill="FFFFFF"/>
          <w:lang w:val="en-US" w:eastAsia="zh-CN"/>
        </w:rPr>
        <w:t>；</w:t>
      </w:r>
    </w:p>
    <w:p w14:paraId="467F31EA">
      <w:pPr>
        <w:pStyle w:val="1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00" w:lineRule="exact"/>
        <w:ind w:left="0" w:right="0" w:firstLine="480"/>
        <w:jc w:val="both"/>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lang w:eastAsia="zh-CN"/>
        </w:rPr>
        <w:t>本项目不接受联合体投标。</w:t>
      </w:r>
    </w:p>
    <w:p w14:paraId="5B0A42BD">
      <w:pPr>
        <w:rPr>
          <w:rFonts w:hint="eastAsia" w:ascii="宋体" w:hAnsi="宋体" w:eastAsia="宋体" w:cs="宋体"/>
          <w:i w:val="0"/>
          <w:iCs w:val="0"/>
          <w:caps w:val="0"/>
          <w:color w:val="auto"/>
          <w:spacing w:val="0"/>
          <w:sz w:val="16"/>
          <w:szCs w:val="16"/>
          <w:highlight w:val="none"/>
          <w:shd w:val="clear" w:fill="FFFFFF"/>
        </w:rPr>
      </w:pPr>
      <w:r>
        <w:rPr>
          <w:rFonts w:hint="eastAsia" w:ascii="宋体" w:hAnsi="宋体" w:eastAsia="宋体" w:cs="宋体"/>
          <w:i w:val="0"/>
          <w:iCs w:val="0"/>
          <w:caps w:val="0"/>
          <w:color w:val="auto"/>
          <w:spacing w:val="0"/>
          <w:sz w:val="16"/>
          <w:szCs w:val="16"/>
          <w:highlight w:val="none"/>
          <w:shd w:val="clear" w:fill="FFFFFF"/>
        </w:rPr>
        <w:br w:type="page"/>
      </w:r>
    </w:p>
    <w:p w14:paraId="05A76410">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               </w:t>
      </w:r>
    </w:p>
    <w:p w14:paraId="218D8B31">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法定代表人身份证明书</w:t>
      </w:r>
    </w:p>
    <w:p w14:paraId="453E51F1">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安康华昊智远项目管理有限公司</w:t>
      </w:r>
      <w:r>
        <w:rPr>
          <w:rFonts w:hint="eastAsia" w:ascii="宋体" w:hAnsi="宋体" w:eastAsia="宋体" w:cs="宋体"/>
          <w:color w:val="auto"/>
          <w:sz w:val="24"/>
          <w:szCs w:val="24"/>
          <w:highlight w:val="none"/>
        </w:rPr>
        <w:t>：</w:t>
      </w:r>
    </w:p>
    <w:p w14:paraId="3F0E0E2D">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lang w:val="zh-CN"/>
        </w:rPr>
      </w:pPr>
    </w:p>
    <w:p w14:paraId="61B0D9B2">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姓名：</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性别：</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年龄：</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lang w:val="zh-CN"/>
        </w:rPr>
        <w:t>职务：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系</w:t>
      </w:r>
      <w:r>
        <w:rPr>
          <w:rFonts w:hint="eastAsia" w:ascii="宋体" w:hAnsi="宋体" w:eastAsia="宋体" w:cs="宋体"/>
          <w:color w:val="auto"/>
          <w:sz w:val="24"/>
          <w:szCs w:val="24"/>
          <w:highlight w:val="none"/>
          <w:u w:val="single"/>
          <w:lang w:val="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（供应商名称）的法定代表人（单位负责人）。</w:t>
      </w:r>
    </w:p>
    <w:p w14:paraId="5346A954">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lang w:val="zh-CN"/>
        </w:rPr>
      </w:pPr>
    </w:p>
    <w:p w14:paraId="1517D6CE">
      <w:pPr>
        <w:autoSpaceDE w:val="0"/>
        <w:autoSpaceDN w:val="0"/>
        <w:adjustRightInd w:val="0"/>
        <w:spacing w:line="360" w:lineRule="auto"/>
        <w:ind w:firstLine="480" w:firstLineChars="200"/>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特此证明。</w:t>
      </w:r>
    </w:p>
    <w:p w14:paraId="4CE24AAE">
      <w:pPr>
        <w:autoSpaceDE w:val="0"/>
        <w:autoSpaceDN w:val="0"/>
        <w:adjustRightInd w:val="0"/>
        <w:spacing w:line="360" w:lineRule="auto"/>
        <w:jc w:val="left"/>
        <w:rPr>
          <w:rFonts w:hint="eastAsia" w:ascii="宋体" w:hAnsi="宋体" w:eastAsia="宋体" w:cs="宋体"/>
          <w:color w:val="auto"/>
          <w:sz w:val="24"/>
          <w:szCs w:val="24"/>
          <w:highlight w:val="none"/>
          <w:lang w:val="zh-CN"/>
        </w:rPr>
      </w:pPr>
    </w:p>
    <w:p w14:paraId="7AC1E696">
      <w:pPr>
        <w:autoSpaceDE w:val="0"/>
        <w:autoSpaceDN w:val="0"/>
        <w:adjustRightIn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附：法定代表人（单位负责人）身份证复印件。</w:t>
      </w:r>
    </w:p>
    <w:p w14:paraId="7B134F06">
      <w:pPr>
        <w:autoSpaceDE w:val="0"/>
        <w:autoSpaceDN w:val="0"/>
        <w:adjustRightInd w:val="0"/>
        <w:spacing w:line="360" w:lineRule="auto"/>
        <w:jc w:val="left"/>
        <w:rPr>
          <w:rFonts w:hint="eastAsia" w:ascii="宋体" w:hAnsi="宋体" w:eastAsia="宋体" w:cs="宋体"/>
          <w:color w:val="auto"/>
          <w:sz w:val="24"/>
          <w:szCs w:val="24"/>
          <w:highlight w:val="none"/>
          <w:lang w:val="zh-CN"/>
        </w:rPr>
      </w:pPr>
    </w:p>
    <w:p w14:paraId="4FCE4F5A">
      <w:pPr>
        <w:autoSpaceDE w:val="0"/>
        <w:autoSpaceDN w:val="0"/>
        <w:adjustRightInd w:val="0"/>
        <w:spacing w:line="360" w:lineRule="auto"/>
        <w:jc w:val="left"/>
        <w:rPr>
          <w:rFonts w:hint="eastAsia" w:ascii="宋体" w:hAnsi="宋体" w:eastAsia="宋体" w:cs="宋体"/>
          <w:color w:val="auto"/>
          <w:sz w:val="24"/>
          <w:szCs w:val="24"/>
          <w:highlight w:val="none"/>
          <w:lang w:val="zh-CN"/>
        </w:rPr>
      </w:pPr>
    </w:p>
    <w:p w14:paraId="4FB57D56">
      <w:pPr>
        <w:autoSpaceDE w:val="0"/>
        <w:autoSpaceDN w:val="0"/>
        <w:adjustRightInd w:val="0"/>
        <w:spacing w:line="360" w:lineRule="auto"/>
        <w:jc w:val="left"/>
        <w:rPr>
          <w:rFonts w:hint="eastAsia" w:ascii="宋体" w:hAnsi="宋体" w:eastAsia="宋体" w:cs="宋体"/>
          <w:color w:val="auto"/>
          <w:sz w:val="24"/>
          <w:szCs w:val="24"/>
          <w:highlight w:val="none"/>
          <w:lang w:val="zh-CN"/>
        </w:rPr>
      </w:pPr>
    </w:p>
    <w:p w14:paraId="5E82F4B5">
      <w:pPr>
        <w:autoSpaceDE w:val="0"/>
        <w:autoSpaceDN w:val="0"/>
        <w:adjustRightIn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注：自然人参与投标的此处只附身份证复印件。</w:t>
      </w:r>
    </w:p>
    <w:p w14:paraId="2F12C5FF">
      <w:pPr>
        <w:adjustRightInd w:val="0"/>
        <w:snapToGrid w:val="0"/>
        <w:spacing w:line="360" w:lineRule="auto"/>
        <w:jc w:val="center"/>
        <w:rPr>
          <w:rFonts w:hint="eastAsia" w:ascii="宋体" w:hAnsi="宋体" w:eastAsia="宋体" w:cs="宋体"/>
          <w:b/>
          <w:bCs/>
          <w:color w:val="auto"/>
          <w:sz w:val="24"/>
          <w:szCs w:val="24"/>
          <w:highlight w:val="none"/>
        </w:rPr>
      </w:pPr>
    </w:p>
    <w:p w14:paraId="59350CC1">
      <w:pPr>
        <w:spacing w:beforeLines="100" w:afterLines="50" w:line="360" w:lineRule="auto"/>
        <w:jc w:val="center"/>
        <w:rPr>
          <w:rFonts w:hint="eastAsia" w:ascii="宋体" w:hAnsi="宋体" w:eastAsia="宋体" w:cs="宋体"/>
          <w:b/>
          <w:color w:val="auto"/>
          <w:sz w:val="24"/>
          <w:szCs w:val="24"/>
          <w:highlight w:val="none"/>
        </w:rPr>
      </w:pPr>
    </w:p>
    <w:p w14:paraId="49D85971">
      <w:pPr>
        <w:spacing w:beforeLines="100" w:afterLines="50" w:line="360" w:lineRule="auto"/>
        <w:jc w:val="center"/>
        <w:rPr>
          <w:rFonts w:hint="eastAsia" w:ascii="宋体" w:hAnsi="宋体" w:eastAsia="宋体" w:cs="宋体"/>
          <w:b/>
          <w:color w:val="auto"/>
          <w:sz w:val="24"/>
          <w:szCs w:val="24"/>
          <w:highlight w:val="none"/>
        </w:rPr>
      </w:pPr>
    </w:p>
    <w:p w14:paraId="63B7269D">
      <w:pPr>
        <w:spacing w:beforeLines="100" w:afterLines="50" w:line="360" w:lineRule="auto"/>
        <w:jc w:val="center"/>
        <w:rPr>
          <w:rFonts w:hint="eastAsia" w:ascii="宋体" w:hAnsi="宋体" w:eastAsia="宋体" w:cs="宋体"/>
          <w:b/>
          <w:color w:val="auto"/>
          <w:sz w:val="24"/>
          <w:szCs w:val="24"/>
          <w:highlight w:val="none"/>
        </w:rPr>
      </w:pPr>
    </w:p>
    <w:p w14:paraId="19E7CA18">
      <w:pPr>
        <w:spacing w:beforeLines="100" w:afterLines="50" w:line="360" w:lineRule="auto"/>
        <w:jc w:val="center"/>
        <w:rPr>
          <w:rFonts w:hint="eastAsia" w:ascii="宋体" w:hAnsi="宋体" w:eastAsia="宋体" w:cs="宋体"/>
          <w:b/>
          <w:color w:val="auto"/>
          <w:sz w:val="24"/>
          <w:szCs w:val="24"/>
          <w:highlight w:val="none"/>
        </w:rPr>
      </w:pPr>
    </w:p>
    <w:p w14:paraId="11578BBC">
      <w:pPr>
        <w:spacing w:beforeLines="100" w:afterLines="50" w:line="360" w:lineRule="auto"/>
        <w:jc w:val="center"/>
        <w:rPr>
          <w:rFonts w:hint="eastAsia" w:ascii="宋体" w:hAnsi="宋体" w:eastAsia="宋体" w:cs="宋体"/>
          <w:b/>
          <w:color w:val="auto"/>
          <w:sz w:val="24"/>
          <w:szCs w:val="24"/>
          <w:highlight w:val="none"/>
        </w:rPr>
      </w:pPr>
    </w:p>
    <w:p w14:paraId="23C305D1">
      <w:pPr>
        <w:spacing w:beforeLines="100" w:afterLines="50" w:line="360" w:lineRule="auto"/>
        <w:rPr>
          <w:rFonts w:hint="eastAsia" w:ascii="宋体" w:hAnsi="宋体" w:eastAsia="宋体" w:cs="宋体"/>
          <w:b/>
          <w:color w:val="auto"/>
          <w:sz w:val="24"/>
          <w:szCs w:val="24"/>
          <w:highlight w:val="none"/>
        </w:rPr>
      </w:pPr>
    </w:p>
    <w:p w14:paraId="0E8438AB">
      <w:pPr>
        <w:tabs>
          <w:tab w:val="left" w:pos="5169"/>
        </w:tabs>
        <w:spacing w:beforeLines="100" w:afterLines="50" w:line="480" w:lineRule="exact"/>
        <w:jc w:val="left"/>
        <w:rPr>
          <w:rFonts w:hint="eastAsia" w:ascii="宋体" w:hAnsi="宋体" w:eastAsia="宋体" w:cs="宋体"/>
          <w:b/>
          <w:color w:val="auto"/>
          <w:sz w:val="24"/>
          <w:szCs w:val="24"/>
          <w:highlight w:val="none"/>
        </w:rPr>
      </w:pPr>
    </w:p>
    <w:p w14:paraId="65DF3569">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2EC7A8C1">
      <w:pPr>
        <w:tabs>
          <w:tab w:val="left" w:pos="5169"/>
        </w:tabs>
        <w:spacing w:beforeLines="100" w:afterLines="50" w:line="480" w:lineRule="exact"/>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附件2               </w:t>
      </w:r>
      <w:r>
        <w:rPr>
          <w:rFonts w:hint="eastAsia" w:ascii="宋体" w:hAnsi="宋体" w:eastAsia="宋体" w:cs="宋体"/>
          <w:b/>
          <w:color w:val="auto"/>
          <w:sz w:val="24"/>
          <w:szCs w:val="24"/>
          <w:highlight w:val="none"/>
        </w:rPr>
        <w:tab/>
      </w:r>
    </w:p>
    <w:p w14:paraId="0BA5752E">
      <w:pPr>
        <w:tabs>
          <w:tab w:val="left" w:pos="5169"/>
        </w:tabs>
        <w:spacing w:beforeLines="100" w:afterLines="50" w:line="480" w:lineRule="exact"/>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法定代表人授权委托书</w:t>
      </w:r>
    </w:p>
    <w:p w14:paraId="66EE409C">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eastAsia="zh-CN"/>
        </w:rPr>
        <w:t>安康华昊智远项目管理有限公司</w:t>
      </w:r>
      <w:r>
        <w:rPr>
          <w:rFonts w:hint="eastAsia" w:ascii="宋体" w:hAnsi="宋体" w:eastAsia="宋体" w:cs="宋体"/>
          <w:color w:val="auto"/>
          <w:sz w:val="24"/>
          <w:szCs w:val="24"/>
          <w:highlight w:val="none"/>
        </w:rPr>
        <w:t>：</w:t>
      </w:r>
    </w:p>
    <w:p w14:paraId="43EEF058">
      <w:pPr>
        <w:spacing w:line="480" w:lineRule="exact"/>
        <w:ind w:firstLine="4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本授权书声明：注册于中华人民共和国的</w:t>
      </w:r>
      <w:r>
        <w:rPr>
          <w:rFonts w:hint="eastAsia" w:ascii="宋体" w:hAnsi="宋体" w:eastAsia="宋体" w:cs="宋体"/>
          <w:color w:val="auto"/>
          <w:sz w:val="24"/>
          <w:szCs w:val="24"/>
          <w:highlight w:val="none"/>
          <w:u w:val="single"/>
        </w:rPr>
        <w:t>（投标人名称）</w:t>
      </w:r>
      <w:r>
        <w:rPr>
          <w:rFonts w:hint="eastAsia" w:ascii="宋体" w:hAnsi="宋体" w:eastAsia="宋体" w:cs="宋体"/>
          <w:color w:val="auto"/>
          <w:sz w:val="24"/>
          <w:szCs w:val="24"/>
          <w:highlight w:val="none"/>
        </w:rPr>
        <w:t>的在下面签字的</w:t>
      </w:r>
      <w:r>
        <w:rPr>
          <w:rFonts w:hint="eastAsia" w:ascii="宋体" w:hAnsi="宋体" w:eastAsia="宋体" w:cs="宋体"/>
          <w:color w:val="auto"/>
          <w:sz w:val="24"/>
          <w:szCs w:val="24"/>
          <w:highlight w:val="none"/>
          <w:u w:val="single"/>
        </w:rPr>
        <w:t>（法定代表人姓名、职务）</w:t>
      </w:r>
      <w:r>
        <w:rPr>
          <w:rFonts w:hint="eastAsia" w:ascii="宋体" w:hAnsi="宋体" w:eastAsia="宋体" w:cs="宋体"/>
          <w:color w:val="auto"/>
          <w:sz w:val="24"/>
          <w:szCs w:val="24"/>
          <w:highlight w:val="none"/>
        </w:rPr>
        <w:t>代表本公司授权的在下面签字的</w:t>
      </w:r>
      <w:r>
        <w:rPr>
          <w:rFonts w:hint="eastAsia" w:ascii="宋体" w:hAnsi="宋体" w:eastAsia="宋体" w:cs="宋体"/>
          <w:color w:val="auto"/>
          <w:sz w:val="24"/>
          <w:szCs w:val="24"/>
          <w:highlight w:val="none"/>
          <w:u w:val="single"/>
        </w:rPr>
        <w:t>（被授权人的姓名、职务）</w:t>
      </w:r>
      <w:r>
        <w:rPr>
          <w:rFonts w:hint="eastAsia" w:ascii="宋体" w:hAnsi="宋体" w:eastAsia="宋体" w:cs="宋体"/>
          <w:color w:val="auto"/>
          <w:sz w:val="24"/>
          <w:szCs w:val="24"/>
          <w:highlight w:val="none"/>
        </w:rPr>
        <w:t>为本公司的合法代理人，就项目编号为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eastAsia="zh-CN"/>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的投标，以本公司名义处理一切与之有关的事务。</w:t>
      </w:r>
    </w:p>
    <w:p w14:paraId="21C5CE1D">
      <w:pPr>
        <w:spacing w:afterLines="50" w:line="480" w:lineRule="exact"/>
        <w:ind w:firstLine="4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日签字生效，特此声明。</w:t>
      </w:r>
    </w:p>
    <w:tbl>
      <w:tblPr>
        <w:tblStyle w:val="15"/>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3501E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4411" w:type="dxa"/>
            <w:vAlign w:val="center"/>
          </w:tcPr>
          <w:p w14:paraId="4E9A4F2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法人代表身份证复印件</w:t>
            </w:r>
          </w:p>
          <w:p w14:paraId="7223981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433" w:type="dxa"/>
            <w:vAlign w:val="center"/>
          </w:tcPr>
          <w:p w14:paraId="3944267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法人代表身份证复印件</w:t>
            </w:r>
          </w:p>
          <w:p w14:paraId="532EDAB1">
            <w:pPr>
              <w:pStyle w:val="13"/>
              <w:spacing w:line="360" w:lineRule="auto"/>
              <w:ind w:left="-365"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r w14:paraId="5DA1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vAlign w:val="center"/>
          </w:tcPr>
          <w:p w14:paraId="0DC40230">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法人代表签名：</w:t>
            </w:r>
            <w:r>
              <w:rPr>
                <w:rFonts w:hint="eastAsia" w:ascii="宋体" w:hAnsi="宋体" w:eastAsia="宋体" w:cs="宋体"/>
                <w:color w:val="auto"/>
                <w:sz w:val="24"/>
                <w:szCs w:val="24"/>
                <w:highlight w:val="none"/>
                <w:u w:val="single"/>
              </w:rPr>
              <w:t xml:space="preserve">                </w:t>
            </w:r>
          </w:p>
        </w:tc>
        <w:tc>
          <w:tcPr>
            <w:tcW w:w="4433" w:type="dxa"/>
            <w:vAlign w:val="center"/>
          </w:tcPr>
          <w:p w14:paraId="2D173355">
            <w:pPr>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u w:val="single"/>
              </w:rPr>
              <w:t xml:space="preserve">                    </w:t>
            </w:r>
          </w:p>
          <w:p w14:paraId="4783004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tc>
      </w:tr>
    </w:tbl>
    <w:p w14:paraId="18AB52F2">
      <w:pPr>
        <w:autoSpaceDE w:val="0"/>
        <w:autoSpaceDN w:val="0"/>
        <w:spacing w:line="360" w:lineRule="auto"/>
        <w:rPr>
          <w:rFonts w:hint="eastAsia" w:ascii="宋体" w:hAnsi="宋体" w:eastAsia="宋体" w:cs="宋体"/>
          <w:color w:val="auto"/>
          <w:sz w:val="24"/>
          <w:szCs w:val="24"/>
          <w:highlight w:val="none"/>
        </w:rPr>
      </w:pPr>
    </w:p>
    <w:tbl>
      <w:tblPr>
        <w:tblStyle w:val="15"/>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2FBC1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exact"/>
          <w:jc w:val="center"/>
        </w:trPr>
        <w:tc>
          <w:tcPr>
            <w:tcW w:w="4398" w:type="dxa"/>
            <w:vAlign w:val="center"/>
          </w:tcPr>
          <w:p w14:paraId="7EC0BCE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被授权人身份证复印件</w:t>
            </w:r>
          </w:p>
          <w:p w14:paraId="4B20A706">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（正面）</w:t>
            </w:r>
          </w:p>
        </w:tc>
        <w:tc>
          <w:tcPr>
            <w:tcW w:w="4420" w:type="dxa"/>
            <w:vAlign w:val="center"/>
          </w:tcPr>
          <w:p w14:paraId="35118A5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被授权人身份证复印件</w:t>
            </w:r>
          </w:p>
          <w:p w14:paraId="676AA244">
            <w:pPr>
              <w:pStyle w:val="13"/>
              <w:spacing w:line="360" w:lineRule="auto"/>
              <w:ind w:left="-365"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（反面）</w:t>
            </w:r>
          </w:p>
        </w:tc>
      </w:tr>
      <w:tr w14:paraId="0429F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vAlign w:val="center"/>
          </w:tcPr>
          <w:p w14:paraId="6359A8E6">
            <w:pPr>
              <w:pStyle w:val="13"/>
              <w:spacing w:line="360" w:lineRule="auto"/>
              <w:ind w:firstLine="139" w:firstLineChars="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被授权人签字：</w:t>
            </w:r>
            <w:r>
              <w:rPr>
                <w:rFonts w:hint="eastAsia" w:ascii="宋体" w:hAnsi="宋体" w:eastAsia="宋体" w:cs="宋体"/>
                <w:color w:val="auto"/>
                <w:sz w:val="24"/>
                <w:szCs w:val="24"/>
                <w:highlight w:val="none"/>
                <w:u w:val="single"/>
              </w:rPr>
              <w:t xml:space="preserve">               </w:t>
            </w:r>
          </w:p>
        </w:tc>
        <w:tc>
          <w:tcPr>
            <w:tcW w:w="4420" w:type="dxa"/>
            <w:vAlign w:val="center"/>
          </w:tcPr>
          <w:p w14:paraId="4C3DA5E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tc>
      </w:tr>
    </w:tbl>
    <w:p w14:paraId="413C5852">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4DB9112D">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四、供应商概况</w:t>
      </w:r>
    </w:p>
    <w:p w14:paraId="0FAF29AA">
      <w:pPr>
        <w:spacing w:line="360" w:lineRule="auto"/>
        <w:jc w:val="center"/>
        <w:rPr>
          <w:rFonts w:hint="eastAsia" w:ascii="宋体" w:hAnsi="宋体" w:eastAsia="宋体" w:cs="宋体"/>
          <w:b/>
          <w:color w:val="auto"/>
          <w:sz w:val="28"/>
          <w:szCs w:val="28"/>
          <w:highlight w:val="none"/>
        </w:rPr>
      </w:pPr>
    </w:p>
    <w:p w14:paraId="40E38028">
      <w:pPr>
        <w:spacing w:before="27" w:line="219" w:lineRule="auto"/>
        <w:ind w:left="3360"/>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4.1 供应商简介（格式自拟）</w:t>
      </w:r>
    </w:p>
    <w:p w14:paraId="5B9AAE2A">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0916CAB0">
      <w:pPr>
        <w:spacing w:before="27" w:line="219" w:lineRule="auto"/>
        <w:ind w:left="3360"/>
        <w:outlineLvl w:val="1"/>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4.2 供应商基本情况表</w:t>
      </w:r>
    </w:p>
    <w:p w14:paraId="2575C46C">
      <w:pPr>
        <w:spacing w:line="147" w:lineRule="exact"/>
        <w:rPr>
          <w:rFonts w:hint="eastAsia" w:ascii="宋体" w:hAnsi="宋体" w:eastAsia="宋体" w:cs="宋体"/>
          <w:color w:val="auto"/>
        </w:rPr>
      </w:pPr>
    </w:p>
    <w:tbl>
      <w:tblPr>
        <w:tblStyle w:val="28"/>
        <w:tblW w:w="9070"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34"/>
        <w:gridCol w:w="1016"/>
        <w:gridCol w:w="1033"/>
        <w:gridCol w:w="1211"/>
        <w:gridCol w:w="1649"/>
        <w:gridCol w:w="795"/>
        <w:gridCol w:w="1632"/>
      </w:tblGrid>
      <w:tr w14:paraId="268B66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9" w:hRule="atLeast"/>
        </w:trPr>
        <w:tc>
          <w:tcPr>
            <w:tcW w:w="1734" w:type="dxa"/>
            <w:tcBorders>
              <w:top w:val="single" w:color="000000" w:sz="10" w:space="0"/>
              <w:left w:val="single" w:color="000000" w:sz="10" w:space="0"/>
            </w:tcBorders>
            <w:vAlign w:val="top"/>
          </w:tcPr>
          <w:p w14:paraId="493E5B72">
            <w:pPr>
              <w:pStyle w:val="27"/>
              <w:spacing w:before="119" w:line="221" w:lineRule="auto"/>
              <w:ind w:left="110"/>
              <w:rPr>
                <w:rFonts w:hint="eastAsia" w:ascii="宋体" w:hAnsi="宋体" w:eastAsia="宋体" w:cs="宋体"/>
                <w:color w:val="auto"/>
                <w:sz w:val="24"/>
                <w:szCs w:val="24"/>
              </w:rPr>
            </w:pPr>
            <w:r>
              <w:rPr>
                <w:rFonts w:hint="eastAsia" w:ascii="宋体" w:hAnsi="宋体" w:eastAsia="宋体" w:cs="宋体"/>
                <w:color w:val="auto"/>
                <w:spacing w:val="-4"/>
                <w:sz w:val="24"/>
                <w:szCs w:val="24"/>
              </w:rPr>
              <w:t>企业名称</w:t>
            </w:r>
          </w:p>
        </w:tc>
        <w:tc>
          <w:tcPr>
            <w:tcW w:w="7336" w:type="dxa"/>
            <w:gridSpan w:val="6"/>
            <w:tcBorders>
              <w:top w:val="single" w:color="000000" w:sz="10" w:space="0"/>
              <w:right w:val="single" w:color="000000" w:sz="10" w:space="0"/>
            </w:tcBorders>
            <w:vAlign w:val="top"/>
          </w:tcPr>
          <w:p w14:paraId="3C8E9121">
            <w:pPr>
              <w:rPr>
                <w:rFonts w:hint="eastAsia" w:ascii="宋体" w:hAnsi="宋体" w:eastAsia="宋体" w:cs="宋体"/>
                <w:color w:val="auto"/>
                <w:sz w:val="24"/>
                <w:szCs w:val="24"/>
              </w:rPr>
            </w:pPr>
          </w:p>
        </w:tc>
      </w:tr>
      <w:tr w14:paraId="25D15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3A1A5429">
            <w:pPr>
              <w:pStyle w:val="27"/>
              <w:spacing w:before="111" w:line="221" w:lineRule="auto"/>
              <w:ind w:left="106"/>
              <w:rPr>
                <w:rFonts w:hint="eastAsia" w:ascii="宋体" w:hAnsi="宋体" w:eastAsia="宋体" w:cs="宋体"/>
                <w:color w:val="auto"/>
                <w:sz w:val="24"/>
                <w:szCs w:val="24"/>
              </w:rPr>
            </w:pPr>
            <w:r>
              <w:rPr>
                <w:rFonts w:hint="eastAsia" w:ascii="宋体" w:hAnsi="宋体" w:eastAsia="宋体" w:cs="宋体"/>
                <w:color w:val="auto"/>
                <w:spacing w:val="-3"/>
                <w:sz w:val="24"/>
                <w:szCs w:val="24"/>
              </w:rPr>
              <w:t>注册地址</w:t>
            </w:r>
          </w:p>
        </w:tc>
        <w:tc>
          <w:tcPr>
            <w:tcW w:w="3260" w:type="dxa"/>
            <w:gridSpan w:val="3"/>
            <w:vAlign w:val="top"/>
          </w:tcPr>
          <w:p w14:paraId="02D4DD74">
            <w:pPr>
              <w:rPr>
                <w:rFonts w:hint="eastAsia" w:ascii="宋体" w:hAnsi="宋体" w:eastAsia="宋体" w:cs="宋体"/>
                <w:color w:val="auto"/>
                <w:sz w:val="24"/>
                <w:szCs w:val="24"/>
              </w:rPr>
            </w:pPr>
          </w:p>
        </w:tc>
        <w:tc>
          <w:tcPr>
            <w:tcW w:w="1649" w:type="dxa"/>
            <w:vAlign w:val="top"/>
          </w:tcPr>
          <w:p w14:paraId="6EF23DEF">
            <w:pPr>
              <w:pStyle w:val="27"/>
              <w:spacing w:before="112" w:line="219" w:lineRule="auto"/>
              <w:ind w:left="131"/>
              <w:rPr>
                <w:rFonts w:hint="eastAsia" w:ascii="宋体" w:hAnsi="宋体" w:eastAsia="宋体" w:cs="宋体"/>
                <w:color w:val="auto"/>
                <w:sz w:val="24"/>
                <w:szCs w:val="24"/>
              </w:rPr>
            </w:pPr>
            <w:r>
              <w:rPr>
                <w:rFonts w:hint="eastAsia" w:ascii="宋体" w:hAnsi="宋体" w:eastAsia="宋体" w:cs="宋体"/>
                <w:color w:val="auto"/>
                <w:spacing w:val="-7"/>
                <w:sz w:val="24"/>
                <w:szCs w:val="24"/>
              </w:rPr>
              <w:t>邮政编码</w:t>
            </w:r>
          </w:p>
        </w:tc>
        <w:tc>
          <w:tcPr>
            <w:tcW w:w="2427" w:type="dxa"/>
            <w:gridSpan w:val="2"/>
            <w:tcBorders>
              <w:right w:val="single" w:color="000000" w:sz="10" w:space="0"/>
            </w:tcBorders>
            <w:vAlign w:val="top"/>
          </w:tcPr>
          <w:p w14:paraId="1D1D8F9B">
            <w:pPr>
              <w:rPr>
                <w:rFonts w:hint="eastAsia" w:ascii="宋体" w:hAnsi="宋体" w:eastAsia="宋体" w:cs="宋体"/>
                <w:color w:val="auto"/>
                <w:sz w:val="24"/>
                <w:szCs w:val="24"/>
              </w:rPr>
            </w:pPr>
          </w:p>
        </w:tc>
      </w:tr>
      <w:tr w14:paraId="1E5F2A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vMerge w:val="restart"/>
            <w:tcBorders>
              <w:left w:val="single" w:color="000000" w:sz="10" w:space="0"/>
              <w:bottom w:val="nil"/>
            </w:tcBorders>
            <w:vAlign w:val="top"/>
          </w:tcPr>
          <w:p w14:paraId="7DC29925">
            <w:pPr>
              <w:spacing w:line="275" w:lineRule="auto"/>
              <w:rPr>
                <w:rFonts w:hint="eastAsia" w:ascii="宋体" w:hAnsi="宋体" w:eastAsia="宋体" w:cs="宋体"/>
                <w:color w:val="auto"/>
                <w:sz w:val="24"/>
                <w:szCs w:val="24"/>
              </w:rPr>
            </w:pPr>
          </w:p>
          <w:p w14:paraId="6409F0E7">
            <w:pPr>
              <w:pStyle w:val="27"/>
              <w:spacing w:before="78" w:line="221" w:lineRule="auto"/>
              <w:ind w:left="107"/>
              <w:rPr>
                <w:rFonts w:hint="eastAsia" w:ascii="宋体" w:hAnsi="宋体" w:eastAsia="宋体" w:cs="宋体"/>
                <w:color w:val="auto"/>
                <w:sz w:val="24"/>
                <w:szCs w:val="24"/>
              </w:rPr>
            </w:pPr>
            <w:r>
              <w:rPr>
                <w:rFonts w:hint="eastAsia" w:ascii="宋体" w:hAnsi="宋体" w:eastAsia="宋体" w:cs="宋体"/>
                <w:color w:val="auto"/>
                <w:spacing w:val="-3"/>
                <w:sz w:val="24"/>
                <w:szCs w:val="24"/>
              </w:rPr>
              <w:t>联系方式</w:t>
            </w:r>
          </w:p>
        </w:tc>
        <w:tc>
          <w:tcPr>
            <w:tcW w:w="1016" w:type="dxa"/>
            <w:vAlign w:val="top"/>
          </w:tcPr>
          <w:p w14:paraId="541FEE58">
            <w:pPr>
              <w:pStyle w:val="27"/>
              <w:spacing w:before="113" w:line="221" w:lineRule="auto"/>
              <w:ind w:left="106"/>
              <w:rPr>
                <w:rFonts w:hint="eastAsia" w:ascii="宋体" w:hAnsi="宋体" w:eastAsia="宋体" w:cs="宋体"/>
                <w:color w:val="auto"/>
                <w:sz w:val="24"/>
                <w:szCs w:val="24"/>
              </w:rPr>
            </w:pPr>
            <w:r>
              <w:rPr>
                <w:rFonts w:hint="eastAsia" w:ascii="宋体" w:hAnsi="宋体" w:eastAsia="宋体" w:cs="宋体"/>
                <w:color w:val="auto"/>
                <w:spacing w:val="-4"/>
                <w:sz w:val="24"/>
                <w:szCs w:val="24"/>
              </w:rPr>
              <w:t>联系人</w:t>
            </w:r>
          </w:p>
        </w:tc>
        <w:tc>
          <w:tcPr>
            <w:tcW w:w="2244" w:type="dxa"/>
            <w:gridSpan w:val="2"/>
            <w:vAlign w:val="top"/>
          </w:tcPr>
          <w:p w14:paraId="2EACC67D">
            <w:pPr>
              <w:rPr>
                <w:rFonts w:hint="eastAsia" w:ascii="宋体" w:hAnsi="宋体" w:eastAsia="宋体" w:cs="宋体"/>
                <w:color w:val="auto"/>
                <w:sz w:val="24"/>
                <w:szCs w:val="24"/>
              </w:rPr>
            </w:pPr>
          </w:p>
        </w:tc>
        <w:tc>
          <w:tcPr>
            <w:tcW w:w="1649" w:type="dxa"/>
            <w:vAlign w:val="top"/>
          </w:tcPr>
          <w:p w14:paraId="1F08DD5A">
            <w:pPr>
              <w:pStyle w:val="27"/>
              <w:spacing w:before="113" w:line="221" w:lineRule="auto"/>
              <w:ind w:left="142"/>
              <w:rPr>
                <w:rFonts w:hint="eastAsia" w:ascii="宋体" w:hAnsi="宋体" w:eastAsia="宋体" w:cs="宋体"/>
                <w:color w:val="auto"/>
                <w:sz w:val="24"/>
                <w:szCs w:val="24"/>
              </w:rPr>
            </w:pPr>
            <w:r>
              <w:rPr>
                <w:rFonts w:hint="eastAsia" w:ascii="宋体" w:hAnsi="宋体" w:eastAsia="宋体" w:cs="宋体"/>
                <w:color w:val="auto"/>
                <w:spacing w:val="-19"/>
                <w:sz w:val="24"/>
                <w:szCs w:val="24"/>
              </w:rPr>
              <w:t>电话</w:t>
            </w:r>
          </w:p>
        </w:tc>
        <w:tc>
          <w:tcPr>
            <w:tcW w:w="2427" w:type="dxa"/>
            <w:gridSpan w:val="2"/>
            <w:tcBorders>
              <w:right w:val="single" w:color="000000" w:sz="10" w:space="0"/>
            </w:tcBorders>
            <w:vAlign w:val="top"/>
          </w:tcPr>
          <w:p w14:paraId="353803CA">
            <w:pPr>
              <w:rPr>
                <w:rFonts w:hint="eastAsia" w:ascii="宋体" w:hAnsi="宋体" w:eastAsia="宋体" w:cs="宋体"/>
                <w:color w:val="auto"/>
                <w:sz w:val="24"/>
                <w:szCs w:val="24"/>
              </w:rPr>
            </w:pPr>
          </w:p>
        </w:tc>
      </w:tr>
      <w:tr w14:paraId="7C0C6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vMerge w:val="continue"/>
            <w:tcBorders>
              <w:top w:val="nil"/>
              <w:left w:val="single" w:color="000000" w:sz="10" w:space="0"/>
            </w:tcBorders>
            <w:vAlign w:val="top"/>
          </w:tcPr>
          <w:p w14:paraId="491E97B2">
            <w:pPr>
              <w:rPr>
                <w:rFonts w:hint="eastAsia" w:ascii="宋体" w:hAnsi="宋体" w:eastAsia="宋体" w:cs="宋体"/>
                <w:color w:val="auto"/>
                <w:sz w:val="24"/>
                <w:szCs w:val="24"/>
              </w:rPr>
            </w:pPr>
          </w:p>
        </w:tc>
        <w:tc>
          <w:tcPr>
            <w:tcW w:w="1016" w:type="dxa"/>
            <w:vAlign w:val="top"/>
          </w:tcPr>
          <w:p w14:paraId="16D7335C">
            <w:pPr>
              <w:pStyle w:val="27"/>
              <w:spacing w:before="114" w:line="219" w:lineRule="auto"/>
              <w:ind w:left="103"/>
              <w:rPr>
                <w:rFonts w:hint="eastAsia" w:ascii="宋体" w:hAnsi="宋体" w:eastAsia="宋体" w:cs="宋体"/>
                <w:color w:val="auto"/>
                <w:sz w:val="24"/>
                <w:szCs w:val="24"/>
              </w:rPr>
            </w:pPr>
            <w:r>
              <w:rPr>
                <w:rFonts w:hint="eastAsia" w:ascii="宋体" w:hAnsi="宋体" w:eastAsia="宋体" w:cs="宋体"/>
                <w:color w:val="auto"/>
                <w:spacing w:val="-4"/>
                <w:sz w:val="24"/>
                <w:szCs w:val="24"/>
              </w:rPr>
              <w:t>传真</w:t>
            </w:r>
          </w:p>
        </w:tc>
        <w:tc>
          <w:tcPr>
            <w:tcW w:w="2244" w:type="dxa"/>
            <w:gridSpan w:val="2"/>
            <w:vAlign w:val="top"/>
          </w:tcPr>
          <w:p w14:paraId="2D588889">
            <w:pPr>
              <w:rPr>
                <w:rFonts w:hint="eastAsia" w:ascii="宋体" w:hAnsi="宋体" w:eastAsia="宋体" w:cs="宋体"/>
                <w:color w:val="auto"/>
                <w:sz w:val="24"/>
                <w:szCs w:val="24"/>
              </w:rPr>
            </w:pPr>
          </w:p>
        </w:tc>
        <w:tc>
          <w:tcPr>
            <w:tcW w:w="1649" w:type="dxa"/>
            <w:vAlign w:val="top"/>
          </w:tcPr>
          <w:p w14:paraId="70032246">
            <w:pPr>
              <w:pStyle w:val="27"/>
              <w:spacing w:before="115" w:line="224" w:lineRule="auto"/>
              <w:ind w:left="132"/>
              <w:rPr>
                <w:rFonts w:hint="eastAsia" w:ascii="宋体" w:hAnsi="宋体" w:eastAsia="宋体" w:cs="宋体"/>
                <w:color w:val="auto"/>
                <w:sz w:val="24"/>
                <w:szCs w:val="24"/>
              </w:rPr>
            </w:pPr>
            <w:r>
              <w:rPr>
                <w:rFonts w:hint="eastAsia" w:ascii="宋体" w:hAnsi="宋体" w:eastAsia="宋体" w:cs="宋体"/>
                <w:color w:val="auto"/>
                <w:spacing w:val="-15"/>
                <w:sz w:val="24"/>
                <w:szCs w:val="24"/>
              </w:rPr>
              <w:t>网址</w:t>
            </w:r>
          </w:p>
        </w:tc>
        <w:tc>
          <w:tcPr>
            <w:tcW w:w="2427" w:type="dxa"/>
            <w:gridSpan w:val="2"/>
            <w:tcBorders>
              <w:right w:val="single" w:color="000000" w:sz="10" w:space="0"/>
            </w:tcBorders>
            <w:vAlign w:val="top"/>
          </w:tcPr>
          <w:p w14:paraId="13CF0CC5">
            <w:pPr>
              <w:rPr>
                <w:rFonts w:hint="eastAsia" w:ascii="宋体" w:hAnsi="宋体" w:eastAsia="宋体" w:cs="宋体"/>
                <w:color w:val="auto"/>
                <w:sz w:val="24"/>
                <w:szCs w:val="24"/>
              </w:rPr>
            </w:pPr>
          </w:p>
        </w:tc>
      </w:tr>
      <w:tr w14:paraId="27207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3EFC27AC">
            <w:pPr>
              <w:pStyle w:val="27"/>
              <w:spacing w:before="115" w:line="220" w:lineRule="auto"/>
              <w:ind w:left="108"/>
              <w:rPr>
                <w:rFonts w:hint="eastAsia" w:ascii="宋体" w:hAnsi="宋体" w:eastAsia="宋体" w:cs="宋体"/>
                <w:color w:val="auto"/>
                <w:sz w:val="24"/>
                <w:szCs w:val="24"/>
              </w:rPr>
            </w:pPr>
            <w:r>
              <w:rPr>
                <w:rFonts w:hint="eastAsia" w:ascii="宋体" w:hAnsi="宋体" w:eastAsia="宋体" w:cs="宋体"/>
                <w:color w:val="auto"/>
                <w:spacing w:val="-3"/>
                <w:sz w:val="24"/>
                <w:szCs w:val="24"/>
              </w:rPr>
              <w:t>单位性质</w:t>
            </w:r>
          </w:p>
        </w:tc>
        <w:tc>
          <w:tcPr>
            <w:tcW w:w="7336" w:type="dxa"/>
            <w:gridSpan w:val="6"/>
            <w:tcBorders>
              <w:right w:val="single" w:color="000000" w:sz="10" w:space="0"/>
            </w:tcBorders>
            <w:vAlign w:val="top"/>
          </w:tcPr>
          <w:p w14:paraId="67540A57">
            <w:pPr>
              <w:rPr>
                <w:rFonts w:hint="eastAsia" w:ascii="宋体" w:hAnsi="宋体" w:eastAsia="宋体" w:cs="宋体"/>
                <w:color w:val="auto"/>
                <w:sz w:val="24"/>
                <w:szCs w:val="24"/>
              </w:rPr>
            </w:pPr>
          </w:p>
        </w:tc>
      </w:tr>
      <w:tr w14:paraId="663E81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60C2D9D2">
            <w:pPr>
              <w:pStyle w:val="27"/>
              <w:spacing w:before="116" w:line="219" w:lineRule="auto"/>
              <w:ind w:left="107"/>
              <w:rPr>
                <w:rFonts w:hint="eastAsia" w:ascii="宋体" w:hAnsi="宋体" w:eastAsia="宋体" w:cs="宋体"/>
                <w:color w:val="auto"/>
                <w:sz w:val="24"/>
                <w:szCs w:val="24"/>
              </w:rPr>
            </w:pPr>
            <w:r>
              <w:rPr>
                <w:rFonts w:hint="eastAsia" w:ascii="宋体" w:hAnsi="宋体" w:eastAsia="宋体" w:cs="宋体"/>
                <w:color w:val="auto"/>
                <w:spacing w:val="-3"/>
                <w:sz w:val="24"/>
                <w:szCs w:val="24"/>
              </w:rPr>
              <w:t>法定代表人</w:t>
            </w:r>
          </w:p>
        </w:tc>
        <w:tc>
          <w:tcPr>
            <w:tcW w:w="2049" w:type="dxa"/>
            <w:gridSpan w:val="2"/>
            <w:vAlign w:val="top"/>
          </w:tcPr>
          <w:p w14:paraId="2FAEA37A">
            <w:pPr>
              <w:rPr>
                <w:rFonts w:hint="eastAsia" w:ascii="宋体" w:hAnsi="宋体" w:eastAsia="宋体" w:cs="宋体"/>
                <w:color w:val="auto"/>
                <w:sz w:val="24"/>
                <w:szCs w:val="24"/>
              </w:rPr>
            </w:pPr>
          </w:p>
        </w:tc>
        <w:tc>
          <w:tcPr>
            <w:tcW w:w="1211" w:type="dxa"/>
            <w:vAlign w:val="top"/>
          </w:tcPr>
          <w:p w14:paraId="59CD8D9E">
            <w:pPr>
              <w:pStyle w:val="27"/>
              <w:spacing w:before="116" w:line="219" w:lineRule="auto"/>
              <w:ind w:left="111"/>
              <w:rPr>
                <w:rFonts w:hint="eastAsia" w:ascii="宋体" w:hAnsi="宋体" w:eastAsia="宋体" w:cs="宋体"/>
                <w:color w:val="auto"/>
                <w:sz w:val="24"/>
                <w:szCs w:val="24"/>
              </w:rPr>
            </w:pPr>
            <w:r>
              <w:rPr>
                <w:rFonts w:hint="eastAsia" w:ascii="宋体" w:hAnsi="宋体" w:eastAsia="宋体" w:cs="宋体"/>
                <w:color w:val="auto"/>
                <w:spacing w:val="-3"/>
                <w:sz w:val="24"/>
                <w:szCs w:val="24"/>
              </w:rPr>
              <w:t>技术职称</w:t>
            </w:r>
          </w:p>
        </w:tc>
        <w:tc>
          <w:tcPr>
            <w:tcW w:w="1649" w:type="dxa"/>
            <w:vAlign w:val="top"/>
          </w:tcPr>
          <w:p w14:paraId="20A44E3F">
            <w:pPr>
              <w:rPr>
                <w:rFonts w:hint="eastAsia" w:ascii="宋体" w:hAnsi="宋体" w:eastAsia="宋体" w:cs="宋体"/>
                <w:color w:val="auto"/>
                <w:sz w:val="24"/>
                <w:szCs w:val="24"/>
              </w:rPr>
            </w:pPr>
          </w:p>
        </w:tc>
        <w:tc>
          <w:tcPr>
            <w:tcW w:w="795" w:type="dxa"/>
            <w:vAlign w:val="top"/>
          </w:tcPr>
          <w:p w14:paraId="46D8B5D8">
            <w:pPr>
              <w:pStyle w:val="27"/>
              <w:spacing w:before="116" w:line="221" w:lineRule="auto"/>
              <w:ind w:left="146"/>
              <w:rPr>
                <w:rFonts w:hint="eastAsia" w:ascii="宋体" w:hAnsi="宋体" w:eastAsia="宋体" w:cs="宋体"/>
                <w:color w:val="auto"/>
                <w:sz w:val="24"/>
                <w:szCs w:val="24"/>
              </w:rPr>
            </w:pPr>
            <w:r>
              <w:rPr>
                <w:rFonts w:hint="eastAsia" w:ascii="宋体" w:hAnsi="宋体" w:eastAsia="宋体" w:cs="宋体"/>
                <w:color w:val="auto"/>
                <w:spacing w:val="-19"/>
                <w:sz w:val="24"/>
                <w:szCs w:val="24"/>
              </w:rPr>
              <w:t>电话</w:t>
            </w:r>
          </w:p>
        </w:tc>
        <w:tc>
          <w:tcPr>
            <w:tcW w:w="1632" w:type="dxa"/>
            <w:tcBorders>
              <w:right w:val="single" w:color="000000" w:sz="10" w:space="0"/>
            </w:tcBorders>
            <w:vAlign w:val="top"/>
          </w:tcPr>
          <w:p w14:paraId="2D097AED">
            <w:pPr>
              <w:rPr>
                <w:rFonts w:hint="eastAsia" w:ascii="宋体" w:hAnsi="宋体" w:eastAsia="宋体" w:cs="宋体"/>
                <w:color w:val="auto"/>
                <w:sz w:val="24"/>
                <w:szCs w:val="24"/>
              </w:rPr>
            </w:pPr>
          </w:p>
        </w:tc>
      </w:tr>
      <w:tr w14:paraId="6DCF11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0" w:hRule="atLeast"/>
        </w:trPr>
        <w:tc>
          <w:tcPr>
            <w:tcW w:w="1734" w:type="dxa"/>
            <w:tcBorders>
              <w:left w:val="single" w:color="000000" w:sz="10" w:space="0"/>
            </w:tcBorders>
            <w:vAlign w:val="top"/>
          </w:tcPr>
          <w:p w14:paraId="5D54940F">
            <w:pPr>
              <w:pStyle w:val="27"/>
              <w:spacing w:before="117" w:line="219" w:lineRule="auto"/>
              <w:ind w:left="107"/>
              <w:rPr>
                <w:rFonts w:hint="eastAsia" w:ascii="宋体" w:hAnsi="宋体" w:eastAsia="宋体" w:cs="宋体"/>
                <w:color w:val="auto"/>
                <w:sz w:val="24"/>
                <w:szCs w:val="24"/>
              </w:rPr>
            </w:pPr>
            <w:r>
              <w:rPr>
                <w:rFonts w:hint="eastAsia" w:ascii="宋体" w:hAnsi="宋体" w:eastAsia="宋体" w:cs="宋体"/>
                <w:color w:val="auto"/>
                <w:spacing w:val="-3"/>
                <w:sz w:val="24"/>
                <w:szCs w:val="24"/>
              </w:rPr>
              <w:t>技术负责人</w:t>
            </w:r>
          </w:p>
        </w:tc>
        <w:tc>
          <w:tcPr>
            <w:tcW w:w="2049" w:type="dxa"/>
            <w:gridSpan w:val="2"/>
            <w:tcBorders>
              <w:bottom w:val="single" w:color="000000" w:sz="2" w:space="0"/>
            </w:tcBorders>
            <w:vAlign w:val="top"/>
          </w:tcPr>
          <w:p w14:paraId="386BF7A5">
            <w:pPr>
              <w:rPr>
                <w:rFonts w:hint="eastAsia" w:ascii="宋体" w:hAnsi="宋体" w:eastAsia="宋体" w:cs="宋体"/>
                <w:color w:val="auto"/>
                <w:sz w:val="24"/>
                <w:szCs w:val="24"/>
              </w:rPr>
            </w:pPr>
          </w:p>
        </w:tc>
        <w:tc>
          <w:tcPr>
            <w:tcW w:w="1211" w:type="dxa"/>
            <w:tcBorders>
              <w:bottom w:val="single" w:color="000000" w:sz="2" w:space="0"/>
            </w:tcBorders>
            <w:vAlign w:val="top"/>
          </w:tcPr>
          <w:p w14:paraId="7B7E9327">
            <w:pPr>
              <w:pStyle w:val="27"/>
              <w:spacing w:before="117" w:line="219" w:lineRule="auto"/>
              <w:ind w:left="111"/>
              <w:rPr>
                <w:rFonts w:hint="eastAsia" w:ascii="宋体" w:hAnsi="宋体" w:eastAsia="宋体" w:cs="宋体"/>
                <w:color w:val="auto"/>
                <w:sz w:val="24"/>
                <w:szCs w:val="24"/>
              </w:rPr>
            </w:pPr>
            <w:r>
              <w:rPr>
                <w:rFonts w:hint="eastAsia" w:ascii="宋体" w:hAnsi="宋体" w:eastAsia="宋体" w:cs="宋体"/>
                <w:color w:val="auto"/>
                <w:spacing w:val="-3"/>
                <w:sz w:val="24"/>
                <w:szCs w:val="24"/>
              </w:rPr>
              <w:t>技术职称</w:t>
            </w:r>
          </w:p>
        </w:tc>
        <w:tc>
          <w:tcPr>
            <w:tcW w:w="1649" w:type="dxa"/>
            <w:vAlign w:val="top"/>
          </w:tcPr>
          <w:p w14:paraId="3D49DC55">
            <w:pPr>
              <w:rPr>
                <w:rFonts w:hint="eastAsia" w:ascii="宋体" w:hAnsi="宋体" w:eastAsia="宋体" w:cs="宋体"/>
                <w:color w:val="auto"/>
                <w:sz w:val="24"/>
                <w:szCs w:val="24"/>
              </w:rPr>
            </w:pPr>
          </w:p>
        </w:tc>
        <w:tc>
          <w:tcPr>
            <w:tcW w:w="795" w:type="dxa"/>
            <w:vAlign w:val="top"/>
          </w:tcPr>
          <w:p w14:paraId="2BA6FBC4">
            <w:pPr>
              <w:pStyle w:val="27"/>
              <w:spacing w:before="117" w:line="221" w:lineRule="auto"/>
              <w:ind w:left="146"/>
              <w:rPr>
                <w:rFonts w:hint="eastAsia" w:ascii="宋体" w:hAnsi="宋体" w:eastAsia="宋体" w:cs="宋体"/>
                <w:color w:val="auto"/>
                <w:sz w:val="24"/>
                <w:szCs w:val="24"/>
              </w:rPr>
            </w:pPr>
            <w:r>
              <w:rPr>
                <w:rFonts w:hint="eastAsia" w:ascii="宋体" w:hAnsi="宋体" w:eastAsia="宋体" w:cs="宋体"/>
                <w:color w:val="auto"/>
                <w:spacing w:val="-19"/>
                <w:sz w:val="24"/>
                <w:szCs w:val="24"/>
              </w:rPr>
              <w:t>电话</w:t>
            </w:r>
          </w:p>
        </w:tc>
        <w:tc>
          <w:tcPr>
            <w:tcW w:w="1632" w:type="dxa"/>
            <w:tcBorders>
              <w:right w:val="single" w:color="000000" w:sz="10" w:space="0"/>
            </w:tcBorders>
            <w:vAlign w:val="top"/>
          </w:tcPr>
          <w:p w14:paraId="5746F77F">
            <w:pPr>
              <w:rPr>
                <w:rFonts w:hint="eastAsia" w:ascii="宋体" w:hAnsi="宋体" w:eastAsia="宋体" w:cs="宋体"/>
                <w:color w:val="auto"/>
                <w:sz w:val="24"/>
                <w:szCs w:val="24"/>
              </w:rPr>
            </w:pPr>
          </w:p>
        </w:tc>
      </w:tr>
      <w:tr w14:paraId="0A7B3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7" w:hRule="atLeast"/>
        </w:trPr>
        <w:tc>
          <w:tcPr>
            <w:tcW w:w="1734" w:type="dxa"/>
            <w:tcBorders>
              <w:left w:val="single" w:color="000000" w:sz="10" w:space="0"/>
              <w:right w:val="single" w:color="000000" w:sz="2" w:space="0"/>
            </w:tcBorders>
            <w:vAlign w:val="top"/>
          </w:tcPr>
          <w:p w14:paraId="5E1571F1">
            <w:pPr>
              <w:pStyle w:val="27"/>
              <w:spacing w:before="121" w:line="468" w:lineRule="exact"/>
              <w:ind w:left="110"/>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企业资</w:t>
            </w:r>
          </w:p>
          <w:p w14:paraId="54BB6270">
            <w:pPr>
              <w:pStyle w:val="27"/>
              <w:spacing w:line="219" w:lineRule="auto"/>
              <w:ind w:left="107"/>
              <w:rPr>
                <w:rFonts w:hint="eastAsia" w:ascii="宋体" w:hAnsi="宋体" w:eastAsia="宋体" w:cs="宋体"/>
                <w:color w:val="auto"/>
                <w:sz w:val="24"/>
                <w:szCs w:val="24"/>
              </w:rPr>
            </w:pPr>
            <w:r>
              <w:rPr>
                <w:rFonts w:hint="eastAsia" w:ascii="宋体" w:hAnsi="宋体" w:eastAsia="宋体" w:cs="宋体"/>
                <w:color w:val="auto"/>
                <w:spacing w:val="-4"/>
                <w:sz w:val="24"/>
                <w:szCs w:val="24"/>
              </w:rPr>
              <w:t>质等级</w:t>
            </w:r>
          </w:p>
        </w:tc>
        <w:tc>
          <w:tcPr>
            <w:tcW w:w="2049" w:type="dxa"/>
            <w:gridSpan w:val="2"/>
            <w:tcBorders>
              <w:top w:val="single" w:color="000000" w:sz="2" w:space="0"/>
              <w:left w:val="single" w:color="000000" w:sz="2" w:space="0"/>
              <w:bottom w:val="single" w:color="000000" w:sz="2" w:space="0"/>
              <w:right w:val="single" w:color="000000" w:sz="2" w:space="0"/>
            </w:tcBorders>
            <w:vAlign w:val="top"/>
          </w:tcPr>
          <w:p w14:paraId="78004EE9">
            <w:pPr>
              <w:rPr>
                <w:rFonts w:hint="eastAsia" w:ascii="宋体" w:hAnsi="宋体" w:eastAsia="宋体" w:cs="宋体"/>
                <w:color w:val="auto"/>
                <w:sz w:val="24"/>
                <w:szCs w:val="24"/>
              </w:rPr>
            </w:pPr>
          </w:p>
        </w:tc>
        <w:tc>
          <w:tcPr>
            <w:tcW w:w="1211" w:type="dxa"/>
            <w:tcBorders>
              <w:top w:val="single" w:color="000000" w:sz="2" w:space="0"/>
              <w:left w:val="single" w:color="000000" w:sz="2" w:space="0"/>
              <w:bottom w:val="single" w:color="000000" w:sz="2" w:space="0"/>
              <w:right w:val="single" w:color="000000" w:sz="2" w:space="0"/>
            </w:tcBorders>
            <w:vAlign w:val="top"/>
          </w:tcPr>
          <w:p w14:paraId="728E5E10">
            <w:pPr>
              <w:spacing w:line="274" w:lineRule="auto"/>
              <w:rPr>
                <w:rFonts w:hint="eastAsia" w:ascii="宋体" w:hAnsi="宋体" w:eastAsia="宋体" w:cs="宋体"/>
                <w:color w:val="auto"/>
                <w:sz w:val="24"/>
                <w:szCs w:val="24"/>
              </w:rPr>
            </w:pPr>
          </w:p>
          <w:p w14:paraId="19EAEEF0">
            <w:pPr>
              <w:pStyle w:val="27"/>
              <w:spacing w:before="78" w:line="221" w:lineRule="auto"/>
              <w:ind w:left="115"/>
              <w:rPr>
                <w:rFonts w:hint="eastAsia" w:ascii="宋体" w:hAnsi="宋体" w:eastAsia="宋体" w:cs="宋体"/>
                <w:color w:val="auto"/>
                <w:sz w:val="24"/>
                <w:szCs w:val="24"/>
              </w:rPr>
            </w:pPr>
            <w:r>
              <w:rPr>
                <w:rFonts w:hint="eastAsia" w:ascii="宋体" w:hAnsi="宋体" w:eastAsia="宋体" w:cs="宋体"/>
                <w:color w:val="auto"/>
                <w:spacing w:val="-3"/>
                <w:sz w:val="24"/>
                <w:szCs w:val="24"/>
              </w:rPr>
              <w:t>成立时间</w:t>
            </w:r>
          </w:p>
        </w:tc>
        <w:tc>
          <w:tcPr>
            <w:tcW w:w="4076" w:type="dxa"/>
            <w:gridSpan w:val="3"/>
            <w:tcBorders>
              <w:left w:val="single" w:color="000000" w:sz="2" w:space="0"/>
              <w:right w:val="single" w:color="000000" w:sz="10" w:space="0"/>
            </w:tcBorders>
            <w:vAlign w:val="top"/>
          </w:tcPr>
          <w:p w14:paraId="5CEED3C6">
            <w:pPr>
              <w:rPr>
                <w:rFonts w:hint="eastAsia" w:ascii="宋体" w:hAnsi="宋体" w:eastAsia="宋体" w:cs="宋体"/>
                <w:color w:val="auto"/>
                <w:sz w:val="24"/>
                <w:szCs w:val="24"/>
              </w:rPr>
            </w:pPr>
          </w:p>
        </w:tc>
      </w:tr>
      <w:tr w14:paraId="64125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19137DD5">
            <w:pPr>
              <w:pStyle w:val="27"/>
              <w:spacing w:before="124" w:line="221" w:lineRule="auto"/>
              <w:ind w:left="106"/>
              <w:rPr>
                <w:rFonts w:hint="eastAsia" w:ascii="宋体" w:hAnsi="宋体" w:eastAsia="宋体" w:cs="宋体"/>
                <w:color w:val="auto"/>
                <w:sz w:val="24"/>
                <w:szCs w:val="24"/>
              </w:rPr>
            </w:pPr>
            <w:r>
              <w:rPr>
                <w:rFonts w:hint="eastAsia" w:ascii="宋体" w:hAnsi="宋体" w:eastAsia="宋体" w:cs="宋体"/>
                <w:color w:val="auto"/>
                <w:spacing w:val="-3"/>
                <w:sz w:val="24"/>
                <w:szCs w:val="24"/>
              </w:rPr>
              <w:t>注册资金</w:t>
            </w:r>
          </w:p>
        </w:tc>
        <w:tc>
          <w:tcPr>
            <w:tcW w:w="2049" w:type="dxa"/>
            <w:gridSpan w:val="2"/>
            <w:tcBorders>
              <w:top w:val="single" w:color="000000" w:sz="2" w:space="0"/>
            </w:tcBorders>
            <w:vAlign w:val="top"/>
          </w:tcPr>
          <w:p w14:paraId="3F33746D">
            <w:pPr>
              <w:pStyle w:val="27"/>
              <w:spacing w:before="124" w:line="220" w:lineRule="auto"/>
              <w:ind w:left="1311"/>
              <w:rPr>
                <w:rFonts w:hint="eastAsia" w:ascii="宋体" w:hAnsi="宋体" w:eastAsia="宋体" w:cs="宋体"/>
                <w:color w:val="auto"/>
                <w:sz w:val="24"/>
                <w:szCs w:val="24"/>
              </w:rPr>
            </w:pPr>
            <w:r>
              <w:rPr>
                <w:rFonts w:hint="eastAsia" w:ascii="宋体" w:hAnsi="宋体" w:eastAsia="宋体" w:cs="宋体"/>
                <w:color w:val="auto"/>
                <w:spacing w:val="-8"/>
                <w:sz w:val="24"/>
                <w:szCs w:val="24"/>
              </w:rPr>
              <w:t>万元</w:t>
            </w:r>
          </w:p>
        </w:tc>
        <w:tc>
          <w:tcPr>
            <w:tcW w:w="1211" w:type="dxa"/>
            <w:vMerge w:val="restart"/>
            <w:tcBorders>
              <w:top w:val="single" w:color="000000" w:sz="2" w:space="0"/>
              <w:bottom w:val="nil"/>
            </w:tcBorders>
            <w:vAlign w:val="top"/>
          </w:tcPr>
          <w:p w14:paraId="73CE38EE">
            <w:pPr>
              <w:spacing w:line="259" w:lineRule="auto"/>
              <w:rPr>
                <w:rFonts w:hint="eastAsia" w:ascii="宋体" w:hAnsi="宋体" w:eastAsia="宋体" w:cs="宋体"/>
                <w:color w:val="auto"/>
                <w:sz w:val="24"/>
                <w:szCs w:val="24"/>
              </w:rPr>
            </w:pPr>
          </w:p>
          <w:p w14:paraId="4D32ABA0">
            <w:pPr>
              <w:spacing w:line="260" w:lineRule="auto"/>
              <w:rPr>
                <w:rFonts w:hint="eastAsia" w:ascii="宋体" w:hAnsi="宋体" w:eastAsia="宋体" w:cs="宋体"/>
                <w:color w:val="auto"/>
                <w:sz w:val="24"/>
                <w:szCs w:val="24"/>
              </w:rPr>
            </w:pPr>
          </w:p>
          <w:p w14:paraId="79CFE30C">
            <w:pPr>
              <w:pStyle w:val="27"/>
              <w:spacing w:before="78" w:line="219" w:lineRule="auto"/>
              <w:ind w:left="131"/>
              <w:rPr>
                <w:rFonts w:hint="eastAsia" w:ascii="宋体" w:hAnsi="宋体" w:eastAsia="宋体" w:cs="宋体"/>
                <w:color w:val="auto"/>
                <w:sz w:val="24"/>
                <w:szCs w:val="24"/>
              </w:rPr>
            </w:pPr>
            <w:r>
              <w:rPr>
                <w:rFonts w:hint="eastAsia" w:ascii="宋体" w:hAnsi="宋体" w:eastAsia="宋体" w:cs="宋体"/>
                <w:color w:val="auto"/>
                <w:spacing w:val="-8"/>
                <w:sz w:val="24"/>
                <w:szCs w:val="24"/>
              </w:rPr>
              <w:t>固定资产</w:t>
            </w:r>
          </w:p>
        </w:tc>
        <w:tc>
          <w:tcPr>
            <w:tcW w:w="1649" w:type="dxa"/>
            <w:vAlign w:val="top"/>
          </w:tcPr>
          <w:p w14:paraId="6B6FA9D4">
            <w:pPr>
              <w:pStyle w:val="27"/>
              <w:spacing w:before="125" w:line="219" w:lineRule="auto"/>
              <w:ind w:left="119"/>
              <w:rPr>
                <w:rFonts w:hint="eastAsia" w:ascii="宋体" w:hAnsi="宋体" w:eastAsia="宋体" w:cs="宋体"/>
                <w:color w:val="auto"/>
                <w:sz w:val="24"/>
                <w:szCs w:val="24"/>
              </w:rPr>
            </w:pPr>
            <w:r>
              <w:rPr>
                <w:rFonts w:hint="eastAsia" w:ascii="宋体" w:hAnsi="宋体" w:eastAsia="宋体" w:cs="宋体"/>
                <w:color w:val="auto"/>
                <w:spacing w:val="-8"/>
                <w:sz w:val="24"/>
                <w:szCs w:val="24"/>
              </w:rPr>
              <w:t>原值</w:t>
            </w:r>
          </w:p>
        </w:tc>
        <w:tc>
          <w:tcPr>
            <w:tcW w:w="2427" w:type="dxa"/>
            <w:gridSpan w:val="2"/>
            <w:tcBorders>
              <w:right w:val="single" w:color="000000" w:sz="10" w:space="0"/>
            </w:tcBorders>
            <w:vAlign w:val="top"/>
          </w:tcPr>
          <w:p w14:paraId="6156554E">
            <w:pPr>
              <w:pStyle w:val="27"/>
              <w:spacing w:before="124" w:line="220" w:lineRule="auto"/>
              <w:ind w:left="1847"/>
              <w:rPr>
                <w:rFonts w:hint="eastAsia" w:ascii="宋体" w:hAnsi="宋体" w:eastAsia="宋体" w:cs="宋体"/>
                <w:color w:val="auto"/>
                <w:sz w:val="24"/>
                <w:szCs w:val="24"/>
              </w:rPr>
            </w:pPr>
            <w:r>
              <w:rPr>
                <w:rFonts w:hint="eastAsia" w:ascii="宋体" w:hAnsi="宋体" w:eastAsia="宋体" w:cs="宋体"/>
                <w:color w:val="auto"/>
                <w:spacing w:val="-8"/>
                <w:sz w:val="24"/>
                <w:szCs w:val="24"/>
              </w:rPr>
              <w:t>万元</w:t>
            </w:r>
          </w:p>
        </w:tc>
      </w:tr>
      <w:tr w14:paraId="7F0C90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734" w:type="dxa"/>
            <w:tcBorders>
              <w:left w:val="single" w:color="000000" w:sz="10" w:space="0"/>
            </w:tcBorders>
            <w:vAlign w:val="top"/>
          </w:tcPr>
          <w:p w14:paraId="6809FFBF">
            <w:pPr>
              <w:pStyle w:val="27"/>
              <w:spacing w:before="125" w:line="468" w:lineRule="exact"/>
              <w:ind w:left="107"/>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流动资金（上</w:t>
            </w:r>
          </w:p>
          <w:p w14:paraId="0EC3B034">
            <w:pPr>
              <w:pStyle w:val="27"/>
              <w:spacing w:line="219" w:lineRule="auto"/>
              <w:ind w:left="107"/>
              <w:rPr>
                <w:rFonts w:hint="eastAsia" w:ascii="宋体" w:hAnsi="宋体" w:eastAsia="宋体" w:cs="宋体"/>
                <w:color w:val="auto"/>
                <w:sz w:val="24"/>
                <w:szCs w:val="24"/>
              </w:rPr>
            </w:pPr>
            <w:r>
              <w:rPr>
                <w:rFonts w:hint="eastAsia" w:ascii="宋体" w:hAnsi="宋体" w:eastAsia="宋体" w:cs="宋体"/>
                <w:color w:val="auto"/>
                <w:spacing w:val="-4"/>
                <w:sz w:val="24"/>
                <w:szCs w:val="24"/>
              </w:rPr>
              <w:t>年度）</w:t>
            </w:r>
          </w:p>
        </w:tc>
        <w:tc>
          <w:tcPr>
            <w:tcW w:w="2049" w:type="dxa"/>
            <w:gridSpan w:val="2"/>
            <w:vAlign w:val="top"/>
          </w:tcPr>
          <w:p w14:paraId="00E92085">
            <w:pPr>
              <w:spacing w:line="280" w:lineRule="auto"/>
              <w:rPr>
                <w:rFonts w:hint="eastAsia" w:ascii="宋体" w:hAnsi="宋体" w:eastAsia="宋体" w:cs="宋体"/>
                <w:color w:val="auto"/>
                <w:sz w:val="24"/>
                <w:szCs w:val="24"/>
              </w:rPr>
            </w:pPr>
          </w:p>
          <w:p w14:paraId="71D31D4F">
            <w:pPr>
              <w:pStyle w:val="27"/>
              <w:spacing w:before="78" w:line="220" w:lineRule="auto"/>
              <w:ind w:left="1311"/>
              <w:rPr>
                <w:rFonts w:hint="eastAsia" w:ascii="宋体" w:hAnsi="宋体" w:eastAsia="宋体" w:cs="宋体"/>
                <w:color w:val="auto"/>
                <w:sz w:val="24"/>
                <w:szCs w:val="24"/>
              </w:rPr>
            </w:pPr>
            <w:r>
              <w:rPr>
                <w:rFonts w:hint="eastAsia" w:ascii="宋体" w:hAnsi="宋体" w:eastAsia="宋体" w:cs="宋体"/>
                <w:color w:val="auto"/>
                <w:spacing w:val="-8"/>
                <w:sz w:val="24"/>
                <w:szCs w:val="24"/>
              </w:rPr>
              <w:t>万元</w:t>
            </w:r>
          </w:p>
        </w:tc>
        <w:tc>
          <w:tcPr>
            <w:tcW w:w="1211" w:type="dxa"/>
            <w:vMerge w:val="continue"/>
            <w:tcBorders>
              <w:top w:val="nil"/>
            </w:tcBorders>
            <w:vAlign w:val="top"/>
          </w:tcPr>
          <w:p w14:paraId="65036BD3">
            <w:pPr>
              <w:rPr>
                <w:rFonts w:hint="eastAsia" w:ascii="宋体" w:hAnsi="宋体" w:eastAsia="宋体" w:cs="宋体"/>
                <w:color w:val="auto"/>
                <w:sz w:val="24"/>
                <w:szCs w:val="24"/>
              </w:rPr>
            </w:pPr>
          </w:p>
        </w:tc>
        <w:tc>
          <w:tcPr>
            <w:tcW w:w="1649" w:type="dxa"/>
            <w:vAlign w:val="top"/>
          </w:tcPr>
          <w:p w14:paraId="256F4E54">
            <w:pPr>
              <w:spacing w:line="281" w:lineRule="auto"/>
              <w:rPr>
                <w:rFonts w:hint="eastAsia" w:ascii="宋体" w:hAnsi="宋体" w:eastAsia="宋体" w:cs="宋体"/>
                <w:color w:val="auto"/>
                <w:sz w:val="24"/>
                <w:szCs w:val="24"/>
              </w:rPr>
            </w:pPr>
          </w:p>
          <w:p w14:paraId="372FFC53">
            <w:pPr>
              <w:pStyle w:val="27"/>
              <w:spacing w:before="78" w:line="219" w:lineRule="auto"/>
              <w:ind w:left="116"/>
              <w:rPr>
                <w:rFonts w:hint="eastAsia" w:ascii="宋体" w:hAnsi="宋体" w:eastAsia="宋体" w:cs="宋体"/>
                <w:color w:val="auto"/>
                <w:sz w:val="24"/>
                <w:szCs w:val="24"/>
              </w:rPr>
            </w:pPr>
            <w:r>
              <w:rPr>
                <w:rFonts w:hint="eastAsia" w:ascii="宋体" w:hAnsi="宋体" w:eastAsia="宋体" w:cs="宋体"/>
                <w:color w:val="auto"/>
                <w:spacing w:val="-7"/>
                <w:sz w:val="24"/>
                <w:szCs w:val="24"/>
              </w:rPr>
              <w:t>净值</w:t>
            </w:r>
          </w:p>
        </w:tc>
        <w:tc>
          <w:tcPr>
            <w:tcW w:w="2427" w:type="dxa"/>
            <w:gridSpan w:val="2"/>
            <w:tcBorders>
              <w:right w:val="single" w:color="000000" w:sz="10" w:space="0"/>
            </w:tcBorders>
            <w:vAlign w:val="top"/>
          </w:tcPr>
          <w:p w14:paraId="7D4735CA">
            <w:pPr>
              <w:spacing w:line="280" w:lineRule="auto"/>
              <w:rPr>
                <w:rFonts w:hint="eastAsia" w:ascii="宋体" w:hAnsi="宋体" w:eastAsia="宋体" w:cs="宋体"/>
                <w:color w:val="auto"/>
                <w:sz w:val="24"/>
                <w:szCs w:val="24"/>
              </w:rPr>
            </w:pPr>
          </w:p>
          <w:p w14:paraId="1741E07C">
            <w:pPr>
              <w:pStyle w:val="27"/>
              <w:spacing w:before="78" w:line="220" w:lineRule="auto"/>
              <w:ind w:left="1847"/>
              <w:rPr>
                <w:rFonts w:hint="eastAsia" w:ascii="宋体" w:hAnsi="宋体" w:eastAsia="宋体" w:cs="宋体"/>
                <w:color w:val="auto"/>
                <w:sz w:val="24"/>
                <w:szCs w:val="24"/>
              </w:rPr>
            </w:pPr>
            <w:r>
              <w:rPr>
                <w:rFonts w:hint="eastAsia" w:ascii="宋体" w:hAnsi="宋体" w:eastAsia="宋体" w:cs="宋体"/>
                <w:color w:val="auto"/>
                <w:spacing w:val="-8"/>
                <w:sz w:val="24"/>
                <w:szCs w:val="24"/>
              </w:rPr>
              <w:t>万元</w:t>
            </w:r>
          </w:p>
        </w:tc>
      </w:tr>
      <w:tr w14:paraId="5BF74B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0A9F2AAA">
            <w:pPr>
              <w:pStyle w:val="27"/>
              <w:spacing w:before="126" w:line="220" w:lineRule="auto"/>
              <w:ind w:left="107"/>
              <w:rPr>
                <w:rFonts w:hint="eastAsia" w:ascii="宋体" w:hAnsi="宋体" w:eastAsia="宋体" w:cs="宋体"/>
                <w:color w:val="auto"/>
                <w:sz w:val="24"/>
                <w:szCs w:val="24"/>
              </w:rPr>
            </w:pPr>
            <w:r>
              <w:rPr>
                <w:rFonts w:hint="eastAsia" w:ascii="宋体" w:hAnsi="宋体" w:eastAsia="宋体" w:cs="宋体"/>
                <w:color w:val="auto"/>
                <w:spacing w:val="-3"/>
                <w:sz w:val="24"/>
                <w:szCs w:val="24"/>
              </w:rPr>
              <w:t>开户银行</w:t>
            </w:r>
          </w:p>
        </w:tc>
        <w:tc>
          <w:tcPr>
            <w:tcW w:w="2049" w:type="dxa"/>
            <w:gridSpan w:val="2"/>
            <w:vAlign w:val="top"/>
          </w:tcPr>
          <w:p w14:paraId="7A16CB8F">
            <w:pPr>
              <w:rPr>
                <w:rFonts w:hint="eastAsia" w:ascii="宋体" w:hAnsi="宋体" w:eastAsia="宋体" w:cs="宋体"/>
                <w:color w:val="auto"/>
                <w:sz w:val="24"/>
                <w:szCs w:val="24"/>
              </w:rPr>
            </w:pPr>
          </w:p>
        </w:tc>
        <w:tc>
          <w:tcPr>
            <w:tcW w:w="1211" w:type="dxa"/>
            <w:vMerge w:val="restart"/>
            <w:tcBorders>
              <w:bottom w:val="nil"/>
            </w:tcBorders>
            <w:vAlign w:val="top"/>
          </w:tcPr>
          <w:p w14:paraId="7EFF2FEE">
            <w:pPr>
              <w:spacing w:line="289" w:lineRule="auto"/>
              <w:rPr>
                <w:rFonts w:hint="eastAsia" w:ascii="宋体" w:hAnsi="宋体" w:eastAsia="宋体" w:cs="宋体"/>
                <w:color w:val="auto"/>
                <w:sz w:val="24"/>
                <w:szCs w:val="24"/>
              </w:rPr>
            </w:pPr>
          </w:p>
          <w:p w14:paraId="64D59AE0">
            <w:pPr>
              <w:pStyle w:val="27"/>
              <w:spacing w:before="78" w:line="219" w:lineRule="auto"/>
              <w:ind w:left="111"/>
              <w:rPr>
                <w:rFonts w:hint="eastAsia" w:ascii="宋体" w:hAnsi="宋体" w:eastAsia="宋体" w:cs="宋体"/>
                <w:color w:val="auto"/>
                <w:sz w:val="24"/>
                <w:szCs w:val="24"/>
              </w:rPr>
            </w:pPr>
            <w:r>
              <w:rPr>
                <w:rFonts w:hint="eastAsia" w:ascii="宋体" w:hAnsi="宋体" w:eastAsia="宋体" w:cs="宋体"/>
                <w:color w:val="auto"/>
                <w:spacing w:val="-3"/>
                <w:sz w:val="24"/>
                <w:szCs w:val="24"/>
              </w:rPr>
              <w:t>职工总数</w:t>
            </w:r>
          </w:p>
        </w:tc>
        <w:tc>
          <w:tcPr>
            <w:tcW w:w="1649" w:type="dxa"/>
            <w:vAlign w:val="top"/>
          </w:tcPr>
          <w:p w14:paraId="6AFDE7B7">
            <w:pPr>
              <w:pStyle w:val="27"/>
              <w:spacing w:before="127" w:line="219" w:lineRule="auto"/>
              <w:ind w:left="115"/>
              <w:rPr>
                <w:rFonts w:hint="eastAsia" w:ascii="宋体" w:hAnsi="宋体" w:eastAsia="宋体" w:cs="宋体"/>
                <w:color w:val="auto"/>
                <w:sz w:val="24"/>
                <w:szCs w:val="24"/>
              </w:rPr>
            </w:pPr>
            <w:r>
              <w:rPr>
                <w:rFonts w:hint="eastAsia" w:ascii="宋体" w:hAnsi="宋体" w:eastAsia="宋体" w:cs="宋体"/>
                <w:color w:val="auto"/>
                <w:spacing w:val="-3"/>
                <w:sz w:val="24"/>
                <w:szCs w:val="24"/>
              </w:rPr>
              <w:t>生产工人</w:t>
            </w:r>
          </w:p>
        </w:tc>
        <w:tc>
          <w:tcPr>
            <w:tcW w:w="2427" w:type="dxa"/>
            <w:gridSpan w:val="2"/>
            <w:tcBorders>
              <w:right w:val="single" w:color="000000" w:sz="10" w:space="0"/>
            </w:tcBorders>
            <w:vAlign w:val="top"/>
          </w:tcPr>
          <w:p w14:paraId="733C444B">
            <w:pPr>
              <w:pStyle w:val="27"/>
              <w:spacing w:before="126" w:line="222" w:lineRule="auto"/>
              <w:ind w:left="2083"/>
              <w:rPr>
                <w:rFonts w:hint="eastAsia" w:ascii="宋体" w:hAnsi="宋体" w:eastAsia="宋体" w:cs="宋体"/>
                <w:color w:val="auto"/>
                <w:sz w:val="24"/>
                <w:szCs w:val="24"/>
              </w:rPr>
            </w:pPr>
            <w:r>
              <w:rPr>
                <w:rFonts w:hint="eastAsia" w:ascii="宋体" w:hAnsi="宋体" w:eastAsia="宋体" w:cs="宋体"/>
                <w:color w:val="auto"/>
                <w:sz w:val="24"/>
                <w:szCs w:val="24"/>
              </w:rPr>
              <w:t>人</w:t>
            </w:r>
          </w:p>
        </w:tc>
      </w:tr>
      <w:tr w14:paraId="54E5D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trPr>
        <w:tc>
          <w:tcPr>
            <w:tcW w:w="1734" w:type="dxa"/>
            <w:tcBorders>
              <w:left w:val="single" w:color="000000" w:sz="10" w:space="0"/>
            </w:tcBorders>
            <w:vAlign w:val="top"/>
          </w:tcPr>
          <w:p w14:paraId="0F7C38F5">
            <w:pPr>
              <w:pStyle w:val="27"/>
              <w:spacing w:before="128" w:line="219" w:lineRule="auto"/>
              <w:ind w:left="106"/>
              <w:rPr>
                <w:rFonts w:hint="eastAsia" w:ascii="宋体" w:hAnsi="宋体" w:eastAsia="宋体" w:cs="宋体"/>
                <w:color w:val="auto"/>
                <w:sz w:val="24"/>
                <w:szCs w:val="24"/>
              </w:rPr>
            </w:pPr>
            <w:r>
              <w:rPr>
                <w:rFonts w:hint="eastAsia" w:ascii="宋体" w:hAnsi="宋体" w:eastAsia="宋体" w:cs="宋体"/>
                <w:color w:val="auto"/>
                <w:spacing w:val="-2"/>
                <w:sz w:val="24"/>
                <w:szCs w:val="24"/>
              </w:rPr>
              <w:t>基本银行账号</w:t>
            </w:r>
          </w:p>
        </w:tc>
        <w:tc>
          <w:tcPr>
            <w:tcW w:w="2049" w:type="dxa"/>
            <w:gridSpan w:val="2"/>
            <w:vAlign w:val="top"/>
          </w:tcPr>
          <w:p w14:paraId="285F2ECB">
            <w:pPr>
              <w:rPr>
                <w:rFonts w:hint="eastAsia" w:ascii="宋体" w:hAnsi="宋体" w:eastAsia="宋体" w:cs="宋体"/>
                <w:color w:val="auto"/>
                <w:sz w:val="24"/>
                <w:szCs w:val="24"/>
              </w:rPr>
            </w:pPr>
          </w:p>
        </w:tc>
        <w:tc>
          <w:tcPr>
            <w:tcW w:w="1211" w:type="dxa"/>
            <w:vMerge w:val="continue"/>
            <w:tcBorders>
              <w:top w:val="nil"/>
            </w:tcBorders>
            <w:vAlign w:val="top"/>
          </w:tcPr>
          <w:p w14:paraId="518AF072">
            <w:pPr>
              <w:rPr>
                <w:rFonts w:hint="eastAsia" w:ascii="宋体" w:hAnsi="宋体" w:eastAsia="宋体" w:cs="宋体"/>
                <w:color w:val="auto"/>
                <w:sz w:val="24"/>
                <w:szCs w:val="24"/>
              </w:rPr>
            </w:pPr>
          </w:p>
        </w:tc>
        <w:tc>
          <w:tcPr>
            <w:tcW w:w="1649" w:type="dxa"/>
            <w:vAlign w:val="top"/>
          </w:tcPr>
          <w:p w14:paraId="49EA5E3F">
            <w:pPr>
              <w:pStyle w:val="27"/>
              <w:spacing w:before="129" w:line="219" w:lineRule="auto"/>
              <w:ind w:left="115"/>
              <w:rPr>
                <w:rFonts w:hint="eastAsia" w:ascii="宋体" w:hAnsi="宋体" w:eastAsia="宋体" w:cs="宋体"/>
                <w:color w:val="auto"/>
                <w:sz w:val="24"/>
                <w:szCs w:val="24"/>
              </w:rPr>
            </w:pPr>
            <w:r>
              <w:rPr>
                <w:rFonts w:hint="eastAsia" w:ascii="宋体" w:hAnsi="宋体" w:eastAsia="宋体" w:cs="宋体"/>
                <w:color w:val="auto"/>
                <w:spacing w:val="-3"/>
                <w:sz w:val="24"/>
                <w:szCs w:val="24"/>
              </w:rPr>
              <w:t>技术人员</w:t>
            </w:r>
          </w:p>
        </w:tc>
        <w:tc>
          <w:tcPr>
            <w:tcW w:w="2427" w:type="dxa"/>
            <w:gridSpan w:val="2"/>
            <w:tcBorders>
              <w:right w:val="single" w:color="000000" w:sz="10" w:space="0"/>
            </w:tcBorders>
            <w:vAlign w:val="top"/>
          </w:tcPr>
          <w:p w14:paraId="41FDCF84">
            <w:pPr>
              <w:pStyle w:val="27"/>
              <w:spacing w:before="129" w:line="222" w:lineRule="auto"/>
              <w:ind w:left="2083"/>
              <w:rPr>
                <w:rFonts w:hint="eastAsia" w:ascii="宋体" w:hAnsi="宋体" w:eastAsia="宋体" w:cs="宋体"/>
                <w:color w:val="auto"/>
                <w:sz w:val="24"/>
                <w:szCs w:val="24"/>
              </w:rPr>
            </w:pPr>
            <w:r>
              <w:rPr>
                <w:rFonts w:hint="eastAsia" w:ascii="宋体" w:hAnsi="宋体" w:eastAsia="宋体" w:cs="宋体"/>
                <w:color w:val="auto"/>
                <w:sz w:val="24"/>
                <w:szCs w:val="24"/>
              </w:rPr>
              <w:t>人</w:t>
            </w:r>
          </w:p>
        </w:tc>
      </w:tr>
      <w:tr w14:paraId="30024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86" w:hRule="atLeast"/>
        </w:trPr>
        <w:tc>
          <w:tcPr>
            <w:tcW w:w="1734" w:type="dxa"/>
            <w:tcBorders>
              <w:left w:val="single" w:color="000000" w:sz="10" w:space="0"/>
              <w:right w:val="single" w:color="000000" w:sz="2" w:space="0"/>
            </w:tcBorders>
            <w:vAlign w:val="top"/>
          </w:tcPr>
          <w:p w14:paraId="5768BBB2">
            <w:pPr>
              <w:spacing w:line="251" w:lineRule="auto"/>
              <w:rPr>
                <w:rFonts w:hint="eastAsia" w:ascii="宋体" w:hAnsi="宋体" w:eastAsia="宋体" w:cs="宋体"/>
                <w:color w:val="auto"/>
                <w:sz w:val="24"/>
                <w:szCs w:val="24"/>
              </w:rPr>
            </w:pPr>
          </w:p>
          <w:p w14:paraId="096CEC9D">
            <w:pPr>
              <w:spacing w:line="252" w:lineRule="auto"/>
              <w:rPr>
                <w:rFonts w:hint="eastAsia" w:ascii="宋体" w:hAnsi="宋体" w:eastAsia="宋体" w:cs="宋体"/>
                <w:color w:val="auto"/>
                <w:sz w:val="24"/>
                <w:szCs w:val="24"/>
              </w:rPr>
            </w:pPr>
          </w:p>
          <w:p w14:paraId="51AEE2FF">
            <w:pPr>
              <w:spacing w:line="252" w:lineRule="auto"/>
              <w:rPr>
                <w:rFonts w:hint="eastAsia" w:ascii="宋体" w:hAnsi="宋体" w:eastAsia="宋体" w:cs="宋体"/>
                <w:color w:val="auto"/>
                <w:sz w:val="24"/>
                <w:szCs w:val="24"/>
              </w:rPr>
            </w:pPr>
          </w:p>
          <w:p w14:paraId="4BD73AFB">
            <w:pPr>
              <w:pStyle w:val="27"/>
              <w:spacing w:before="78" w:line="220" w:lineRule="auto"/>
              <w:ind w:left="108"/>
              <w:rPr>
                <w:rFonts w:hint="eastAsia" w:ascii="宋体" w:hAnsi="宋体" w:eastAsia="宋体" w:cs="宋体"/>
                <w:color w:val="auto"/>
                <w:sz w:val="24"/>
                <w:szCs w:val="24"/>
              </w:rPr>
            </w:pPr>
            <w:r>
              <w:rPr>
                <w:rFonts w:hint="eastAsia" w:ascii="宋体" w:hAnsi="宋体" w:eastAsia="宋体" w:cs="宋体"/>
                <w:color w:val="auto"/>
                <w:spacing w:val="-3"/>
                <w:sz w:val="24"/>
                <w:szCs w:val="24"/>
              </w:rPr>
              <w:t>经营范围</w:t>
            </w:r>
          </w:p>
        </w:tc>
        <w:tc>
          <w:tcPr>
            <w:tcW w:w="7336" w:type="dxa"/>
            <w:gridSpan w:val="6"/>
            <w:tcBorders>
              <w:left w:val="single" w:color="000000" w:sz="2" w:space="0"/>
              <w:right w:val="single" w:color="000000" w:sz="10" w:space="0"/>
            </w:tcBorders>
            <w:vAlign w:val="top"/>
          </w:tcPr>
          <w:p w14:paraId="2F78887D">
            <w:pPr>
              <w:rPr>
                <w:rFonts w:hint="eastAsia" w:ascii="宋体" w:hAnsi="宋体" w:eastAsia="宋体" w:cs="宋体"/>
                <w:color w:val="auto"/>
                <w:sz w:val="24"/>
                <w:szCs w:val="24"/>
              </w:rPr>
            </w:pPr>
          </w:p>
        </w:tc>
      </w:tr>
      <w:tr w14:paraId="6232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22" w:hRule="atLeast"/>
        </w:trPr>
        <w:tc>
          <w:tcPr>
            <w:tcW w:w="1734" w:type="dxa"/>
            <w:tcBorders>
              <w:left w:val="single" w:color="000000" w:sz="10" w:space="0"/>
              <w:bottom w:val="single" w:color="000000" w:sz="10" w:space="0"/>
            </w:tcBorders>
            <w:vAlign w:val="top"/>
          </w:tcPr>
          <w:p w14:paraId="68D33C4F">
            <w:pPr>
              <w:spacing w:line="333" w:lineRule="auto"/>
              <w:rPr>
                <w:rFonts w:hint="eastAsia" w:ascii="宋体" w:hAnsi="宋体" w:eastAsia="宋体" w:cs="宋体"/>
                <w:color w:val="auto"/>
                <w:sz w:val="24"/>
                <w:szCs w:val="24"/>
              </w:rPr>
            </w:pPr>
          </w:p>
          <w:p w14:paraId="6491AAB2">
            <w:pPr>
              <w:spacing w:line="333" w:lineRule="auto"/>
              <w:rPr>
                <w:rFonts w:hint="eastAsia" w:ascii="宋体" w:hAnsi="宋体" w:eastAsia="宋体" w:cs="宋体"/>
                <w:color w:val="auto"/>
                <w:sz w:val="24"/>
                <w:szCs w:val="24"/>
              </w:rPr>
            </w:pPr>
          </w:p>
          <w:p w14:paraId="28469CCA">
            <w:pPr>
              <w:pStyle w:val="27"/>
              <w:spacing w:before="78" w:line="221" w:lineRule="auto"/>
              <w:ind w:left="109"/>
              <w:rPr>
                <w:rFonts w:hint="eastAsia" w:ascii="宋体" w:hAnsi="宋体" w:eastAsia="宋体" w:cs="宋体"/>
                <w:color w:val="auto"/>
                <w:sz w:val="24"/>
                <w:szCs w:val="24"/>
              </w:rPr>
            </w:pPr>
            <w:r>
              <w:rPr>
                <w:rFonts w:hint="eastAsia" w:ascii="宋体" w:hAnsi="宋体" w:eastAsia="宋体" w:cs="宋体"/>
                <w:color w:val="auto"/>
                <w:spacing w:val="-7"/>
                <w:sz w:val="24"/>
                <w:szCs w:val="24"/>
              </w:rPr>
              <w:t>备注</w:t>
            </w:r>
          </w:p>
        </w:tc>
        <w:tc>
          <w:tcPr>
            <w:tcW w:w="7336" w:type="dxa"/>
            <w:gridSpan w:val="6"/>
            <w:tcBorders>
              <w:bottom w:val="single" w:color="000000" w:sz="10" w:space="0"/>
              <w:right w:val="single" w:color="000000" w:sz="10" w:space="0"/>
            </w:tcBorders>
            <w:vAlign w:val="top"/>
          </w:tcPr>
          <w:p w14:paraId="7BA41740">
            <w:pPr>
              <w:rPr>
                <w:rFonts w:hint="eastAsia" w:ascii="宋体" w:hAnsi="宋体" w:eastAsia="宋体" w:cs="宋体"/>
                <w:color w:val="auto"/>
                <w:sz w:val="24"/>
                <w:szCs w:val="24"/>
              </w:rPr>
            </w:pPr>
          </w:p>
        </w:tc>
      </w:tr>
    </w:tbl>
    <w:p w14:paraId="6632F052">
      <w:pPr>
        <w:pStyle w:val="8"/>
        <w:spacing w:line="423" w:lineRule="auto"/>
        <w:rPr>
          <w:rFonts w:hint="eastAsia" w:ascii="宋体" w:hAnsi="宋体" w:eastAsia="宋体" w:cs="宋体"/>
          <w:color w:val="auto"/>
        </w:rPr>
      </w:pPr>
    </w:p>
    <w:p w14:paraId="1227672F">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6C8EC6E0">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325E6490">
      <w:pPr>
        <w:spacing w:line="219" w:lineRule="auto"/>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A0034DD">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0115DA58">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五、招标文件确认书</w:t>
      </w:r>
    </w:p>
    <w:p w14:paraId="5A91FF12">
      <w:pPr>
        <w:spacing w:line="360" w:lineRule="auto"/>
        <w:rPr>
          <w:rFonts w:hint="eastAsia" w:ascii="宋体" w:hAnsi="宋体" w:eastAsia="宋体" w:cs="宋体"/>
          <w:color w:val="auto"/>
          <w:sz w:val="22"/>
          <w:highlight w:val="none"/>
        </w:rPr>
      </w:pPr>
    </w:p>
    <w:p w14:paraId="4E02F539">
      <w:pPr>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2"/>
          <w:highlight w:val="none"/>
        </w:rPr>
        <w:t xml:space="preserve"> 本单位对</w:t>
      </w:r>
      <w:r>
        <w:rPr>
          <w:rFonts w:hint="eastAsia" w:ascii="宋体" w:hAnsi="宋体" w:eastAsia="宋体" w:cs="宋体"/>
          <w:color w:val="auto"/>
          <w:sz w:val="24"/>
          <w:szCs w:val="22"/>
          <w:highlight w:val="none"/>
          <w:lang w:eastAsia="zh-CN"/>
        </w:rPr>
        <w:t>重症医学科专科服务能力提升项目设备</w:t>
      </w:r>
      <w:r>
        <w:rPr>
          <w:rFonts w:hint="eastAsia" w:ascii="宋体" w:hAnsi="宋体" w:eastAsia="宋体" w:cs="宋体"/>
          <w:color w:val="auto"/>
          <w:sz w:val="24"/>
          <w:szCs w:val="22"/>
          <w:highlight w:val="none"/>
        </w:rPr>
        <w:t>招标文件及相关的修正内容、答疑内容均无异议。</w:t>
      </w:r>
    </w:p>
    <w:p w14:paraId="7B6C335D">
      <w:pPr>
        <w:spacing w:line="360" w:lineRule="auto"/>
        <w:rPr>
          <w:rFonts w:hint="eastAsia" w:ascii="宋体" w:hAnsi="宋体" w:eastAsia="宋体" w:cs="宋体"/>
          <w:color w:val="auto"/>
          <w:sz w:val="22"/>
          <w:szCs w:val="21"/>
          <w:highlight w:val="none"/>
        </w:rPr>
      </w:pPr>
    </w:p>
    <w:p w14:paraId="5D542F0E">
      <w:pPr>
        <w:spacing w:line="360" w:lineRule="auto"/>
        <w:rPr>
          <w:rFonts w:hint="eastAsia" w:ascii="宋体" w:hAnsi="宋体" w:eastAsia="宋体" w:cs="宋体"/>
          <w:color w:val="auto"/>
          <w:sz w:val="22"/>
          <w:szCs w:val="21"/>
          <w:highlight w:val="none"/>
        </w:rPr>
      </w:pPr>
    </w:p>
    <w:p w14:paraId="6CE4C976">
      <w:pPr>
        <w:spacing w:line="360" w:lineRule="auto"/>
        <w:rPr>
          <w:rFonts w:hint="eastAsia" w:ascii="宋体" w:hAnsi="宋体" w:eastAsia="宋体" w:cs="宋体"/>
          <w:color w:val="auto"/>
          <w:sz w:val="22"/>
          <w:szCs w:val="21"/>
          <w:highlight w:val="none"/>
        </w:rPr>
      </w:pPr>
    </w:p>
    <w:p w14:paraId="5767918D">
      <w:pPr>
        <w:spacing w:line="360" w:lineRule="auto"/>
        <w:rPr>
          <w:rFonts w:hint="eastAsia" w:ascii="宋体" w:hAnsi="宋体" w:eastAsia="宋体" w:cs="宋体"/>
          <w:color w:val="auto"/>
          <w:sz w:val="24"/>
          <w:szCs w:val="24"/>
          <w:highlight w:val="none"/>
        </w:rPr>
      </w:pPr>
    </w:p>
    <w:p w14:paraId="67FB587E">
      <w:pPr>
        <w:spacing w:line="360" w:lineRule="auto"/>
        <w:rPr>
          <w:rFonts w:hint="eastAsia" w:ascii="宋体" w:hAnsi="宋体" w:eastAsia="宋体" w:cs="宋体"/>
          <w:color w:val="auto"/>
          <w:sz w:val="24"/>
          <w:szCs w:val="24"/>
          <w:highlight w:val="none"/>
        </w:rPr>
      </w:pPr>
    </w:p>
    <w:p w14:paraId="2EA2F180">
      <w:pPr>
        <w:spacing w:line="360" w:lineRule="auto"/>
        <w:rPr>
          <w:rFonts w:hint="eastAsia" w:ascii="宋体" w:hAnsi="宋体" w:eastAsia="宋体" w:cs="宋体"/>
          <w:color w:val="auto"/>
          <w:sz w:val="24"/>
          <w:szCs w:val="24"/>
          <w:highlight w:val="none"/>
        </w:rPr>
      </w:pPr>
    </w:p>
    <w:p w14:paraId="7B6DFF86">
      <w:pPr>
        <w:spacing w:line="360" w:lineRule="auto"/>
        <w:rPr>
          <w:rFonts w:hint="eastAsia" w:ascii="宋体" w:hAnsi="宋体" w:eastAsia="宋体" w:cs="宋体"/>
          <w:color w:val="auto"/>
          <w:sz w:val="24"/>
          <w:szCs w:val="24"/>
          <w:highlight w:val="none"/>
        </w:rPr>
      </w:pPr>
    </w:p>
    <w:p w14:paraId="3495DE1F">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46743876">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222055CA">
      <w:pPr>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F786559">
      <w:pPr>
        <w:spacing w:line="360" w:lineRule="auto"/>
        <w:jc w:val="center"/>
        <w:rPr>
          <w:rFonts w:hint="eastAsia" w:ascii="宋体" w:hAnsi="宋体" w:eastAsia="宋体" w:cs="宋体"/>
          <w:color w:val="auto"/>
          <w:sz w:val="24"/>
          <w:szCs w:val="22"/>
          <w:highlight w:val="none"/>
        </w:rPr>
      </w:pPr>
    </w:p>
    <w:p w14:paraId="35F3A87B">
      <w:pPr>
        <w:spacing w:line="360" w:lineRule="auto"/>
        <w:ind w:firstLine="1017" w:firstLineChars="424"/>
        <w:jc w:val="right"/>
        <w:rPr>
          <w:rFonts w:hint="eastAsia" w:ascii="宋体" w:hAnsi="宋体" w:eastAsia="宋体" w:cs="宋体"/>
          <w:color w:val="auto"/>
          <w:sz w:val="24"/>
          <w:highlight w:val="none"/>
        </w:rPr>
      </w:pPr>
    </w:p>
    <w:p w14:paraId="73FB1A4C">
      <w:pPr>
        <w:spacing w:line="360" w:lineRule="auto"/>
        <w:ind w:firstLine="1017" w:firstLineChars="424"/>
        <w:jc w:val="right"/>
        <w:rPr>
          <w:rFonts w:hint="eastAsia" w:ascii="宋体" w:hAnsi="宋体" w:eastAsia="宋体" w:cs="宋体"/>
          <w:color w:val="auto"/>
          <w:sz w:val="24"/>
          <w:highlight w:val="none"/>
        </w:rPr>
      </w:pPr>
    </w:p>
    <w:p w14:paraId="28B41854">
      <w:pPr>
        <w:spacing w:line="360" w:lineRule="auto"/>
        <w:ind w:firstLine="1017" w:firstLineChars="424"/>
        <w:jc w:val="right"/>
        <w:rPr>
          <w:rFonts w:hint="eastAsia" w:ascii="宋体" w:hAnsi="宋体" w:eastAsia="宋体" w:cs="宋体"/>
          <w:color w:val="auto"/>
          <w:sz w:val="24"/>
          <w:highlight w:val="none"/>
        </w:rPr>
      </w:pPr>
    </w:p>
    <w:p w14:paraId="29C08DDF">
      <w:pPr>
        <w:spacing w:line="360" w:lineRule="auto"/>
        <w:ind w:firstLine="1017" w:firstLineChars="424"/>
        <w:jc w:val="right"/>
        <w:rPr>
          <w:rFonts w:hint="eastAsia" w:ascii="宋体" w:hAnsi="宋体" w:eastAsia="宋体" w:cs="宋体"/>
          <w:color w:val="auto"/>
          <w:sz w:val="24"/>
          <w:highlight w:val="none"/>
        </w:rPr>
      </w:pPr>
    </w:p>
    <w:p w14:paraId="290D06E5">
      <w:pPr>
        <w:spacing w:line="360" w:lineRule="auto"/>
        <w:ind w:firstLine="1017" w:firstLineChars="424"/>
        <w:jc w:val="right"/>
        <w:rPr>
          <w:rFonts w:hint="eastAsia" w:ascii="宋体" w:hAnsi="宋体" w:eastAsia="宋体" w:cs="宋体"/>
          <w:color w:val="auto"/>
          <w:sz w:val="24"/>
          <w:highlight w:val="none"/>
        </w:rPr>
      </w:pPr>
    </w:p>
    <w:p w14:paraId="1D869B5A">
      <w:pPr>
        <w:spacing w:line="360" w:lineRule="auto"/>
        <w:ind w:firstLine="1017" w:firstLineChars="424"/>
        <w:jc w:val="right"/>
        <w:rPr>
          <w:rFonts w:hint="eastAsia" w:ascii="宋体" w:hAnsi="宋体" w:eastAsia="宋体" w:cs="宋体"/>
          <w:color w:val="auto"/>
          <w:sz w:val="24"/>
          <w:highlight w:val="none"/>
        </w:rPr>
      </w:pPr>
    </w:p>
    <w:p w14:paraId="4DEF0B6C">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14:paraId="0F077801">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六、技术</w:t>
      </w:r>
      <w:r>
        <w:rPr>
          <w:rFonts w:hint="eastAsia" w:ascii="宋体" w:hAnsi="宋体" w:cs="宋体"/>
          <w:color w:val="auto"/>
          <w:sz w:val="30"/>
          <w:szCs w:val="30"/>
          <w:lang w:val="en-US" w:eastAsia="zh-CN"/>
        </w:rPr>
        <w:t>指标</w:t>
      </w:r>
      <w:r>
        <w:rPr>
          <w:rFonts w:hint="eastAsia" w:ascii="宋体" w:hAnsi="宋体" w:eastAsia="宋体" w:cs="宋体"/>
          <w:color w:val="auto"/>
          <w:sz w:val="30"/>
          <w:szCs w:val="30"/>
          <w:lang w:val="en-US" w:eastAsia="zh-CN"/>
        </w:rPr>
        <w:t>响应偏离表</w:t>
      </w:r>
    </w:p>
    <w:tbl>
      <w:tblPr>
        <w:tblStyle w:val="15"/>
        <w:tblpPr w:leftFromText="180" w:rightFromText="180" w:vertAnchor="text" w:horzAnchor="margin" w:tblpY="224"/>
        <w:tblOverlap w:val="never"/>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597"/>
        <w:gridCol w:w="3225"/>
        <w:gridCol w:w="1650"/>
        <w:gridCol w:w="862"/>
      </w:tblGrid>
      <w:tr w14:paraId="61F8E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788" w:type="dxa"/>
            <w:tcMar>
              <w:top w:w="57" w:type="dxa"/>
              <w:left w:w="28" w:type="dxa"/>
              <w:bottom w:w="57" w:type="dxa"/>
              <w:right w:w="28" w:type="dxa"/>
            </w:tcMar>
            <w:vAlign w:val="center"/>
          </w:tcPr>
          <w:p w14:paraId="7F912C1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2597" w:type="dxa"/>
            <w:tcMar>
              <w:top w:w="57" w:type="dxa"/>
              <w:left w:w="28" w:type="dxa"/>
              <w:bottom w:w="57" w:type="dxa"/>
              <w:right w:w="28" w:type="dxa"/>
            </w:tcMar>
            <w:vAlign w:val="center"/>
          </w:tcPr>
          <w:p w14:paraId="29E1E04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招标文件要求</w:t>
            </w:r>
          </w:p>
        </w:tc>
        <w:tc>
          <w:tcPr>
            <w:tcW w:w="3225" w:type="dxa"/>
            <w:tcMar>
              <w:top w:w="57" w:type="dxa"/>
              <w:left w:w="28" w:type="dxa"/>
              <w:bottom w:w="57" w:type="dxa"/>
              <w:right w:w="28" w:type="dxa"/>
            </w:tcMar>
            <w:vAlign w:val="center"/>
          </w:tcPr>
          <w:p w14:paraId="6F13AF9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投标响应</w:t>
            </w:r>
          </w:p>
        </w:tc>
        <w:tc>
          <w:tcPr>
            <w:tcW w:w="1650" w:type="dxa"/>
            <w:tcMar>
              <w:top w:w="57" w:type="dxa"/>
              <w:left w:w="28" w:type="dxa"/>
              <w:bottom w:w="57" w:type="dxa"/>
              <w:right w:w="28" w:type="dxa"/>
            </w:tcMar>
            <w:vAlign w:val="center"/>
          </w:tcPr>
          <w:p w14:paraId="6D92F65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偏离</w:t>
            </w:r>
          </w:p>
        </w:tc>
        <w:tc>
          <w:tcPr>
            <w:tcW w:w="862" w:type="dxa"/>
            <w:tcMar>
              <w:top w:w="57" w:type="dxa"/>
              <w:left w:w="28" w:type="dxa"/>
              <w:bottom w:w="57" w:type="dxa"/>
              <w:right w:w="28" w:type="dxa"/>
            </w:tcMar>
            <w:vAlign w:val="center"/>
          </w:tcPr>
          <w:p w14:paraId="6751491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 明</w:t>
            </w:r>
          </w:p>
        </w:tc>
      </w:tr>
      <w:tr w14:paraId="2E4C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88" w:type="dxa"/>
            <w:tcMar>
              <w:top w:w="57" w:type="dxa"/>
              <w:left w:w="28" w:type="dxa"/>
              <w:bottom w:w="57" w:type="dxa"/>
              <w:right w:w="28" w:type="dxa"/>
            </w:tcMar>
            <w:vAlign w:val="center"/>
          </w:tcPr>
          <w:p w14:paraId="6523544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97" w:type="dxa"/>
            <w:tcMar>
              <w:top w:w="57" w:type="dxa"/>
              <w:left w:w="28" w:type="dxa"/>
              <w:bottom w:w="57" w:type="dxa"/>
              <w:right w:w="28" w:type="dxa"/>
            </w:tcMar>
            <w:vAlign w:val="center"/>
          </w:tcPr>
          <w:p w14:paraId="4A99D745">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26AF5F41">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6AF4088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3D2EAE42">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7CB7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788" w:type="dxa"/>
            <w:tcMar>
              <w:top w:w="57" w:type="dxa"/>
              <w:left w:w="28" w:type="dxa"/>
              <w:bottom w:w="57" w:type="dxa"/>
              <w:right w:w="28" w:type="dxa"/>
            </w:tcMar>
            <w:vAlign w:val="center"/>
          </w:tcPr>
          <w:p w14:paraId="0118867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97" w:type="dxa"/>
            <w:tcMar>
              <w:top w:w="57" w:type="dxa"/>
              <w:left w:w="28" w:type="dxa"/>
              <w:bottom w:w="57" w:type="dxa"/>
              <w:right w:w="28" w:type="dxa"/>
            </w:tcMar>
            <w:vAlign w:val="center"/>
          </w:tcPr>
          <w:p w14:paraId="51626210">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69D5E83E">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712A8F3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704A4100">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26EA1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788" w:type="dxa"/>
            <w:tcMar>
              <w:top w:w="57" w:type="dxa"/>
              <w:left w:w="28" w:type="dxa"/>
              <w:bottom w:w="57" w:type="dxa"/>
              <w:right w:w="28" w:type="dxa"/>
            </w:tcMar>
            <w:vAlign w:val="center"/>
          </w:tcPr>
          <w:p w14:paraId="79B0962F">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97" w:type="dxa"/>
            <w:tcMar>
              <w:top w:w="57" w:type="dxa"/>
              <w:left w:w="28" w:type="dxa"/>
              <w:bottom w:w="57" w:type="dxa"/>
              <w:right w:w="28" w:type="dxa"/>
            </w:tcMar>
            <w:vAlign w:val="center"/>
          </w:tcPr>
          <w:p w14:paraId="683C871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2A9377E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1E5CA20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779B6A9E">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02BB0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88" w:type="dxa"/>
            <w:tcMar>
              <w:top w:w="57" w:type="dxa"/>
              <w:left w:w="28" w:type="dxa"/>
              <w:bottom w:w="57" w:type="dxa"/>
              <w:right w:w="28" w:type="dxa"/>
            </w:tcMar>
            <w:vAlign w:val="center"/>
          </w:tcPr>
          <w:p w14:paraId="3EE25D8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97" w:type="dxa"/>
            <w:tcMar>
              <w:top w:w="57" w:type="dxa"/>
              <w:left w:w="28" w:type="dxa"/>
              <w:bottom w:w="57" w:type="dxa"/>
              <w:right w:w="28" w:type="dxa"/>
            </w:tcMar>
            <w:vAlign w:val="center"/>
          </w:tcPr>
          <w:p w14:paraId="44B53DE5">
            <w:pPr>
              <w:keepNext w:val="0"/>
              <w:keepLines w:val="0"/>
              <w:pageBreakBefore w:val="0"/>
              <w:widowControl w:val="0"/>
              <w:tabs>
                <w:tab w:val="left" w:pos="950"/>
              </w:tabs>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1418118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18E625F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24E9BE6E">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11911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88" w:type="dxa"/>
            <w:tcMar>
              <w:top w:w="57" w:type="dxa"/>
              <w:left w:w="28" w:type="dxa"/>
              <w:bottom w:w="57" w:type="dxa"/>
              <w:right w:w="28" w:type="dxa"/>
            </w:tcMar>
            <w:vAlign w:val="center"/>
          </w:tcPr>
          <w:p w14:paraId="2BF270BF">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97" w:type="dxa"/>
            <w:tcMar>
              <w:top w:w="57" w:type="dxa"/>
              <w:left w:w="28" w:type="dxa"/>
              <w:bottom w:w="57" w:type="dxa"/>
              <w:right w:w="28" w:type="dxa"/>
            </w:tcMar>
            <w:vAlign w:val="center"/>
          </w:tcPr>
          <w:p w14:paraId="05FC2FC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5C5AA61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610226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3705A87B">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0CDC2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88" w:type="dxa"/>
            <w:tcMar>
              <w:top w:w="57" w:type="dxa"/>
              <w:left w:w="28" w:type="dxa"/>
              <w:bottom w:w="57" w:type="dxa"/>
              <w:right w:w="28" w:type="dxa"/>
            </w:tcMar>
            <w:vAlign w:val="center"/>
          </w:tcPr>
          <w:p w14:paraId="6364D559">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597" w:type="dxa"/>
            <w:tcMar>
              <w:top w:w="57" w:type="dxa"/>
              <w:left w:w="28" w:type="dxa"/>
              <w:bottom w:w="57" w:type="dxa"/>
              <w:right w:w="28" w:type="dxa"/>
            </w:tcMar>
            <w:vAlign w:val="center"/>
          </w:tcPr>
          <w:p w14:paraId="590062B2">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2F062C3D">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1696BC4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6523006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490C9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88" w:type="dxa"/>
            <w:tcMar>
              <w:top w:w="57" w:type="dxa"/>
              <w:left w:w="28" w:type="dxa"/>
              <w:bottom w:w="57" w:type="dxa"/>
              <w:right w:w="28" w:type="dxa"/>
            </w:tcMar>
            <w:vAlign w:val="center"/>
          </w:tcPr>
          <w:p w14:paraId="7AD5BF4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597" w:type="dxa"/>
            <w:tcMar>
              <w:top w:w="57" w:type="dxa"/>
              <w:left w:w="28" w:type="dxa"/>
              <w:bottom w:w="57" w:type="dxa"/>
              <w:right w:w="28" w:type="dxa"/>
            </w:tcMar>
            <w:vAlign w:val="center"/>
          </w:tcPr>
          <w:p w14:paraId="2BF1D2F9">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35828B0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32A54FD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18A21330">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5D65F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8" w:type="dxa"/>
            <w:tcMar>
              <w:top w:w="57" w:type="dxa"/>
              <w:left w:w="28" w:type="dxa"/>
              <w:bottom w:w="57" w:type="dxa"/>
              <w:right w:w="28" w:type="dxa"/>
            </w:tcMar>
            <w:vAlign w:val="center"/>
          </w:tcPr>
          <w:p w14:paraId="2CCBE5E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597" w:type="dxa"/>
            <w:tcMar>
              <w:top w:w="57" w:type="dxa"/>
              <w:left w:w="28" w:type="dxa"/>
              <w:bottom w:w="57" w:type="dxa"/>
              <w:right w:w="28" w:type="dxa"/>
            </w:tcMar>
            <w:vAlign w:val="center"/>
          </w:tcPr>
          <w:p w14:paraId="247E9087">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2CA0B9D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08B3707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5117964D">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40782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788" w:type="dxa"/>
            <w:tcMar>
              <w:top w:w="57" w:type="dxa"/>
              <w:left w:w="28" w:type="dxa"/>
              <w:bottom w:w="57" w:type="dxa"/>
              <w:right w:w="28" w:type="dxa"/>
            </w:tcMar>
            <w:vAlign w:val="center"/>
          </w:tcPr>
          <w:p w14:paraId="2E297E3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597" w:type="dxa"/>
            <w:tcMar>
              <w:top w:w="57" w:type="dxa"/>
              <w:left w:w="28" w:type="dxa"/>
              <w:bottom w:w="57" w:type="dxa"/>
              <w:right w:w="28" w:type="dxa"/>
            </w:tcMar>
            <w:vAlign w:val="center"/>
          </w:tcPr>
          <w:p w14:paraId="382E3D2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30CB5681">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6529277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382FE5CB">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bl>
    <w:p w14:paraId="79A31523">
      <w:pPr>
        <w:spacing w:line="360" w:lineRule="auto"/>
        <w:jc w:val="right"/>
        <w:rPr>
          <w:rFonts w:hint="eastAsia" w:ascii="宋体" w:hAnsi="宋体" w:eastAsia="宋体" w:cs="宋体"/>
          <w:color w:val="auto"/>
          <w:sz w:val="24"/>
          <w:szCs w:val="24"/>
        </w:rPr>
      </w:pPr>
    </w:p>
    <w:p w14:paraId="277C668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注：1.投标文件要求指标响应内容必须按照投标实际指标填写，与相关证明材料一致，不得直接将采购文件的技术指标要求完全复制作为投标文件响应内容，否则</w:t>
      </w:r>
      <w:r>
        <w:rPr>
          <w:rFonts w:hint="eastAsia" w:ascii="宋体" w:hAnsi="宋体" w:eastAsia="宋体" w:cs="宋体"/>
          <w:color w:val="auto"/>
          <w:sz w:val="24"/>
          <w:szCs w:val="24"/>
          <w:lang w:val="en-US" w:eastAsia="zh-CN"/>
        </w:rPr>
        <w:t>视为负偏离</w:t>
      </w:r>
      <w:r>
        <w:rPr>
          <w:rFonts w:hint="eastAsia" w:ascii="宋体" w:hAnsi="宋体" w:eastAsia="宋体" w:cs="宋体"/>
          <w:color w:val="auto"/>
          <w:sz w:val="24"/>
          <w:szCs w:val="24"/>
        </w:rPr>
        <w:t>。</w:t>
      </w:r>
    </w:p>
    <w:p w14:paraId="571384A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2.务必完整填写所有指标响应参数；必须在备注栏进行明确说明偏离情况，且偏离情况与实际相符，否则将会影响评审得分。</w:t>
      </w:r>
    </w:p>
    <w:p w14:paraId="05FEB628">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szCs w:val="24"/>
        </w:rPr>
        <w:t>3.采购文件中约定的每项采购内容的技术偏离情况都必须体现在此技术偏离表中，否则</w:t>
      </w:r>
      <w:r>
        <w:rPr>
          <w:rFonts w:hint="eastAsia" w:ascii="宋体" w:hAnsi="宋体" w:eastAsia="宋体" w:cs="宋体"/>
          <w:color w:val="auto"/>
          <w:sz w:val="24"/>
          <w:szCs w:val="24"/>
          <w:lang w:val="en-US" w:eastAsia="zh-CN"/>
        </w:rPr>
        <w:t>视为负偏离</w:t>
      </w:r>
      <w:r>
        <w:rPr>
          <w:rFonts w:hint="eastAsia" w:ascii="宋体" w:hAnsi="宋体" w:eastAsia="宋体" w:cs="宋体"/>
          <w:color w:val="auto"/>
          <w:sz w:val="24"/>
          <w:szCs w:val="24"/>
        </w:rPr>
        <w:t>。</w:t>
      </w:r>
    </w:p>
    <w:p w14:paraId="54D5C40D">
      <w:pPr>
        <w:spacing w:line="480" w:lineRule="auto"/>
        <w:ind w:firstLine="240" w:firstLineChars="100"/>
        <w:rPr>
          <w:rFonts w:hint="eastAsia" w:ascii="宋体" w:hAnsi="宋体" w:eastAsia="宋体" w:cs="宋体"/>
          <w:color w:val="auto"/>
          <w:sz w:val="24"/>
          <w:szCs w:val="24"/>
          <w:highlight w:val="none"/>
        </w:rPr>
      </w:pPr>
    </w:p>
    <w:p w14:paraId="6D9C7CAA">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39BFEEC2">
      <w:pPr>
        <w:spacing w:line="48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p>
    <w:p w14:paraId="145A2340">
      <w:pPr>
        <w:spacing w:line="360" w:lineRule="auto"/>
        <w:ind w:firstLine="240" w:firstLineChars="1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F32053D">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5B1ED1A">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七、商务条款偏离表</w:t>
      </w:r>
    </w:p>
    <w:tbl>
      <w:tblPr>
        <w:tblStyle w:val="15"/>
        <w:tblpPr w:leftFromText="180" w:rightFromText="180" w:vertAnchor="text" w:horzAnchor="margin" w:tblpY="224"/>
        <w:tblOverlap w:val="never"/>
        <w:tblW w:w="91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2597"/>
        <w:gridCol w:w="3225"/>
        <w:gridCol w:w="1650"/>
        <w:gridCol w:w="862"/>
      </w:tblGrid>
      <w:tr w14:paraId="6240D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trPr>
        <w:tc>
          <w:tcPr>
            <w:tcW w:w="788" w:type="dxa"/>
            <w:tcMar>
              <w:top w:w="57" w:type="dxa"/>
              <w:left w:w="28" w:type="dxa"/>
              <w:bottom w:w="57" w:type="dxa"/>
              <w:right w:w="28" w:type="dxa"/>
            </w:tcMar>
            <w:vAlign w:val="center"/>
          </w:tcPr>
          <w:p w14:paraId="54F018F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2597" w:type="dxa"/>
            <w:tcMar>
              <w:top w:w="57" w:type="dxa"/>
              <w:left w:w="28" w:type="dxa"/>
              <w:bottom w:w="57" w:type="dxa"/>
              <w:right w:w="28" w:type="dxa"/>
            </w:tcMar>
            <w:vAlign w:val="center"/>
          </w:tcPr>
          <w:p w14:paraId="57005DA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招标文件要求</w:t>
            </w:r>
          </w:p>
        </w:tc>
        <w:tc>
          <w:tcPr>
            <w:tcW w:w="3225" w:type="dxa"/>
            <w:tcMar>
              <w:top w:w="57" w:type="dxa"/>
              <w:left w:w="28" w:type="dxa"/>
              <w:bottom w:w="57" w:type="dxa"/>
              <w:right w:w="28" w:type="dxa"/>
            </w:tcMar>
            <w:vAlign w:val="center"/>
          </w:tcPr>
          <w:p w14:paraId="07367C53">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投标响应</w:t>
            </w:r>
          </w:p>
        </w:tc>
        <w:tc>
          <w:tcPr>
            <w:tcW w:w="1650" w:type="dxa"/>
            <w:tcMar>
              <w:top w:w="57" w:type="dxa"/>
              <w:left w:w="28" w:type="dxa"/>
              <w:bottom w:w="57" w:type="dxa"/>
              <w:right w:w="28" w:type="dxa"/>
            </w:tcMar>
            <w:vAlign w:val="center"/>
          </w:tcPr>
          <w:p w14:paraId="592689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偏离</w:t>
            </w:r>
          </w:p>
        </w:tc>
        <w:tc>
          <w:tcPr>
            <w:tcW w:w="862" w:type="dxa"/>
            <w:tcMar>
              <w:top w:w="57" w:type="dxa"/>
              <w:left w:w="28" w:type="dxa"/>
              <w:bottom w:w="57" w:type="dxa"/>
              <w:right w:w="28" w:type="dxa"/>
            </w:tcMar>
            <w:vAlign w:val="center"/>
          </w:tcPr>
          <w:p w14:paraId="25339F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 明</w:t>
            </w:r>
          </w:p>
        </w:tc>
      </w:tr>
      <w:tr w14:paraId="558D2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788" w:type="dxa"/>
            <w:tcMar>
              <w:top w:w="57" w:type="dxa"/>
              <w:left w:w="28" w:type="dxa"/>
              <w:bottom w:w="57" w:type="dxa"/>
              <w:right w:w="28" w:type="dxa"/>
            </w:tcMar>
            <w:vAlign w:val="center"/>
          </w:tcPr>
          <w:p w14:paraId="3A036D5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97" w:type="dxa"/>
            <w:tcMar>
              <w:top w:w="57" w:type="dxa"/>
              <w:left w:w="28" w:type="dxa"/>
              <w:bottom w:w="57" w:type="dxa"/>
              <w:right w:w="28" w:type="dxa"/>
            </w:tcMar>
            <w:vAlign w:val="center"/>
          </w:tcPr>
          <w:p w14:paraId="436F798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162F5075">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17D6BA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4A69188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5AB62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788" w:type="dxa"/>
            <w:tcMar>
              <w:top w:w="57" w:type="dxa"/>
              <w:left w:w="28" w:type="dxa"/>
              <w:bottom w:w="57" w:type="dxa"/>
              <w:right w:w="28" w:type="dxa"/>
            </w:tcMar>
            <w:vAlign w:val="center"/>
          </w:tcPr>
          <w:p w14:paraId="7E7A20AB">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97" w:type="dxa"/>
            <w:tcMar>
              <w:top w:w="57" w:type="dxa"/>
              <w:left w:w="28" w:type="dxa"/>
              <w:bottom w:w="57" w:type="dxa"/>
              <w:right w:w="28" w:type="dxa"/>
            </w:tcMar>
            <w:vAlign w:val="center"/>
          </w:tcPr>
          <w:p w14:paraId="190C99E7">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73F0236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21B47E4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2F2C1B3E">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77B0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788" w:type="dxa"/>
            <w:tcMar>
              <w:top w:w="57" w:type="dxa"/>
              <w:left w:w="28" w:type="dxa"/>
              <w:bottom w:w="57" w:type="dxa"/>
              <w:right w:w="28" w:type="dxa"/>
            </w:tcMar>
            <w:vAlign w:val="center"/>
          </w:tcPr>
          <w:p w14:paraId="0D1F388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97" w:type="dxa"/>
            <w:tcMar>
              <w:top w:w="57" w:type="dxa"/>
              <w:left w:w="28" w:type="dxa"/>
              <w:bottom w:w="57" w:type="dxa"/>
              <w:right w:w="28" w:type="dxa"/>
            </w:tcMar>
            <w:vAlign w:val="center"/>
          </w:tcPr>
          <w:p w14:paraId="45854002">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0FCB9562">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1DBF16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6EA03329">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0089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88" w:type="dxa"/>
            <w:tcMar>
              <w:top w:w="57" w:type="dxa"/>
              <w:left w:w="28" w:type="dxa"/>
              <w:bottom w:w="57" w:type="dxa"/>
              <w:right w:w="28" w:type="dxa"/>
            </w:tcMar>
            <w:vAlign w:val="center"/>
          </w:tcPr>
          <w:p w14:paraId="16D82CB9">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97" w:type="dxa"/>
            <w:tcMar>
              <w:top w:w="57" w:type="dxa"/>
              <w:left w:w="28" w:type="dxa"/>
              <w:bottom w:w="57" w:type="dxa"/>
              <w:right w:w="28" w:type="dxa"/>
            </w:tcMar>
            <w:vAlign w:val="center"/>
          </w:tcPr>
          <w:p w14:paraId="2E293E57">
            <w:pPr>
              <w:keepNext w:val="0"/>
              <w:keepLines w:val="0"/>
              <w:pageBreakBefore w:val="0"/>
              <w:widowControl w:val="0"/>
              <w:tabs>
                <w:tab w:val="left" w:pos="950"/>
              </w:tabs>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66B98960">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009A0FD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269631AF">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00F9E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88" w:type="dxa"/>
            <w:tcMar>
              <w:top w:w="57" w:type="dxa"/>
              <w:left w:w="28" w:type="dxa"/>
              <w:bottom w:w="57" w:type="dxa"/>
              <w:right w:w="28" w:type="dxa"/>
            </w:tcMar>
            <w:vAlign w:val="center"/>
          </w:tcPr>
          <w:p w14:paraId="1925EDCE">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97" w:type="dxa"/>
            <w:tcMar>
              <w:top w:w="57" w:type="dxa"/>
              <w:left w:w="28" w:type="dxa"/>
              <w:bottom w:w="57" w:type="dxa"/>
              <w:right w:w="28" w:type="dxa"/>
            </w:tcMar>
            <w:vAlign w:val="center"/>
          </w:tcPr>
          <w:p w14:paraId="7917459A">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0D2EB26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576A71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195BC1A3">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44B51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88" w:type="dxa"/>
            <w:tcMar>
              <w:top w:w="57" w:type="dxa"/>
              <w:left w:w="28" w:type="dxa"/>
              <w:bottom w:w="57" w:type="dxa"/>
              <w:right w:w="28" w:type="dxa"/>
            </w:tcMar>
            <w:vAlign w:val="center"/>
          </w:tcPr>
          <w:p w14:paraId="16DE264D">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597" w:type="dxa"/>
            <w:tcMar>
              <w:top w:w="57" w:type="dxa"/>
              <w:left w:w="28" w:type="dxa"/>
              <w:bottom w:w="57" w:type="dxa"/>
              <w:right w:w="28" w:type="dxa"/>
            </w:tcMar>
            <w:vAlign w:val="center"/>
          </w:tcPr>
          <w:p w14:paraId="3F46CF37">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5C36968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1361FE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5FC4458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08C70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88" w:type="dxa"/>
            <w:tcMar>
              <w:top w:w="57" w:type="dxa"/>
              <w:left w:w="28" w:type="dxa"/>
              <w:bottom w:w="57" w:type="dxa"/>
              <w:right w:w="28" w:type="dxa"/>
            </w:tcMar>
            <w:vAlign w:val="center"/>
          </w:tcPr>
          <w:p w14:paraId="158C7307">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597" w:type="dxa"/>
            <w:tcMar>
              <w:top w:w="57" w:type="dxa"/>
              <w:left w:w="28" w:type="dxa"/>
              <w:bottom w:w="57" w:type="dxa"/>
              <w:right w:w="28" w:type="dxa"/>
            </w:tcMar>
            <w:vAlign w:val="center"/>
          </w:tcPr>
          <w:p w14:paraId="15EF9735">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13C75C8F">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140360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76CE90C7">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54B23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88" w:type="dxa"/>
            <w:tcMar>
              <w:top w:w="57" w:type="dxa"/>
              <w:left w:w="28" w:type="dxa"/>
              <w:bottom w:w="57" w:type="dxa"/>
              <w:right w:w="28" w:type="dxa"/>
            </w:tcMar>
            <w:vAlign w:val="center"/>
          </w:tcPr>
          <w:p w14:paraId="3258206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597" w:type="dxa"/>
            <w:tcMar>
              <w:top w:w="57" w:type="dxa"/>
              <w:left w:w="28" w:type="dxa"/>
              <w:bottom w:w="57" w:type="dxa"/>
              <w:right w:w="28" w:type="dxa"/>
            </w:tcMar>
            <w:vAlign w:val="center"/>
          </w:tcPr>
          <w:p w14:paraId="0EE5F7BF">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22013ECA">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2835E0A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1BAD4284">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r w14:paraId="741D3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788" w:type="dxa"/>
            <w:tcMar>
              <w:top w:w="57" w:type="dxa"/>
              <w:left w:w="28" w:type="dxa"/>
              <w:bottom w:w="57" w:type="dxa"/>
              <w:right w:w="28" w:type="dxa"/>
            </w:tcMar>
            <w:vAlign w:val="center"/>
          </w:tcPr>
          <w:p w14:paraId="355721DD">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597" w:type="dxa"/>
            <w:tcMar>
              <w:top w:w="57" w:type="dxa"/>
              <w:left w:w="28" w:type="dxa"/>
              <w:bottom w:w="57" w:type="dxa"/>
              <w:right w:w="28" w:type="dxa"/>
            </w:tcMar>
            <w:vAlign w:val="center"/>
          </w:tcPr>
          <w:p w14:paraId="4992BA3E">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3225" w:type="dxa"/>
            <w:tcMar>
              <w:top w:w="57" w:type="dxa"/>
              <w:left w:w="28" w:type="dxa"/>
              <w:bottom w:w="57" w:type="dxa"/>
              <w:right w:w="28" w:type="dxa"/>
            </w:tcMar>
            <w:vAlign w:val="center"/>
          </w:tcPr>
          <w:p w14:paraId="54479676">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c>
          <w:tcPr>
            <w:tcW w:w="1650" w:type="dxa"/>
            <w:tcMar>
              <w:top w:w="57" w:type="dxa"/>
              <w:left w:w="28" w:type="dxa"/>
              <w:bottom w:w="57" w:type="dxa"/>
              <w:right w:w="28" w:type="dxa"/>
            </w:tcMar>
            <w:vAlign w:val="center"/>
          </w:tcPr>
          <w:p w14:paraId="70284A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p>
        </w:tc>
        <w:tc>
          <w:tcPr>
            <w:tcW w:w="862" w:type="dxa"/>
            <w:tcMar>
              <w:top w:w="57" w:type="dxa"/>
              <w:left w:w="28" w:type="dxa"/>
              <w:bottom w:w="57" w:type="dxa"/>
              <w:right w:w="28" w:type="dxa"/>
            </w:tcMar>
            <w:vAlign w:val="center"/>
          </w:tcPr>
          <w:p w14:paraId="7E9249EC">
            <w:pPr>
              <w:keepNext w:val="0"/>
              <w:keepLines w:val="0"/>
              <w:pageBreakBefore w:val="0"/>
              <w:widowControl w:val="0"/>
              <w:kinsoku/>
              <w:wordWrap/>
              <w:overflowPunct/>
              <w:topLinePunct w:val="0"/>
              <w:autoSpaceDE/>
              <w:autoSpaceDN/>
              <w:bidi w:val="0"/>
              <w:adjustRightInd/>
              <w:snapToGrid/>
              <w:spacing w:line="360" w:lineRule="auto"/>
              <w:ind w:left="210" w:leftChars="100"/>
              <w:jc w:val="center"/>
              <w:textAlignment w:val="auto"/>
              <w:rPr>
                <w:rFonts w:hint="eastAsia" w:ascii="宋体" w:hAnsi="宋体" w:eastAsia="宋体" w:cs="宋体"/>
                <w:color w:val="auto"/>
                <w:sz w:val="24"/>
                <w:szCs w:val="24"/>
                <w:highlight w:val="none"/>
              </w:rPr>
            </w:pPr>
          </w:p>
        </w:tc>
      </w:tr>
    </w:tbl>
    <w:p w14:paraId="30D8771C">
      <w:pPr>
        <w:keepNext w:val="0"/>
        <w:keepLines w:val="0"/>
        <w:widowControl/>
        <w:suppressLineNumbers w:val="0"/>
        <w:jc w:val="left"/>
        <w:rPr>
          <w:rFonts w:hint="eastAsia" w:ascii="宋体" w:hAnsi="宋体" w:eastAsia="宋体" w:cs="宋体"/>
          <w:color w:val="auto"/>
          <w:kern w:val="0"/>
          <w:sz w:val="24"/>
          <w:szCs w:val="24"/>
          <w:lang w:val="en-US" w:eastAsia="zh-CN" w:bidi="ar"/>
        </w:rPr>
      </w:pPr>
    </w:p>
    <w:p w14:paraId="567E02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4"/>
          <w:szCs w:val="24"/>
        </w:rPr>
        <w:t>声明：除本商务偏离表中所列的偏离项目外，其他所有商务均完全响应“招标文件”中的要求</w:t>
      </w:r>
    </w:p>
    <w:p w14:paraId="1E7CFA46">
      <w:pPr>
        <w:spacing w:line="360" w:lineRule="auto"/>
        <w:rPr>
          <w:rFonts w:hint="eastAsia" w:ascii="宋体" w:hAnsi="宋体" w:eastAsia="宋体" w:cs="宋体"/>
          <w:color w:val="auto"/>
          <w:sz w:val="28"/>
          <w:szCs w:val="28"/>
          <w:highlight w:val="none"/>
        </w:rPr>
      </w:pPr>
    </w:p>
    <w:p w14:paraId="635C30AB">
      <w:pPr>
        <w:spacing w:line="360" w:lineRule="auto"/>
        <w:rPr>
          <w:rFonts w:hint="eastAsia" w:ascii="宋体" w:hAnsi="宋体" w:eastAsia="宋体" w:cs="宋体"/>
          <w:color w:val="auto"/>
          <w:sz w:val="28"/>
          <w:szCs w:val="28"/>
          <w:highlight w:val="none"/>
        </w:rPr>
      </w:pPr>
    </w:p>
    <w:p w14:paraId="733F5A9D">
      <w:pPr>
        <w:spacing w:line="48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p>
    <w:p w14:paraId="4FF59AC9">
      <w:pPr>
        <w:spacing w:line="48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w:t>
      </w:r>
    </w:p>
    <w:p w14:paraId="0C1E006D">
      <w:pPr>
        <w:spacing w:line="360" w:lineRule="auto"/>
        <w:ind w:firstLine="240" w:firstLineChars="1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EF3A6E8">
      <w:pPr>
        <w:pStyle w:val="30"/>
        <w:spacing w:line="360" w:lineRule="auto"/>
        <w:rPr>
          <w:rFonts w:hint="eastAsia" w:ascii="宋体" w:hAnsi="宋体" w:eastAsia="宋体" w:cs="宋体"/>
          <w:color w:val="auto"/>
          <w:szCs w:val="21"/>
          <w:highlight w:val="none"/>
        </w:rPr>
      </w:pPr>
    </w:p>
    <w:p w14:paraId="6BE834B9">
      <w:p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14:paraId="10BEFD73">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八、投标方案</w:t>
      </w:r>
    </w:p>
    <w:p w14:paraId="7566B74E">
      <w:pPr>
        <w:pStyle w:val="8"/>
        <w:spacing w:line="360" w:lineRule="auto"/>
        <w:jc w:val="center"/>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（格式自拟）</w:t>
      </w:r>
    </w:p>
    <w:p w14:paraId="4A7E2A2E">
      <w:pPr>
        <w:ind w:firstLine="482" w:firstLineChars="200"/>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sz w:val="24"/>
          <w:szCs w:val="28"/>
          <w:highlight w:val="none"/>
        </w:rPr>
        <w:t>注：依照招标文件中的采购内容及要求、评审办法进行编制方案，包括但不限于评审办法及评审内容。</w:t>
      </w:r>
      <w:r>
        <w:rPr>
          <w:rFonts w:hint="eastAsia" w:ascii="宋体" w:hAnsi="宋体" w:eastAsia="宋体" w:cs="宋体"/>
          <w:b/>
          <w:bCs/>
          <w:color w:val="auto"/>
          <w:kern w:val="0"/>
          <w:sz w:val="24"/>
          <w:szCs w:val="24"/>
          <w:highlight w:val="none"/>
          <w:lang w:val="en-US" w:eastAsia="zh-CN"/>
        </w:rPr>
        <w:br w:type="page"/>
      </w:r>
    </w:p>
    <w:p w14:paraId="3E0413E5">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九、拟投入项目人员情况表</w:t>
      </w:r>
    </w:p>
    <w:tbl>
      <w:tblPr>
        <w:tblStyle w:val="16"/>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1"/>
        <w:gridCol w:w="1166"/>
        <w:gridCol w:w="1166"/>
        <w:gridCol w:w="942"/>
        <w:gridCol w:w="1567"/>
        <w:gridCol w:w="994"/>
        <w:gridCol w:w="1166"/>
        <w:gridCol w:w="1167"/>
      </w:tblGrid>
      <w:tr w14:paraId="587E1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111" w:type="dxa"/>
            <w:vAlign w:val="center"/>
          </w:tcPr>
          <w:p w14:paraId="3C637A29">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166" w:type="dxa"/>
            <w:vAlign w:val="center"/>
          </w:tcPr>
          <w:p w14:paraId="45861DCF">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姓名</w:t>
            </w:r>
          </w:p>
        </w:tc>
        <w:tc>
          <w:tcPr>
            <w:tcW w:w="1166" w:type="dxa"/>
            <w:vAlign w:val="center"/>
          </w:tcPr>
          <w:p w14:paraId="0B44609F">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性别</w:t>
            </w:r>
          </w:p>
        </w:tc>
        <w:tc>
          <w:tcPr>
            <w:tcW w:w="942" w:type="dxa"/>
            <w:vAlign w:val="center"/>
          </w:tcPr>
          <w:p w14:paraId="3B35F7D5">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年龄</w:t>
            </w:r>
          </w:p>
        </w:tc>
        <w:tc>
          <w:tcPr>
            <w:tcW w:w="1567" w:type="dxa"/>
            <w:vAlign w:val="center"/>
          </w:tcPr>
          <w:p w14:paraId="19BD060A">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拟在本项目中担任的工作或岗位</w:t>
            </w:r>
          </w:p>
        </w:tc>
        <w:tc>
          <w:tcPr>
            <w:tcW w:w="994" w:type="dxa"/>
            <w:vAlign w:val="center"/>
          </w:tcPr>
          <w:p w14:paraId="26A84174">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职称</w:t>
            </w:r>
          </w:p>
        </w:tc>
        <w:tc>
          <w:tcPr>
            <w:tcW w:w="1166" w:type="dxa"/>
            <w:vAlign w:val="center"/>
          </w:tcPr>
          <w:p w14:paraId="5892DDA7">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工作年限</w:t>
            </w:r>
          </w:p>
        </w:tc>
        <w:tc>
          <w:tcPr>
            <w:tcW w:w="1167" w:type="dxa"/>
            <w:vAlign w:val="center"/>
          </w:tcPr>
          <w:p w14:paraId="4428B9C2">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3A339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trPr>
        <w:tc>
          <w:tcPr>
            <w:tcW w:w="1111" w:type="dxa"/>
            <w:vAlign w:val="center"/>
          </w:tcPr>
          <w:p w14:paraId="641F4F07">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2A5FCEA0">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5280B700">
            <w:pPr>
              <w:spacing w:line="440" w:lineRule="exact"/>
              <w:jc w:val="center"/>
              <w:rPr>
                <w:rFonts w:hint="eastAsia" w:ascii="宋体" w:hAnsi="宋体" w:eastAsia="宋体" w:cs="宋体"/>
                <w:color w:val="auto"/>
                <w:sz w:val="24"/>
                <w:szCs w:val="24"/>
                <w:highlight w:val="none"/>
                <w:lang w:val="en-US" w:eastAsia="zh-CN"/>
              </w:rPr>
            </w:pPr>
          </w:p>
        </w:tc>
        <w:tc>
          <w:tcPr>
            <w:tcW w:w="942" w:type="dxa"/>
            <w:vAlign w:val="center"/>
          </w:tcPr>
          <w:p w14:paraId="0ED5E166">
            <w:pPr>
              <w:spacing w:line="440" w:lineRule="exact"/>
              <w:jc w:val="center"/>
              <w:rPr>
                <w:rFonts w:hint="eastAsia" w:ascii="宋体" w:hAnsi="宋体" w:eastAsia="宋体" w:cs="宋体"/>
                <w:color w:val="auto"/>
                <w:sz w:val="24"/>
                <w:szCs w:val="24"/>
                <w:highlight w:val="none"/>
                <w:lang w:val="en-US" w:eastAsia="zh-CN"/>
              </w:rPr>
            </w:pPr>
          </w:p>
        </w:tc>
        <w:tc>
          <w:tcPr>
            <w:tcW w:w="1567" w:type="dxa"/>
            <w:vAlign w:val="center"/>
          </w:tcPr>
          <w:p w14:paraId="6C98D316">
            <w:pPr>
              <w:spacing w:line="440" w:lineRule="exact"/>
              <w:jc w:val="center"/>
              <w:rPr>
                <w:rFonts w:hint="eastAsia" w:ascii="宋体" w:hAnsi="宋体" w:eastAsia="宋体" w:cs="宋体"/>
                <w:color w:val="auto"/>
                <w:sz w:val="24"/>
                <w:szCs w:val="24"/>
                <w:highlight w:val="none"/>
                <w:lang w:val="en-US" w:eastAsia="zh-CN"/>
              </w:rPr>
            </w:pPr>
          </w:p>
        </w:tc>
        <w:tc>
          <w:tcPr>
            <w:tcW w:w="994" w:type="dxa"/>
            <w:vAlign w:val="center"/>
          </w:tcPr>
          <w:p w14:paraId="02E16F22">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10B4807B">
            <w:pPr>
              <w:spacing w:line="440" w:lineRule="exact"/>
              <w:jc w:val="center"/>
              <w:rPr>
                <w:rFonts w:hint="eastAsia" w:ascii="宋体" w:hAnsi="宋体" w:eastAsia="宋体" w:cs="宋体"/>
                <w:color w:val="auto"/>
                <w:sz w:val="24"/>
                <w:szCs w:val="24"/>
                <w:highlight w:val="none"/>
                <w:lang w:val="en-US" w:eastAsia="zh-CN"/>
              </w:rPr>
            </w:pPr>
          </w:p>
        </w:tc>
        <w:tc>
          <w:tcPr>
            <w:tcW w:w="1167" w:type="dxa"/>
            <w:vAlign w:val="center"/>
          </w:tcPr>
          <w:p w14:paraId="4B0D3630">
            <w:pPr>
              <w:spacing w:line="440" w:lineRule="exact"/>
              <w:jc w:val="center"/>
              <w:rPr>
                <w:rFonts w:hint="eastAsia" w:ascii="宋体" w:hAnsi="宋体" w:eastAsia="宋体" w:cs="宋体"/>
                <w:color w:val="auto"/>
                <w:sz w:val="24"/>
                <w:szCs w:val="24"/>
                <w:highlight w:val="none"/>
                <w:lang w:val="en-US" w:eastAsia="zh-CN"/>
              </w:rPr>
            </w:pPr>
          </w:p>
        </w:tc>
      </w:tr>
      <w:tr w14:paraId="0D7B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111" w:type="dxa"/>
            <w:vAlign w:val="center"/>
          </w:tcPr>
          <w:p w14:paraId="71948369">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05AF48DC">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09CB735C">
            <w:pPr>
              <w:spacing w:line="440" w:lineRule="exact"/>
              <w:jc w:val="center"/>
              <w:rPr>
                <w:rFonts w:hint="eastAsia" w:ascii="宋体" w:hAnsi="宋体" w:eastAsia="宋体" w:cs="宋体"/>
                <w:color w:val="auto"/>
                <w:sz w:val="24"/>
                <w:szCs w:val="24"/>
                <w:highlight w:val="none"/>
                <w:lang w:val="en-US" w:eastAsia="zh-CN"/>
              </w:rPr>
            </w:pPr>
          </w:p>
        </w:tc>
        <w:tc>
          <w:tcPr>
            <w:tcW w:w="942" w:type="dxa"/>
            <w:vAlign w:val="center"/>
          </w:tcPr>
          <w:p w14:paraId="06716726">
            <w:pPr>
              <w:spacing w:line="440" w:lineRule="exact"/>
              <w:jc w:val="center"/>
              <w:rPr>
                <w:rFonts w:hint="eastAsia" w:ascii="宋体" w:hAnsi="宋体" w:eastAsia="宋体" w:cs="宋体"/>
                <w:color w:val="auto"/>
                <w:sz w:val="24"/>
                <w:szCs w:val="24"/>
                <w:highlight w:val="none"/>
                <w:lang w:val="en-US" w:eastAsia="zh-CN"/>
              </w:rPr>
            </w:pPr>
          </w:p>
        </w:tc>
        <w:tc>
          <w:tcPr>
            <w:tcW w:w="1567" w:type="dxa"/>
            <w:vAlign w:val="center"/>
          </w:tcPr>
          <w:p w14:paraId="592441DD">
            <w:pPr>
              <w:spacing w:line="440" w:lineRule="exact"/>
              <w:jc w:val="center"/>
              <w:rPr>
                <w:rFonts w:hint="eastAsia" w:ascii="宋体" w:hAnsi="宋体" w:eastAsia="宋体" w:cs="宋体"/>
                <w:color w:val="auto"/>
                <w:sz w:val="24"/>
                <w:szCs w:val="24"/>
                <w:highlight w:val="none"/>
                <w:lang w:val="en-US" w:eastAsia="zh-CN"/>
              </w:rPr>
            </w:pPr>
          </w:p>
        </w:tc>
        <w:tc>
          <w:tcPr>
            <w:tcW w:w="994" w:type="dxa"/>
            <w:vAlign w:val="center"/>
          </w:tcPr>
          <w:p w14:paraId="22129E9F">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46696515">
            <w:pPr>
              <w:spacing w:line="440" w:lineRule="exact"/>
              <w:jc w:val="center"/>
              <w:rPr>
                <w:rFonts w:hint="eastAsia" w:ascii="宋体" w:hAnsi="宋体" w:eastAsia="宋体" w:cs="宋体"/>
                <w:color w:val="auto"/>
                <w:sz w:val="24"/>
                <w:szCs w:val="24"/>
                <w:highlight w:val="none"/>
                <w:lang w:val="en-US" w:eastAsia="zh-CN"/>
              </w:rPr>
            </w:pPr>
          </w:p>
        </w:tc>
        <w:tc>
          <w:tcPr>
            <w:tcW w:w="1167" w:type="dxa"/>
            <w:vAlign w:val="center"/>
          </w:tcPr>
          <w:p w14:paraId="68308F66">
            <w:pPr>
              <w:spacing w:line="440" w:lineRule="exact"/>
              <w:jc w:val="center"/>
              <w:rPr>
                <w:rFonts w:hint="eastAsia" w:ascii="宋体" w:hAnsi="宋体" w:eastAsia="宋体" w:cs="宋体"/>
                <w:color w:val="auto"/>
                <w:sz w:val="24"/>
                <w:szCs w:val="24"/>
                <w:highlight w:val="none"/>
                <w:lang w:val="en-US" w:eastAsia="zh-CN"/>
              </w:rPr>
            </w:pPr>
          </w:p>
        </w:tc>
      </w:tr>
      <w:tr w14:paraId="617FC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1111" w:type="dxa"/>
            <w:vAlign w:val="center"/>
          </w:tcPr>
          <w:p w14:paraId="106D404D">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08585415">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058804F7">
            <w:pPr>
              <w:spacing w:line="440" w:lineRule="exact"/>
              <w:jc w:val="center"/>
              <w:rPr>
                <w:rFonts w:hint="eastAsia" w:ascii="宋体" w:hAnsi="宋体" w:eastAsia="宋体" w:cs="宋体"/>
                <w:color w:val="auto"/>
                <w:sz w:val="24"/>
                <w:szCs w:val="24"/>
                <w:highlight w:val="none"/>
                <w:lang w:val="en-US" w:eastAsia="zh-CN"/>
              </w:rPr>
            </w:pPr>
          </w:p>
        </w:tc>
        <w:tc>
          <w:tcPr>
            <w:tcW w:w="942" w:type="dxa"/>
            <w:vAlign w:val="center"/>
          </w:tcPr>
          <w:p w14:paraId="0BB9E7E3">
            <w:pPr>
              <w:spacing w:line="440" w:lineRule="exact"/>
              <w:jc w:val="center"/>
              <w:rPr>
                <w:rFonts w:hint="eastAsia" w:ascii="宋体" w:hAnsi="宋体" w:eastAsia="宋体" w:cs="宋体"/>
                <w:color w:val="auto"/>
                <w:sz w:val="24"/>
                <w:szCs w:val="24"/>
                <w:highlight w:val="none"/>
                <w:lang w:val="en-US" w:eastAsia="zh-CN"/>
              </w:rPr>
            </w:pPr>
          </w:p>
        </w:tc>
        <w:tc>
          <w:tcPr>
            <w:tcW w:w="1567" w:type="dxa"/>
            <w:vAlign w:val="center"/>
          </w:tcPr>
          <w:p w14:paraId="7129F1FD">
            <w:pPr>
              <w:spacing w:line="440" w:lineRule="exact"/>
              <w:jc w:val="center"/>
              <w:rPr>
                <w:rFonts w:hint="eastAsia" w:ascii="宋体" w:hAnsi="宋体" w:eastAsia="宋体" w:cs="宋体"/>
                <w:color w:val="auto"/>
                <w:sz w:val="24"/>
                <w:szCs w:val="24"/>
                <w:highlight w:val="none"/>
                <w:lang w:val="en-US" w:eastAsia="zh-CN"/>
              </w:rPr>
            </w:pPr>
          </w:p>
        </w:tc>
        <w:tc>
          <w:tcPr>
            <w:tcW w:w="994" w:type="dxa"/>
            <w:vAlign w:val="center"/>
          </w:tcPr>
          <w:p w14:paraId="443EB06D">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617F08D0">
            <w:pPr>
              <w:spacing w:line="440" w:lineRule="exact"/>
              <w:jc w:val="center"/>
              <w:rPr>
                <w:rFonts w:hint="eastAsia" w:ascii="宋体" w:hAnsi="宋体" w:eastAsia="宋体" w:cs="宋体"/>
                <w:color w:val="auto"/>
                <w:sz w:val="24"/>
                <w:szCs w:val="24"/>
                <w:highlight w:val="none"/>
                <w:lang w:val="en-US" w:eastAsia="zh-CN"/>
              </w:rPr>
            </w:pPr>
          </w:p>
        </w:tc>
        <w:tc>
          <w:tcPr>
            <w:tcW w:w="1167" w:type="dxa"/>
            <w:vAlign w:val="center"/>
          </w:tcPr>
          <w:p w14:paraId="3691FFD6">
            <w:pPr>
              <w:spacing w:line="440" w:lineRule="exact"/>
              <w:jc w:val="center"/>
              <w:rPr>
                <w:rFonts w:hint="eastAsia" w:ascii="宋体" w:hAnsi="宋体" w:eastAsia="宋体" w:cs="宋体"/>
                <w:color w:val="auto"/>
                <w:sz w:val="24"/>
                <w:szCs w:val="24"/>
                <w:highlight w:val="none"/>
                <w:lang w:val="en-US" w:eastAsia="zh-CN"/>
              </w:rPr>
            </w:pPr>
          </w:p>
        </w:tc>
      </w:tr>
      <w:tr w14:paraId="7C34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111" w:type="dxa"/>
            <w:vAlign w:val="center"/>
          </w:tcPr>
          <w:p w14:paraId="35DF5235">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381963D2">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1D7C33E4">
            <w:pPr>
              <w:spacing w:line="440" w:lineRule="exact"/>
              <w:jc w:val="center"/>
              <w:rPr>
                <w:rFonts w:hint="eastAsia" w:ascii="宋体" w:hAnsi="宋体" w:eastAsia="宋体" w:cs="宋体"/>
                <w:color w:val="auto"/>
                <w:sz w:val="24"/>
                <w:szCs w:val="24"/>
                <w:highlight w:val="none"/>
                <w:lang w:val="en-US" w:eastAsia="zh-CN"/>
              </w:rPr>
            </w:pPr>
          </w:p>
        </w:tc>
        <w:tc>
          <w:tcPr>
            <w:tcW w:w="942" w:type="dxa"/>
            <w:vAlign w:val="center"/>
          </w:tcPr>
          <w:p w14:paraId="563A9EBF">
            <w:pPr>
              <w:spacing w:line="440" w:lineRule="exact"/>
              <w:jc w:val="center"/>
              <w:rPr>
                <w:rFonts w:hint="eastAsia" w:ascii="宋体" w:hAnsi="宋体" w:eastAsia="宋体" w:cs="宋体"/>
                <w:color w:val="auto"/>
                <w:sz w:val="24"/>
                <w:szCs w:val="24"/>
                <w:highlight w:val="none"/>
                <w:lang w:val="en-US" w:eastAsia="zh-CN"/>
              </w:rPr>
            </w:pPr>
          </w:p>
        </w:tc>
        <w:tc>
          <w:tcPr>
            <w:tcW w:w="1567" w:type="dxa"/>
            <w:vAlign w:val="center"/>
          </w:tcPr>
          <w:p w14:paraId="569A65CD">
            <w:pPr>
              <w:spacing w:line="440" w:lineRule="exact"/>
              <w:jc w:val="center"/>
              <w:rPr>
                <w:rFonts w:hint="eastAsia" w:ascii="宋体" w:hAnsi="宋体" w:eastAsia="宋体" w:cs="宋体"/>
                <w:color w:val="auto"/>
                <w:sz w:val="24"/>
                <w:szCs w:val="24"/>
                <w:highlight w:val="none"/>
                <w:lang w:val="en-US" w:eastAsia="zh-CN"/>
              </w:rPr>
            </w:pPr>
          </w:p>
        </w:tc>
        <w:tc>
          <w:tcPr>
            <w:tcW w:w="994" w:type="dxa"/>
            <w:vAlign w:val="center"/>
          </w:tcPr>
          <w:p w14:paraId="03546F0F">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59F9027A">
            <w:pPr>
              <w:spacing w:line="440" w:lineRule="exact"/>
              <w:jc w:val="center"/>
              <w:rPr>
                <w:rFonts w:hint="eastAsia" w:ascii="宋体" w:hAnsi="宋体" w:eastAsia="宋体" w:cs="宋体"/>
                <w:color w:val="auto"/>
                <w:sz w:val="24"/>
                <w:szCs w:val="24"/>
                <w:highlight w:val="none"/>
                <w:lang w:val="en-US" w:eastAsia="zh-CN"/>
              </w:rPr>
            </w:pPr>
          </w:p>
        </w:tc>
        <w:tc>
          <w:tcPr>
            <w:tcW w:w="1167" w:type="dxa"/>
            <w:vAlign w:val="center"/>
          </w:tcPr>
          <w:p w14:paraId="2D349AF8">
            <w:pPr>
              <w:spacing w:line="440" w:lineRule="exact"/>
              <w:jc w:val="center"/>
              <w:rPr>
                <w:rFonts w:hint="eastAsia" w:ascii="宋体" w:hAnsi="宋体" w:eastAsia="宋体" w:cs="宋体"/>
                <w:color w:val="auto"/>
                <w:sz w:val="24"/>
                <w:szCs w:val="24"/>
                <w:highlight w:val="none"/>
                <w:lang w:val="en-US" w:eastAsia="zh-CN"/>
              </w:rPr>
            </w:pPr>
          </w:p>
        </w:tc>
      </w:tr>
      <w:tr w14:paraId="59B2C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trPr>
        <w:tc>
          <w:tcPr>
            <w:tcW w:w="1111" w:type="dxa"/>
            <w:vAlign w:val="center"/>
          </w:tcPr>
          <w:p w14:paraId="41A76036">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3CDC4EF2">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67E1854C">
            <w:pPr>
              <w:spacing w:line="440" w:lineRule="exact"/>
              <w:jc w:val="center"/>
              <w:rPr>
                <w:rFonts w:hint="eastAsia" w:ascii="宋体" w:hAnsi="宋体" w:eastAsia="宋体" w:cs="宋体"/>
                <w:color w:val="auto"/>
                <w:sz w:val="24"/>
                <w:szCs w:val="24"/>
                <w:highlight w:val="none"/>
                <w:lang w:val="en-US" w:eastAsia="zh-CN"/>
              </w:rPr>
            </w:pPr>
          </w:p>
        </w:tc>
        <w:tc>
          <w:tcPr>
            <w:tcW w:w="942" w:type="dxa"/>
            <w:vAlign w:val="center"/>
          </w:tcPr>
          <w:p w14:paraId="40521615">
            <w:pPr>
              <w:spacing w:line="440" w:lineRule="exact"/>
              <w:jc w:val="center"/>
              <w:rPr>
                <w:rFonts w:hint="eastAsia" w:ascii="宋体" w:hAnsi="宋体" w:eastAsia="宋体" w:cs="宋体"/>
                <w:color w:val="auto"/>
                <w:sz w:val="24"/>
                <w:szCs w:val="24"/>
                <w:highlight w:val="none"/>
                <w:lang w:val="en-US" w:eastAsia="zh-CN"/>
              </w:rPr>
            </w:pPr>
          </w:p>
        </w:tc>
        <w:tc>
          <w:tcPr>
            <w:tcW w:w="1567" w:type="dxa"/>
            <w:vAlign w:val="center"/>
          </w:tcPr>
          <w:p w14:paraId="18868A62">
            <w:pPr>
              <w:spacing w:line="440" w:lineRule="exact"/>
              <w:jc w:val="center"/>
              <w:rPr>
                <w:rFonts w:hint="eastAsia" w:ascii="宋体" w:hAnsi="宋体" w:eastAsia="宋体" w:cs="宋体"/>
                <w:color w:val="auto"/>
                <w:sz w:val="24"/>
                <w:szCs w:val="24"/>
                <w:highlight w:val="none"/>
                <w:lang w:val="en-US" w:eastAsia="zh-CN"/>
              </w:rPr>
            </w:pPr>
          </w:p>
        </w:tc>
        <w:tc>
          <w:tcPr>
            <w:tcW w:w="994" w:type="dxa"/>
            <w:vAlign w:val="center"/>
          </w:tcPr>
          <w:p w14:paraId="6F91FC6D">
            <w:pPr>
              <w:spacing w:line="440" w:lineRule="exact"/>
              <w:jc w:val="center"/>
              <w:rPr>
                <w:rFonts w:hint="eastAsia" w:ascii="宋体" w:hAnsi="宋体" w:eastAsia="宋体" w:cs="宋体"/>
                <w:color w:val="auto"/>
                <w:sz w:val="24"/>
                <w:szCs w:val="24"/>
                <w:highlight w:val="none"/>
                <w:lang w:val="en-US" w:eastAsia="zh-CN"/>
              </w:rPr>
            </w:pPr>
          </w:p>
        </w:tc>
        <w:tc>
          <w:tcPr>
            <w:tcW w:w="1166" w:type="dxa"/>
            <w:vAlign w:val="center"/>
          </w:tcPr>
          <w:p w14:paraId="4F84FAE0">
            <w:pPr>
              <w:spacing w:line="440" w:lineRule="exact"/>
              <w:jc w:val="center"/>
              <w:rPr>
                <w:rFonts w:hint="eastAsia" w:ascii="宋体" w:hAnsi="宋体" w:eastAsia="宋体" w:cs="宋体"/>
                <w:color w:val="auto"/>
                <w:sz w:val="24"/>
                <w:szCs w:val="24"/>
                <w:highlight w:val="none"/>
                <w:lang w:val="en-US" w:eastAsia="zh-CN"/>
              </w:rPr>
            </w:pPr>
          </w:p>
        </w:tc>
        <w:tc>
          <w:tcPr>
            <w:tcW w:w="1167" w:type="dxa"/>
            <w:vAlign w:val="center"/>
          </w:tcPr>
          <w:p w14:paraId="52032AE9">
            <w:pPr>
              <w:spacing w:line="440" w:lineRule="exact"/>
              <w:jc w:val="center"/>
              <w:rPr>
                <w:rFonts w:hint="eastAsia" w:ascii="宋体" w:hAnsi="宋体" w:eastAsia="宋体" w:cs="宋体"/>
                <w:color w:val="auto"/>
                <w:sz w:val="24"/>
                <w:szCs w:val="24"/>
                <w:highlight w:val="none"/>
                <w:lang w:val="en-US" w:eastAsia="zh-CN"/>
              </w:rPr>
            </w:pPr>
          </w:p>
        </w:tc>
      </w:tr>
    </w:tbl>
    <w:p w14:paraId="7A0AF2F5">
      <w:pPr>
        <w:keepNext w:val="0"/>
        <w:keepLines w:val="0"/>
        <w:widowControl/>
        <w:suppressLineNumbers w:val="0"/>
        <w:jc w:val="left"/>
        <w:rPr>
          <w:rFonts w:hint="eastAsia" w:ascii="宋体" w:hAnsi="宋体" w:eastAsia="宋体" w:cs="宋体"/>
          <w:b/>
          <w:bCs/>
          <w:color w:val="auto"/>
          <w:kern w:val="0"/>
          <w:sz w:val="24"/>
          <w:szCs w:val="24"/>
          <w:lang w:val="en-US" w:eastAsia="zh-CN" w:bidi="ar"/>
        </w:rPr>
      </w:pPr>
    </w:p>
    <w:p w14:paraId="78D2E167">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b/>
          <w:bCs/>
          <w:color w:val="auto"/>
          <w:kern w:val="0"/>
          <w:sz w:val="24"/>
          <w:szCs w:val="24"/>
          <w:lang w:val="en-US" w:eastAsia="zh-CN" w:bidi="ar"/>
        </w:rPr>
        <w:t>注：供应商应根据招标文件评分细则的要求在本表后附人员的相关证明材料。</w:t>
      </w:r>
    </w:p>
    <w:p w14:paraId="3CFCB7F6">
      <w:pPr>
        <w:spacing w:line="360" w:lineRule="auto"/>
        <w:rPr>
          <w:rFonts w:hint="eastAsia" w:ascii="宋体" w:hAnsi="宋体" w:eastAsia="宋体" w:cs="宋体"/>
          <w:color w:val="auto"/>
          <w:sz w:val="28"/>
          <w:szCs w:val="28"/>
          <w:highlight w:val="none"/>
        </w:rPr>
      </w:pPr>
    </w:p>
    <w:p w14:paraId="0AC3BE76">
      <w:pPr>
        <w:spacing w:line="360" w:lineRule="auto"/>
        <w:rPr>
          <w:rFonts w:hint="eastAsia" w:ascii="宋体" w:hAnsi="宋体" w:eastAsia="宋体" w:cs="宋体"/>
          <w:color w:val="auto"/>
          <w:sz w:val="28"/>
          <w:szCs w:val="28"/>
          <w:highlight w:val="none"/>
        </w:rPr>
      </w:pPr>
    </w:p>
    <w:p w14:paraId="2F669BA8">
      <w:pPr>
        <w:spacing w:line="360" w:lineRule="auto"/>
        <w:rPr>
          <w:rFonts w:hint="eastAsia" w:ascii="宋体" w:hAnsi="宋体" w:eastAsia="宋体" w:cs="宋体"/>
          <w:color w:val="auto"/>
          <w:sz w:val="28"/>
          <w:szCs w:val="28"/>
          <w:highlight w:val="none"/>
        </w:rPr>
      </w:pPr>
    </w:p>
    <w:p w14:paraId="72AEFE75">
      <w:pPr>
        <w:spacing w:line="360" w:lineRule="auto"/>
        <w:rPr>
          <w:rFonts w:hint="eastAsia" w:ascii="宋体" w:hAnsi="宋体" w:eastAsia="宋体" w:cs="宋体"/>
          <w:color w:val="auto"/>
          <w:sz w:val="28"/>
          <w:szCs w:val="28"/>
          <w:highlight w:val="none"/>
        </w:rPr>
      </w:pPr>
    </w:p>
    <w:p w14:paraId="305864BD">
      <w:pPr>
        <w:spacing w:line="48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p>
    <w:p w14:paraId="395E98FB">
      <w:pPr>
        <w:spacing w:line="48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p>
    <w:p w14:paraId="0A1ED9FB">
      <w:pPr>
        <w:spacing w:line="360" w:lineRule="auto"/>
        <w:ind w:firstLine="240" w:firstLineChars="1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3167D93">
      <w:pPr>
        <w:pStyle w:val="30"/>
        <w:spacing w:line="360" w:lineRule="auto"/>
        <w:rPr>
          <w:rFonts w:hint="eastAsia" w:ascii="宋体" w:hAnsi="宋体" w:eastAsia="宋体" w:cs="宋体"/>
          <w:color w:val="auto"/>
          <w:szCs w:val="21"/>
          <w:highlight w:val="none"/>
        </w:rPr>
      </w:pPr>
    </w:p>
    <w:p w14:paraId="50F3A30A">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14:paraId="2A3703A9">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十、类似项目业绩表</w:t>
      </w:r>
    </w:p>
    <w:tbl>
      <w:tblPr>
        <w:tblStyle w:val="16"/>
        <w:tblW w:w="92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3"/>
        <w:gridCol w:w="1558"/>
        <w:gridCol w:w="1558"/>
        <w:gridCol w:w="1257"/>
        <w:gridCol w:w="2095"/>
        <w:gridCol w:w="1328"/>
      </w:tblGrid>
      <w:tr w14:paraId="0D09B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483" w:type="dxa"/>
            <w:vAlign w:val="center"/>
          </w:tcPr>
          <w:p w14:paraId="52830DAF">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1558" w:type="dxa"/>
            <w:vAlign w:val="center"/>
          </w:tcPr>
          <w:p w14:paraId="0C47C11F">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tc>
        <w:tc>
          <w:tcPr>
            <w:tcW w:w="1558" w:type="dxa"/>
            <w:vAlign w:val="center"/>
          </w:tcPr>
          <w:p w14:paraId="6EC2DB9D">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合同金额（元）</w:t>
            </w:r>
          </w:p>
        </w:tc>
        <w:tc>
          <w:tcPr>
            <w:tcW w:w="1257" w:type="dxa"/>
            <w:vAlign w:val="center"/>
          </w:tcPr>
          <w:p w14:paraId="635F5F00">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w:t>
            </w:r>
          </w:p>
        </w:tc>
        <w:tc>
          <w:tcPr>
            <w:tcW w:w="2095" w:type="dxa"/>
            <w:vAlign w:val="center"/>
          </w:tcPr>
          <w:p w14:paraId="39C77E7B">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业主及联系方式</w:t>
            </w:r>
          </w:p>
        </w:tc>
        <w:tc>
          <w:tcPr>
            <w:tcW w:w="1328" w:type="dxa"/>
            <w:vAlign w:val="center"/>
          </w:tcPr>
          <w:p w14:paraId="18C67BED">
            <w:pPr>
              <w:spacing w:line="44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02CC4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483" w:type="dxa"/>
            <w:vAlign w:val="center"/>
          </w:tcPr>
          <w:p w14:paraId="5D1C8784">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5E236053">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69A64966">
            <w:pPr>
              <w:spacing w:line="440" w:lineRule="exact"/>
              <w:jc w:val="center"/>
              <w:rPr>
                <w:rFonts w:hint="eastAsia" w:ascii="宋体" w:hAnsi="宋体" w:eastAsia="宋体" w:cs="宋体"/>
                <w:color w:val="auto"/>
                <w:sz w:val="24"/>
                <w:szCs w:val="24"/>
                <w:highlight w:val="none"/>
                <w:lang w:val="en-US" w:eastAsia="zh-CN"/>
              </w:rPr>
            </w:pPr>
          </w:p>
        </w:tc>
        <w:tc>
          <w:tcPr>
            <w:tcW w:w="1257" w:type="dxa"/>
            <w:vAlign w:val="center"/>
          </w:tcPr>
          <w:p w14:paraId="424275CA">
            <w:pPr>
              <w:spacing w:line="440" w:lineRule="exact"/>
              <w:jc w:val="center"/>
              <w:rPr>
                <w:rFonts w:hint="eastAsia" w:ascii="宋体" w:hAnsi="宋体" w:eastAsia="宋体" w:cs="宋体"/>
                <w:color w:val="auto"/>
                <w:sz w:val="24"/>
                <w:szCs w:val="24"/>
                <w:highlight w:val="none"/>
                <w:lang w:val="en-US" w:eastAsia="zh-CN"/>
              </w:rPr>
            </w:pPr>
          </w:p>
        </w:tc>
        <w:tc>
          <w:tcPr>
            <w:tcW w:w="2095" w:type="dxa"/>
            <w:vAlign w:val="center"/>
          </w:tcPr>
          <w:p w14:paraId="47CE4513">
            <w:pPr>
              <w:spacing w:line="440" w:lineRule="exact"/>
              <w:jc w:val="center"/>
              <w:rPr>
                <w:rFonts w:hint="eastAsia" w:ascii="宋体" w:hAnsi="宋体" w:eastAsia="宋体" w:cs="宋体"/>
                <w:color w:val="auto"/>
                <w:sz w:val="24"/>
                <w:szCs w:val="24"/>
                <w:highlight w:val="none"/>
                <w:lang w:val="en-US" w:eastAsia="zh-CN"/>
              </w:rPr>
            </w:pPr>
          </w:p>
        </w:tc>
        <w:tc>
          <w:tcPr>
            <w:tcW w:w="1328" w:type="dxa"/>
            <w:vAlign w:val="center"/>
          </w:tcPr>
          <w:p w14:paraId="0506D1BE">
            <w:pPr>
              <w:spacing w:line="440" w:lineRule="exact"/>
              <w:jc w:val="center"/>
              <w:rPr>
                <w:rFonts w:hint="eastAsia" w:ascii="宋体" w:hAnsi="宋体" w:eastAsia="宋体" w:cs="宋体"/>
                <w:color w:val="auto"/>
                <w:sz w:val="24"/>
                <w:szCs w:val="24"/>
                <w:highlight w:val="none"/>
                <w:lang w:val="en-US" w:eastAsia="zh-CN"/>
              </w:rPr>
            </w:pPr>
          </w:p>
        </w:tc>
      </w:tr>
      <w:tr w14:paraId="62355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483" w:type="dxa"/>
            <w:vAlign w:val="center"/>
          </w:tcPr>
          <w:p w14:paraId="7C78D83F">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3436DD4D">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5080D9BA">
            <w:pPr>
              <w:spacing w:line="440" w:lineRule="exact"/>
              <w:jc w:val="center"/>
              <w:rPr>
                <w:rFonts w:hint="eastAsia" w:ascii="宋体" w:hAnsi="宋体" w:eastAsia="宋体" w:cs="宋体"/>
                <w:color w:val="auto"/>
                <w:sz w:val="24"/>
                <w:szCs w:val="24"/>
                <w:highlight w:val="none"/>
                <w:lang w:val="en-US" w:eastAsia="zh-CN"/>
              </w:rPr>
            </w:pPr>
          </w:p>
        </w:tc>
        <w:tc>
          <w:tcPr>
            <w:tcW w:w="1257" w:type="dxa"/>
            <w:vAlign w:val="center"/>
          </w:tcPr>
          <w:p w14:paraId="5D79B9FF">
            <w:pPr>
              <w:spacing w:line="440" w:lineRule="exact"/>
              <w:jc w:val="center"/>
              <w:rPr>
                <w:rFonts w:hint="eastAsia" w:ascii="宋体" w:hAnsi="宋体" w:eastAsia="宋体" w:cs="宋体"/>
                <w:color w:val="auto"/>
                <w:sz w:val="24"/>
                <w:szCs w:val="24"/>
                <w:highlight w:val="none"/>
                <w:lang w:val="en-US" w:eastAsia="zh-CN"/>
              </w:rPr>
            </w:pPr>
          </w:p>
        </w:tc>
        <w:tc>
          <w:tcPr>
            <w:tcW w:w="2095" w:type="dxa"/>
            <w:vAlign w:val="center"/>
          </w:tcPr>
          <w:p w14:paraId="77E64498">
            <w:pPr>
              <w:spacing w:line="440" w:lineRule="exact"/>
              <w:jc w:val="center"/>
              <w:rPr>
                <w:rFonts w:hint="eastAsia" w:ascii="宋体" w:hAnsi="宋体" w:eastAsia="宋体" w:cs="宋体"/>
                <w:color w:val="auto"/>
                <w:sz w:val="24"/>
                <w:szCs w:val="24"/>
                <w:highlight w:val="none"/>
                <w:lang w:val="en-US" w:eastAsia="zh-CN"/>
              </w:rPr>
            </w:pPr>
          </w:p>
        </w:tc>
        <w:tc>
          <w:tcPr>
            <w:tcW w:w="1328" w:type="dxa"/>
            <w:vAlign w:val="center"/>
          </w:tcPr>
          <w:p w14:paraId="0EF47BB8">
            <w:pPr>
              <w:spacing w:line="440" w:lineRule="exact"/>
              <w:jc w:val="center"/>
              <w:rPr>
                <w:rFonts w:hint="eastAsia" w:ascii="宋体" w:hAnsi="宋体" w:eastAsia="宋体" w:cs="宋体"/>
                <w:color w:val="auto"/>
                <w:sz w:val="24"/>
                <w:szCs w:val="24"/>
                <w:highlight w:val="none"/>
                <w:lang w:val="en-US" w:eastAsia="zh-CN"/>
              </w:rPr>
            </w:pPr>
          </w:p>
        </w:tc>
      </w:tr>
      <w:tr w14:paraId="56456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483" w:type="dxa"/>
            <w:vAlign w:val="center"/>
          </w:tcPr>
          <w:p w14:paraId="75F8CDEE">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3A02296F">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3CCEF244">
            <w:pPr>
              <w:spacing w:line="440" w:lineRule="exact"/>
              <w:jc w:val="center"/>
              <w:rPr>
                <w:rFonts w:hint="eastAsia" w:ascii="宋体" w:hAnsi="宋体" w:eastAsia="宋体" w:cs="宋体"/>
                <w:color w:val="auto"/>
                <w:sz w:val="24"/>
                <w:szCs w:val="24"/>
                <w:highlight w:val="none"/>
                <w:lang w:val="en-US" w:eastAsia="zh-CN"/>
              </w:rPr>
            </w:pPr>
          </w:p>
        </w:tc>
        <w:tc>
          <w:tcPr>
            <w:tcW w:w="1257" w:type="dxa"/>
            <w:vAlign w:val="center"/>
          </w:tcPr>
          <w:p w14:paraId="279DE675">
            <w:pPr>
              <w:spacing w:line="440" w:lineRule="exact"/>
              <w:jc w:val="center"/>
              <w:rPr>
                <w:rFonts w:hint="eastAsia" w:ascii="宋体" w:hAnsi="宋体" w:eastAsia="宋体" w:cs="宋体"/>
                <w:color w:val="auto"/>
                <w:sz w:val="24"/>
                <w:szCs w:val="24"/>
                <w:highlight w:val="none"/>
                <w:lang w:val="en-US" w:eastAsia="zh-CN"/>
              </w:rPr>
            </w:pPr>
          </w:p>
        </w:tc>
        <w:tc>
          <w:tcPr>
            <w:tcW w:w="2095" w:type="dxa"/>
            <w:vAlign w:val="center"/>
          </w:tcPr>
          <w:p w14:paraId="33C20897">
            <w:pPr>
              <w:spacing w:line="440" w:lineRule="exact"/>
              <w:jc w:val="center"/>
              <w:rPr>
                <w:rFonts w:hint="eastAsia" w:ascii="宋体" w:hAnsi="宋体" w:eastAsia="宋体" w:cs="宋体"/>
                <w:color w:val="auto"/>
                <w:sz w:val="24"/>
                <w:szCs w:val="24"/>
                <w:highlight w:val="none"/>
                <w:lang w:val="en-US" w:eastAsia="zh-CN"/>
              </w:rPr>
            </w:pPr>
          </w:p>
        </w:tc>
        <w:tc>
          <w:tcPr>
            <w:tcW w:w="1328" w:type="dxa"/>
            <w:vAlign w:val="center"/>
          </w:tcPr>
          <w:p w14:paraId="264FE032">
            <w:pPr>
              <w:spacing w:line="440" w:lineRule="exact"/>
              <w:jc w:val="center"/>
              <w:rPr>
                <w:rFonts w:hint="eastAsia" w:ascii="宋体" w:hAnsi="宋体" w:eastAsia="宋体" w:cs="宋体"/>
                <w:color w:val="auto"/>
                <w:sz w:val="24"/>
                <w:szCs w:val="24"/>
                <w:highlight w:val="none"/>
                <w:lang w:val="en-US" w:eastAsia="zh-CN"/>
              </w:rPr>
            </w:pPr>
          </w:p>
        </w:tc>
      </w:tr>
      <w:tr w14:paraId="63240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trPr>
        <w:tc>
          <w:tcPr>
            <w:tcW w:w="1483" w:type="dxa"/>
            <w:vAlign w:val="center"/>
          </w:tcPr>
          <w:p w14:paraId="5D95C69C">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629AC4C5">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4212CA8E">
            <w:pPr>
              <w:spacing w:line="440" w:lineRule="exact"/>
              <w:jc w:val="center"/>
              <w:rPr>
                <w:rFonts w:hint="eastAsia" w:ascii="宋体" w:hAnsi="宋体" w:eastAsia="宋体" w:cs="宋体"/>
                <w:color w:val="auto"/>
                <w:sz w:val="24"/>
                <w:szCs w:val="24"/>
                <w:highlight w:val="none"/>
                <w:lang w:val="en-US" w:eastAsia="zh-CN"/>
              </w:rPr>
            </w:pPr>
          </w:p>
        </w:tc>
        <w:tc>
          <w:tcPr>
            <w:tcW w:w="1257" w:type="dxa"/>
            <w:vAlign w:val="center"/>
          </w:tcPr>
          <w:p w14:paraId="14F207F9">
            <w:pPr>
              <w:spacing w:line="440" w:lineRule="exact"/>
              <w:jc w:val="center"/>
              <w:rPr>
                <w:rFonts w:hint="eastAsia" w:ascii="宋体" w:hAnsi="宋体" w:eastAsia="宋体" w:cs="宋体"/>
                <w:color w:val="auto"/>
                <w:sz w:val="24"/>
                <w:szCs w:val="24"/>
                <w:highlight w:val="none"/>
                <w:lang w:val="en-US" w:eastAsia="zh-CN"/>
              </w:rPr>
            </w:pPr>
          </w:p>
        </w:tc>
        <w:tc>
          <w:tcPr>
            <w:tcW w:w="2095" w:type="dxa"/>
            <w:vAlign w:val="center"/>
          </w:tcPr>
          <w:p w14:paraId="158D70B2">
            <w:pPr>
              <w:spacing w:line="440" w:lineRule="exact"/>
              <w:jc w:val="center"/>
              <w:rPr>
                <w:rFonts w:hint="eastAsia" w:ascii="宋体" w:hAnsi="宋体" w:eastAsia="宋体" w:cs="宋体"/>
                <w:color w:val="auto"/>
                <w:sz w:val="24"/>
                <w:szCs w:val="24"/>
                <w:highlight w:val="none"/>
                <w:lang w:val="en-US" w:eastAsia="zh-CN"/>
              </w:rPr>
            </w:pPr>
          </w:p>
        </w:tc>
        <w:tc>
          <w:tcPr>
            <w:tcW w:w="1328" w:type="dxa"/>
            <w:vAlign w:val="center"/>
          </w:tcPr>
          <w:p w14:paraId="396A2AD3">
            <w:pPr>
              <w:spacing w:line="440" w:lineRule="exact"/>
              <w:jc w:val="center"/>
              <w:rPr>
                <w:rFonts w:hint="eastAsia" w:ascii="宋体" w:hAnsi="宋体" w:eastAsia="宋体" w:cs="宋体"/>
                <w:color w:val="auto"/>
                <w:sz w:val="24"/>
                <w:szCs w:val="24"/>
                <w:highlight w:val="none"/>
                <w:lang w:val="en-US" w:eastAsia="zh-CN"/>
              </w:rPr>
            </w:pPr>
          </w:p>
        </w:tc>
      </w:tr>
      <w:tr w14:paraId="435D0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trPr>
        <w:tc>
          <w:tcPr>
            <w:tcW w:w="1483" w:type="dxa"/>
            <w:vAlign w:val="center"/>
          </w:tcPr>
          <w:p w14:paraId="756CE112">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4B339E3D">
            <w:pPr>
              <w:spacing w:line="440" w:lineRule="exact"/>
              <w:jc w:val="center"/>
              <w:rPr>
                <w:rFonts w:hint="eastAsia" w:ascii="宋体" w:hAnsi="宋体" w:eastAsia="宋体" w:cs="宋体"/>
                <w:color w:val="auto"/>
                <w:sz w:val="24"/>
                <w:szCs w:val="24"/>
                <w:highlight w:val="none"/>
                <w:lang w:val="en-US" w:eastAsia="zh-CN"/>
              </w:rPr>
            </w:pPr>
          </w:p>
        </w:tc>
        <w:tc>
          <w:tcPr>
            <w:tcW w:w="1558" w:type="dxa"/>
            <w:vAlign w:val="center"/>
          </w:tcPr>
          <w:p w14:paraId="134F7824">
            <w:pPr>
              <w:spacing w:line="440" w:lineRule="exact"/>
              <w:jc w:val="center"/>
              <w:rPr>
                <w:rFonts w:hint="eastAsia" w:ascii="宋体" w:hAnsi="宋体" w:eastAsia="宋体" w:cs="宋体"/>
                <w:color w:val="auto"/>
                <w:sz w:val="24"/>
                <w:szCs w:val="24"/>
                <w:highlight w:val="none"/>
                <w:lang w:val="en-US" w:eastAsia="zh-CN"/>
              </w:rPr>
            </w:pPr>
          </w:p>
        </w:tc>
        <w:tc>
          <w:tcPr>
            <w:tcW w:w="1257" w:type="dxa"/>
            <w:vAlign w:val="center"/>
          </w:tcPr>
          <w:p w14:paraId="05321021">
            <w:pPr>
              <w:spacing w:line="440" w:lineRule="exact"/>
              <w:jc w:val="center"/>
              <w:rPr>
                <w:rFonts w:hint="eastAsia" w:ascii="宋体" w:hAnsi="宋体" w:eastAsia="宋体" w:cs="宋体"/>
                <w:color w:val="auto"/>
                <w:sz w:val="24"/>
                <w:szCs w:val="24"/>
                <w:highlight w:val="none"/>
                <w:lang w:val="en-US" w:eastAsia="zh-CN"/>
              </w:rPr>
            </w:pPr>
          </w:p>
        </w:tc>
        <w:tc>
          <w:tcPr>
            <w:tcW w:w="2095" w:type="dxa"/>
            <w:vAlign w:val="center"/>
          </w:tcPr>
          <w:p w14:paraId="292DE5D0">
            <w:pPr>
              <w:spacing w:line="440" w:lineRule="exact"/>
              <w:jc w:val="center"/>
              <w:rPr>
                <w:rFonts w:hint="eastAsia" w:ascii="宋体" w:hAnsi="宋体" w:eastAsia="宋体" w:cs="宋体"/>
                <w:color w:val="auto"/>
                <w:sz w:val="24"/>
                <w:szCs w:val="24"/>
                <w:highlight w:val="none"/>
                <w:lang w:val="en-US" w:eastAsia="zh-CN"/>
              </w:rPr>
            </w:pPr>
          </w:p>
        </w:tc>
        <w:tc>
          <w:tcPr>
            <w:tcW w:w="1328" w:type="dxa"/>
            <w:vAlign w:val="center"/>
          </w:tcPr>
          <w:p w14:paraId="2EA9B87A">
            <w:pPr>
              <w:spacing w:line="440" w:lineRule="exact"/>
              <w:jc w:val="center"/>
              <w:rPr>
                <w:rFonts w:hint="eastAsia" w:ascii="宋体" w:hAnsi="宋体" w:eastAsia="宋体" w:cs="宋体"/>
                <w:color w:val="auto"/>
                <w:sz w:val="24"/>
                <w:szCs w:val="24"/>
                <w:highlight w:val="none"/>
                <w:lang w:val="en-US" w:eastAsia="zh-CN"/>
              </w:rPr>
            </w:pPr>
          </w:p>
        </w:tc>
      </w:tr>
    </w:tbl>
    <w:p w14:paraId="5D76C269">
      <w:pPr>
        <w:rPr>
          <w:rFonts w:hint="eastAsia" w:ascii="宋体" w:hAnsi="宋体" w:eastAsia="宋体" w:cs="宋体"/>
          <w:b/>
          <w:bCs/>
          <w:color w:val="auto"/>
          <w:kern w:val="0"/>
          <w:sz w:val="28"/>
          <w:szCs w:val="28"/>
          <w:highlight w:val="none"/>
          <w:lang w:val="en-US" w:eastAsia="zh-CN"/>
        </w:rPr>
      </w:pPr>
    </w:p>
    <w:p w14:paraId="07FA23F1">
      <w:pPr>
        <w:rPr>
          <w:rFonts w:hint="eastAsia" w:ascii="宋体" w:hAnsi="宋体" w:eastAsia="宋体" w:cs="宋体"/>
          <w:b/>
          <w:bCs/>
          <w:color w:val="auto"/>
          <w:kern w:val="0"/>
          <w:sz w:val="28"/>
          <w:szCs w:val="28"/>
          <w:highlight w:val="none"/>
          <w:lang w:val="en-US" w:eastAsia="zh-CN"/>
        </w:rPr>
      </w:pPr>
    </w:p>
    <w:p w14:paraId="32B638C5">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b/>
          <w:bCs/>
          <w:color w:val="auto"/>
          <w:kern w:val="0"/>
          <w:sz w:val="24"/>
          <w:szCs w:val="24"/>
          <w:lang w:val="en-US" w:eastAsia="zh-CN" w:bidi="ar"/>
        </w:rPr>
        <w:t xml:space="preserve">注：1、后附业绩证明材料。 </w:t>
      </w:r>
    </w:p>
    <w:p w14:paraId="4652E13C">
      <w:pPr>
        <w:keepNext w:val="0"/>
        <w:keepLines w:val="0"/>
        <w:widowControl/>
        <w:suppressLineNumbers w:val="0"/>
        <w:jc w:val="left"/>
        <w:rPr>
          <w:rFonts w:hint="eastAsia" w:ascii="宋体" w:hAnsi="宋体" w:eastAsia="宋体" w:cs="宋体"/>
          <w:color w:val="auto"/>
        </w:rPr>
      </w:pPr>
      <w:r>
        <w:rPr>
          <w:rFonts w:hint="eastAsia" w:ascii="宋体" w:hAnsi="宋体" w:cs="宋体"/>
          <w:b/>
          <w:bCs/>
          <w:color w:val="auto"/>
          <w:kern w:val="0"/>
          <w:sz w:val="24"/>
          <w:szCs w:val="24"/>
          <w:lang w:val="en-US" w:eastAsia="zh-CN" w:bidi="ar"/>
        </w:rPr>
        <w:t>2.</w:t>
      </w:r>
      <w:r>
        <w:rPr>
          <w:rFonts w:hint="eastAsia" w:ascii="宋体" w:hAnsi="宋体" w:eastAsia="宋体" w:cs="宋体"/>
          <w:b/>
          <w:bCs/>
          <w:color w:val="auto"/>
          <w:kern w:val="0"/>
          <w:sz w:val="24"/>
          <w:szCs w:val="24"/>
          <w:lang w:val="en-US" w:eastAsia="zh-CN" w:bidi="ar"/>
        </w:rPr>
        <w:t>投标人应如实填报，如有虚假，一经查实将导致其投标文件被拒绝。</w:t>
      </w:r>
    </w:p>
    <w:p w14:paraId="72FCD289">
      <w:pPr>
        <w:spacing w:line="360" w:lineRule="auto"/>
        <w:rPr>
          <w:rFonts w:hint="eastAsia" w:ascii="宋体" w:hAnsi="宋体" w:eastAsia="宋体" w:cs="宋体"/>
          <w:color w:val="auto"/>
          <w:sz w:val="28"/>
          <w:szCs w:val="28"/>
          <w:highlight w:val="none"/>
        </w:rPr>
      </w:pPr>
    </w:p>
    <w:p w14:paraId="67720AAB">
      <w:pPr>
        <w:spacing w:line="360" w:lineRule="auto"/>
        <w:rPr>
          <w:rFonts w:hint="eastAsia" w:ascii="宋体" w:hAnsi="宋体" w:eastAsia="宋体" w:cs="宋体"/>
          <w:color w:val="auto"/>
          <w:sz w:val="28"/>
          <w:szCs w:val="28"/>
          <w:highlight w:val="none"/>
        </w:rPr>
      </w:pPr>
    </w:p>
    <w:p w14:paraId="270B1DE2">
      <w:pPr>
        <w:spacing w:line="480" w:lineRule="auto"/>
        <w:ind w:firstLine="240" w:firstLineChars="10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投标人（盖章）：</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p>
    <w:p w14:paraId="213B7723">
      <w:pPr>
        <w:spacing w:line="480" w:lineRule="auto"/>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法人代表或委托代理人（签字或盖章）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lang w:val="en-US" w:eastAsia="zh-CN"/>
        </w:rPr>
        <w:t xml:space="preserve">                 </w:t>
      </w:r>
    </w:p>
    <w:p w14:paraId="22BC9939">
      <w:pPr>
        <w:spacing w:line="360" w:lineRule="auto"/>
        <w:ind w:firstLine="240" w:firstLineChars="1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46B0069">
      <w:pPr>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br w:type="page"/>
      </w:r>
    </w:p>
    <w:p w14:paraId="51D8479F">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十一、陕西省政府采购供应商拒绝政府采购领域商业贿赂承诺书</w:t>
      </w:r>
    </w:p>
    <w:p w14:paraId="4CE520F9">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为响应党中央、国务院关于治理政府采购领域商业贿赂行为的号召，我单位在此庄严承诺： </w:t>
      </w:r>
    </w:p>
    <w:p w14:paraId="26DB098C">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1.</w:t>
      </w:r>
      <w:r>
        <w:rPr>
          <w:rFonts w:hint="eastAsia" w:ascii="宋体" w:hAnsi="宋体" w:eastAsia="宋体" w:cs="宋体"/>
          <w:color w:val="auto"/>
          <w:kern w:val="0"/>
          <w:sz w:val="24"/>
          <w:szCs w:val="24"/>
          <w:highlight w:val="none"/>
        </w:rPr>
        <w:t xml:space="preserve">在参与政府采购活动中遵纪守法、诚信经营、公平竞标。 </w:t>
      </w:r>
    </w:p>
    <w:p w14:paraId="794BE769">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2.</w:t>
      </w:r>
      <w:r>
        <w:rPr>
          <w:rFonts w:hint="eastAsia" w:ascii="宋体" w:hAnsi="宋体" w:eastAsia="宋体" w:cs="宋体"/>
          <w:color w:val="auto"/>
          <w:kern w:val="0"/>
          <w:sz w:val="24"/>
          <w:szCs w:val="24"/>
          <w:highlight w:val="none"/>
        </w:rPr>
        <w:t xml:space="preserve">不向政府采购人、采购代理机构和政府采购评审专家进行任何形式的商业贿赂以谋取交易机会。 </w:t>
      </w:r>
    </w:p>
    <w:p w14:paraId="1FD4264E">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3.</w:t>
      </w:r>
      <w:r>
        <w:rPr>
          <w:rFonts w:hint="eastAsia" w:ascii="宋体" w:hAnsi="宋体" w:eastAsia="宋体" w:cs="宋体"/>
          <w:color w:val="auto"/>
          <w:kern w:val="0"/>
          <w:sz w:val="24"/>
          <w:szCs w:val="24"/>
          <w:highlight w:val="none"/>
        </w:rPr>
        <w:t xml:space="preserve">不向政府采购代理机构和采购人提供虚假资质文件或采用虚假应标方式参与政府采购市场竞争并谋取成交、成交。 </w:t>
      </w:r>
    </w:p>
    <w:p w14:paraId="2845E869">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4.</w:t>
      </w:r>
      <w:r>
        <w:rPr>
          <w:rFonts w:hint="eastAsia" w:ascii="宋体" w:hAnsi="宋体" w:eastAsia="宋体" w:cs="宋体"/>
          <w:color w:val="auto"/>
          <w:kern w:val="0"/>
          <w:sz w:val="24"/>
          <w:szCs w:val="24"/>
          <w:highlight w:val="none"/>
        </w:rPr>
        <w:t xml:space="preserve">不采取“围标、陪标”等商业欺诈手段获得政府采购定单。 </w:t>
      </w:r>
    </w:p>
    <w:p w14:paraId="0A889E7B">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5.</w:t>
      </w:r>
      <w:r>
        <w:rPr>
          <w:rFonts w:hint="eastAsia" w:ascii="宋体" w:hAnsi="宋体" w:eastAsia="宋体" w:cs="宋体"/>
          <w:color w:val="auto"/>
          <w:kern w:val="0"/>
          <w:sz w:val="24"/>
          <w:szCs w:val="24"/>
          <w:highlight w:val="none"/>
        </w:rPr>
        <w:t>不采取不正当手段</w:t>
      </w:r>
      <w:r>
        <w:rPr>
          <w:rFonts w:hint="eastAsia" w:ascii="宋体" w:hAnsi="宋体" w:cs="宋体"/>
          <w:color w:val="auto"/>
          <w:kern w:val="0"/>
          <w:sz w:val="24"/>
          <w:szCs w:val="24"/>
          <w:highlight w:val="none"/>
          <w:lang w:eastAsia="zh-CN"/>
        </w:rPr>
        <w:t>诋毁</w:t>
      </w:r>
      <w:r>
        <w:rPr>
          <w:rFonts w:hint="eastAsia" w:ascii="宋体" w:hAnsi="宋体" w:eastAsia="宋体" w:cs="宋体"/>
          <w:color w:val="auto"/>
          <w:kern w:val="0"/>
          <w:sz w:val="24"/>
          <w:szCs w:val="24"/>
          <w:highlight w:val="none"/>
        </w:rPr>
        <w:t xml:space="preserve">、排挤其他供应商。 </w:t>
      </w:r>
    </w:p>
    <w:p w14:paraId="37B81ACE">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6.</w:t>
      </w:r>
      <w:r>
        <w:rPr>
          <w:rFonts w:hint="eastAsia" w:ascii="宋体" w:hAnsi="宋体" w:eastAsia="宋体" w:cs="宋体"/>
          <w:color w:val="auto"/>
          <w:kern w:val="0"/>
          <w:sz w:val="24"/>
          <w:szCs w:val="24"/>
          <w:highlight w:val="none"/>
        </w:rPr>
        <w:t xml:space="preserve">不在提供商品和服务时“偷梁换柱、以次充好”损害采购人的合法权益。 </w:t>
      </w:r>
    </w:p>
    <w:p w14:paraId="261A5125">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7.</w:t>
      </w:r>
      <w:r>
        <w:rPr>
          <w:rFonts w:hint="eastAsia" w:ascii="宋体" w:hAnsi="宋体" w:eastAsia="宋体" w:cs="宋体"/>
          <w:color w:val="auto"/>
          <w:kern w:val="0"/>
          <w:sz w:val="24"/>
          <w:szCs w:val="24"/>
          <w:highlight w:val="none"/>
        </w:rPr>
        <w:t>不与采购人、采购代理机构政府采购评审专家或</w:t>
      </w:r>
      <w:r>
        <w:rPr>
          <w:rFonts w:hint="eastAsia" w:ascii="宋体" w:hAnsi="宋体" w:cs="宋体"/>
          <w:color w:val="auto"/>
          <w:kern w:val="0"/>
          <w:sz w:val="24"/>
          <w:szCs w:val="24"/>
          <w:highlight w:val="none"/>
          <w:lang w:eastAsia="zh-CN"/>
        </w:rPr>
        <w:t>其他</w:t>
      </w:r>
      <w:r>
        <w:rPr>
          <w:rFonts w:hint="eastAsia" w:ascii="宋体" w:hAnsi="宋体" w:eastAsia="宋体" w:cs="宋体"/>
          <w:color w:val="auto"/>
          <w:kern w:val="0"/>
          <w:sz w:val="24"/>
          <w:szCs w:val="24"/>
          <w:highlight w:val="none"/>
        </w:rPr>
        <w:t xml:space="preserve">供应商恶意串通，进行质疑和投诉，维护政府采购市场秩序。 </w:t>
      </w:r>
    </w:p>
    <w:p w14:paraId="2F1F632C">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8.</w:t>
      </w:r>
      <w:r>
        <w:rPr>
          <w:rFonts w:hint="eastAsia" w:ascii="宋体" w:hAnsi="宋体" w:eastAsia="宋体" w:cs="宋体"/>
          <w:color w:val="auto"/>
          <w:kern w:val="0"/>
          <w:sz w:val="24"/>
          <w:szCs w:val="24"/>
          <w:highlight w:val="none"/>
        </w:rPr>
        <w:t xml:space="preserve">尊重和接受政府采购监督管理部门的监督和政府采购代理机构招标采购要求，承担因违约行为给采购人造成的损失。 </w:t>
      </w:r>
    </w:p>
    <w:p w14:paraId="009F0ADF">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eastAsia="zh-CN"/>
        </w:rPr>
        <w:t>9.</w:t>
      </w:r>
      <w:r>
        <w:rPr>
          <w:rFonts w:hint="eastAsia" w:ascii="宋体" w:hAnsi="宋体" w:eastAsia="宋体" w:cs="宋体"/>
          <w:color w:val="auto"/>
          <w:kern w:val="0"/>
          <w:sz w:val="24"/>
          <w:szCs w:val="24"/>
          <w:highlight w:val="none"/>
        </w:rPr>
        <w:t xml:space="preserve">不发生其他有悖于政府采购公开、公平、公正和诚信原则的行为。 </w:t>
      </w:r>
    </w:p>
    <w:p w14:paraId="5BAA2464">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hint="eastAsia" w:ascii="宋体" w:hAnsi="宋体" w:eastAsia="宋体" w:cs="宋体"/>
          <w:color w:val="auto"/>
          <w:kern w:val="0"/>
          <w:sz w:val="24"/>
          <w:szCs w:val="24"/>
          <w:highlight w:val="none"/>
        </w:rPr>
      </w:pPr>
    </w:p>
    <w:p w14:paraId="16C25C5D">
      <w:pPr>
        <w:keepNext w:val="0"/>
        <w:keepLines w:val="0"/>
        <w:pageBreakBefore w:val="0"/>
        <w:widowControl/>
        <w:kinsoku/>
        <w:wordWrap/>
        <w:overflowPunct/>
        <w:topLinePunct w:val="0"/>
        <w:autoSpaceDE/>
        <w:autoSpaceDN/>
        <w:bidi w:val="0"/>
        <w:adjustRightInd/>
        <w:snapToGrid/>
        <w:spacing w:line="500" w:lineRule="exact"/>
        <w:ind w:firstLine="840" w:firstLineChars="3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承诺单位：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（盖章）</w:t>
      </w:r>
    </w:p>
    <w:p w14:paraId="6642568B">
      <w:pPr>
        <w:keepNext w:val="0"/>
        <w:keepLines w:val="0"/>
        <w:pageBreakBefore w:val="0"/>
        <w:widowControl/>
        <w:kinsoku/>
        <w:wordWrap/>
        <w:overflowPunct/>
        <w:topLinePunct w:val="0"/>
        <w:autoSpaceDE/>
        <w:autoSpaceDN/>
        <w:bidi w:val="0"/>
        <w:adjustRightInd/>
        <w:snapToGrid/>
        <w:spacing w:line="500" w:lineRule="exact"/>
        <w:ind w:firstLine="840" w:firstLineChars="3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全权代表：</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（签字或盖章）</w:t>
      </w:r>
    </w:p>
    <w:p w14:paraId="4542FAE4">
      <w:pPr>
        <w:keepNext w:val="0"/>
        <w:keepLines w:val="0"/>
        <w:pageBreakBefore w:val="0"/>
        <w:widowControl/>
        <w:kinsoku/>
        <w:wordWrap/>
        <w:overflowPunct/>
        <w:topLinePunct w:val="0"/>
        <w:autoSpaceDE/>
        <w:autoSpaceDN/>
        <w:bidi w:val="0"/>
        <w:adjustRightInd/>
        <w:snapToGrid/>
        <w:spacing w:line="500" w:lineRule="exact"/>
        <w:ind w:firstLine="840" w:firstLineChars="350"/>
        <w:jc w:val="left"/>
        <w:textAlignment w:val="auto"/>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w:t>
      </w:r>
    </w:p>
    <w:p w14:paraId="4F98B3A7">
      <w:pPr>
        <w:keepNext w:val="0"/>
        <w:keepLines w:val="0"/>
        <w:pageBreakBefore w:val="0"/>
        <w:widowControl/>
        <w:tabs>
          <w:tab w:val="left" w:pos="4680"/>
        </w:tabs>
        <w:kinsoku/>
        <w:wordWrap/>
        <w:overflowPunct/>
        <w:topLinePunct w:val="0"/>
        <w:autoSpaceDE/>
        <w:autoSpaceDN/>
        <w:bidi w:val="0"/>
        <w:adjustRightInd/>
        <w:snapToGrid/>
        <w:spacing w:line="500" w:lineRule="exact"/>
        <w:ind w:firstLine="840" w:firstLineChars="35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u w:val="single"/>
          <w:lang w:val="en-US" w:eastAsia="zh-CN"/>
        </w:rPr>
        <w:t xml:space="preserve">             </w:t>
      </w:r>
      <w:r>
        <w:rPr>
          <w:rFonts w:hint="eastAsia" w:ascii="宋体" w:hAnsi="宋体" w:eastAsia="宋体" w:cs="宋体"/>
          <w:color w:val="auto"/>
          <w:kern w:val="0"/>
          <w:sz w:val="24"/>
          <w:szCs w:val="24"/>
          <w:highlight w:val="none"/>
          <w:u w:val="single"/>
        </w:rPr>
        <w:t xml:space="preserve">    　</w:t>
      </w:r>
    </w:p>
    <w:p w14:paraId="478652EF">
      <w:pPr>
        <w:keepNext w:val="0"/>
        <w:keepLines w:val="0"/>
        <w:pageBreakBefore w:val="0"/>
        <w:kinsoku/>
        <w:wordWrap/>
        <w:overflowPunct/>
        <w:topLinePunct w:val="0"/>
        <w:autoSpaceDE/>
        <w:autoSpaceDN/>
        <w:bidi w:val="0"/>
        <w:adjustRightInd/>
        <w:snapToGrid/>
        <w:spacing w:line="500" w:lineRule="exact"/>
        <w:ind w:firstLine="5280" w:firstLineChars="2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年　　月　　日</w:t>
      </w:r>
    </w:p>
    <w:p w14:paraId="392D2BEF">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27B31D51">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一</w:t>
      </w:r>
      <w:r>
        <w:rPr>
          <w:rFonts w:hint="eastAsia" w:ascii="宋体" w:hAnsi="宋体" w:eastAsia="宋体" w:cs="宋体"/>
          <w:b/>
          <w:color w:val="auto"/>
          <w:sz w:val="28"/>
          <w:szCs w:val="28"/>
          <w:highlight w:val="none"/>
        </w:rPr>
        <w:t>）</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175A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000" w:type="dxa"/>
            <w:gridSpan w:val="3"/>
            <w:noWrap/>
            <w:vAlign w:val="center"/>
          </w:tcPr>
          <w:p w14:paraId="40DD320D">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安康华昊智远项目管理有限公司</w:t>
            </w:r>
          </w:p>
        </w:tc>
      </w:tr>
      <w:tr w14:paraId="3434C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2D54DFF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作为参加贵公司组织的采购项目的供应商，本公司承诺：在参加本项目招标之前不存在被依法禁止经营行为、财产被接管或冻结的情况，如有隐瞒实情，愿承担一切责任及后果。</w:t>
            </w:r>
          </w:p>
        </w:tc>
      </w:tr>
      <w:tr w14:paraId="60DA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3240" w:type="dxa"/>
            <w:noWrap/>
            <w:vAlign w:val="center"/>
          </w:tcPr>
          <w:p w14:paraId="6CD4A3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420" w:type="dxa"/>
            <w:noWrap/>
            <w:vAlign w:val="center"/>
          </w:tcPr>
          <w:p w14:paraId="78CB37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340" w:type="dxa"/>
            <w:noWrap/>
            <w:vAlign w:val="center"/>
          </w:tcPr>
          <w:p w14:paraId="1CB295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tc>
      </w:tr>
      <w:tr w14:paraId="6C08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1" w:hRule="atLeast"/>
          <w:jc w:val="center"/>
        </w:trPr>
        <w:tc>
          <w:tcPr>
            <w:tcW w:w="3240" w:type="dxa"/>
            <w:noWrap/>
            <w:vAlign w:val="center"/>
          </w:tcPr>
          <w:p w14:paraId="0242B0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tc>
        <w:tc>
          <w:tcPr>
            <w:tcW w:w="3420" w:type="dxa"/>
            <w:noWrap/>
            <w:vAlign w:val="center"/>
          </w:tcPr>
          <w:p w14:paraId="58E0F9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w:t>
            </w:r>
          </w:p>
        </w:tc>
        <w:tc>
          <w:tcPr>
            <w:tcW w:w="2340" w:type="dxa"/>
            <w:noWrap/>
            <w:vAlign w:val="center"/>
          </w:tcPr>
          <w:p w14:paraId="36C3FA25">
            <w:pPr>
              <w:keepNext w:val="0"/>
              <w:keepLines w:val="0"/>
              <w:pageBreakBefore w:val="0"/>
              <w:widowControl w:val="0"/>
              <w:kinsoku/>
              <w:wordWrap/>
              <w:overflowPunct/>
              <w:topLinePunct w:val="0"/>
              <w:autoSpaceDE/>
              <w:autoSpaceDN/>
              <w:bidi w:val="0"/>
              <w:adjustRightInd/>
              <w:snapToGrid/>
              <w:spacing w:line="50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7ECEE907">
      <w:pPr>
        <w:spacing w:line="360" w:lineRule="auto"/>
        <w:jc w:val="center"/>
        <w:rPr>
          <w:rFonts w:hint="eastAsia" w:ascii="宋体" w:hAnsi="宋体" w:eastAsia="宋体" w:cs="宋体"/>
          <w:b/>
          <w:color w:val="auto"/>
          <w:sz w:val="28"/>
          <w:szCs w:val="28"/>
          <w:highlight w:val="none"/>
        </w:rPr>
      </w:pPr>
    </w:p>
    <w:p w14:paraId="63B0DAE6">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二</w:t>
      </w:r>
      <w:r>
        <w:rPr>
          <w:rFonts w:hint="eastAsia" w:ascii="宋体" w:hAnsi="宋体" w:eastAsia="宋体" w:cs="宋体"/>
          <w:b/>
          <w:color w:val="auto"/>
          <w:sz w:val="28"/>
          <w:szCs w:val="28"/>
          <w:highlight w:val="none"/>
        </w:rPr>
        <w:t>）</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9A7E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9000" w:type="dxa"/>
            <w:gridSpan w:val="3"/>
            <w:noWrap/>
            <w:vAlign w:val="center"/>
          </w:tcPr>
          <w:p w14:paraId="6E0DDF5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安康华昊智远项目管理有限公司</w:t>
            </w:r>
          </w:p>
        </w:tc>
      </w:tr>
      <w:tr w14:paraId="7FA2B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3130165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作为参加贵公司组织的采购项目的供应商，本公司郑重申告并承诺：近三年受到有关行政主管部门的行政处理、不良行为记录为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次（没有填零），如有隐瞒实情，愿承担一切责任及后果。</w:t>
            </w:r>
          </w:p>
        </w:tc>
      </w:tr>
      <w:tr w14:paraId="10FC2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3240" w:type="dxa"/>
            <w:noWrap/>
            <w:vAlign w:val="center"/>
          </w:tcPr>
          <w:p w14:paraId="187A645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420" w:type="dxa"/>
            <w:noWrap/>
            <w:vAlign w:val="center"/>
          </w:tcPr>
          <w:p w14:paraId="407B8BE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340" w:type="dxa"/>
            <w:noWrap/>
            <w:vAlign w:val="center"/>
          </w:tcPr>
          <w:p w14:paraId="5E60E95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tc>
      </w:tr>
      <w:tr w14:paraId="69542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jc w:val="center"/>
        </w:trPr>
        <w:tc>
          <w:tcPr>
            <w:tcW w:w="3240" w:type="dxa"/>
            <w:noWrap/>
            <w:vAlign w:val="center"/>
          </w:tcPr>
          <w:p w14:paraId="4FCB2C7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tc>
        <w:tc>
          <w:tcPr>
            <w:tcW w:w="3420" w:type="dxa"/>
            <w:noWrap/>
            <w:vAlign w:val="center"/>
          </w:tcPr>
          <w:p w14:paraId="64BD3B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w:t>
            </w:r>
          </w:p>
        </w:tc>
        <w:tc>
          <w:tcPr>
            <w:tcW w:w="2340" w:type="dxa"/>
            <w:noWrap/>
            <w:vAlign w:val="center"/>
          </w:tcPr>
          <w:p w14:paraId="30B4AA3B">
            <w:pPr>
              <w:keepNext w:val="0"/>
              <w:keepLines w:val="0"/>
              <w:pageBreakBefore w:val="0"/>
              <w:widowControl w:val="0"/>
              <w:kinsoku/>
              <w:wordWrap/>
              <w:overflowPunct/>
              <w:topLinePunct w:val="0"/>
              <w:autoSpaceDE/>
              <w:autoSpaceDN/>
              <w:bidi w:val="0"/>
              <w:adjustRightInd/>
              <w:snapToGrid/>
              <w:spacing w:line="50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0F0845E2">
      <w:pPr>
        <w:spacing w:line="360" w:lineRule="auto"/>
        <w:rPr>
          <w:rFonts w:hint="eastAsia" w:ascii="宋体" w:hAnsi="宋体" w:eastAsia="宋体" w:cs="宋体"/>
          <w:b/>
          <w:color w:val="auto"/>
          <w:sz w:val="28"/>
          <w:szCs w:val="28"/>
          <w:highlight w:val="none"/>
        </w:rPr>
      </w:pPr>
    </w:p>
    <w:p w14:paraId="1818534A">
      <w:pPr>
        <w:spacing w:line="360" w:lineRule="auto"/>
        <w:jc w:val="center"/>
        <w:rPr>
          <w:rFonts w:hint="eastAsia" w:ascii="宋体" w:hAnsi="宋体" w:eastAsia="宋体" w:cs="宋体"/>
          <w:b/>
          <w:color w:val="auto"/>
          <w:sz w:val="28"/>
          <w:szCs w:val="28"/>
          <w:highlight w:val="none"/>
        </w:rPr>
      </w:pPr>
    </w:p>
    <w:p w14:paraId="4BE62FBF">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C3C97CF">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三</w:t>
      </w:r>
      <w:r>
        <w:rPr>
          <w:rFonts w:hint="eastAsia" w:ascii="宋体" w:hAnsi="宋体" w:eastAsia="宋体" w:cs="宋体"/>
          <w:b/>
          <w:color w:val="auto"/>
          <w:sz w:val="28"/>
          <w:szCs w:val="28"/>
          <w:highlight w:val="none"/>
        </w:rPr>
        <w:t>）</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FF0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000" w:type="dxa"/>
            <w:gridSpan w:val="3"/>
            <w:noWrap/>
            <w:vAlign w:val="center"/>
          </w:tcPr>
          <w:p w14:paraId="18DD1F6B">
            <w:pPr>
              <w:keepNext w:val="0"/>
              <w:keepLines w:val="0"/>
              <w:pageBreakBefore w:val="0"/>
              <w:widowControl w:val="0"/>
              <w:kinsoku/>
              <w:wordWrap/>
              <w:overflowPunct/>
              <w:topLinePunct w:val="0"/>
              <w:autoSpaceDE/>
              <w:autoSpaceDN/>
              <w:bidi w:val="0"/>
              <w:adjustRightInd/>
              <w:snapToGrid w:val="0"/>
              <w:spacing w:line="5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安康华昊智远项目管理有限公司</w:t>
            </w:r>
          </w:p>
        </w:tc>
      </w:tr>
      <w:tr w14:paraId="68C86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65170DDD">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作为参加贵公司组织的采购项目的</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供应商，本公司郑重申告：近三年因产品供货问题（水货、替代品、次品、翻新品等）的不法行为记录为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次（没有填零），如有隐瞒实情，愿承担一切责任及后果。</w:t>
            </w:r>
          </w:p>
          <w:p w14:paraId="54E12DF4">
            <w:pPr>
              <w:keepNext w:val="0"/>
              <w:keepLines w:val="0"/>
              <w:pageBreakBefore w:val="0"/>
              <w:widowControl w:val="0"/>
              <w:kinsoku/>
              <w:wordWrap/>
              <w:overflowPunct/>
              <w:topLinePunct w:val="0"/>
              <w:autoSpaceDE/>
              <w:autoSpaceDN/>
              <w:bidi w:val="0"/>
              <w:adjustRightInd/>
              <w:snapToGrid w:val="0"/>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本公司承诺：本次谈判标的物为正品行货。</w:t>
            </w:r>
          </w:p>
        </w:tc>
      </w:tr>
      <w:tr w14:paraId="75E0D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3240" w:type="dxa"/>
            <w:noWrap/>
            <w:vAlign w:val="center"/>
          </w:tcPr>
          <w:p w14:paraId="767C0558">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420" w:type="dxa"/>
            <w:noWrap/>
            <w:vAlign w:val="center"/>
          </w:tcPr>
          <w:p w14:paraId="20721DE6">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340" w:type="dxa"/>
            <w:noWrap/>
            <w:vAlign w:val="center"/>
          </w:tcPr>
          <w:p w14:paraId="5CDDF9D1">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tc>
      </w:tr>
      <w:tr w14:paraId="0575B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3" w:hRule="atLeast"/>
          <w:jc w:val="center"/>
        </w:trPr>
        <w:tc>
          <w:tcPr>
            <w:tcW w:w="3240" w:type="dxa"/>
            <w:noWrap/>
            <w:vAlign w:val="center"/>
          </w:tcPr>
          <w:p w14:paraId="0363086E">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tc>
        <w:tc>
          <w:tcPr>
            <w:tcW w:w="3420" w:type="dxa"/>
            <w:noWrap/>
            <w:vAlign w:val="center"/>
          </w:tcPr>
          <w:p w14:paraId="2AC01710">
            <w:pPr>
              <w:keepNext w:val="0"/>
              <w:keepLines w:val="0"/>
              <w:pageBreakBefore w:val="0"/>
              <w:widowControl w:val="0"/>
              <w:kinsoku/>
              <w:wordWrap/>
              <w:overflowPunct/>
              <w:topLinePunct w:val="0"/>
              <w:autoSpaceDE/>
              <w:autoSpaceDN/>
              <w:bidi w:val="0"/>
              <w:adjustRightInd/>
              <w:snapToGrid w:val="0"/>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w:t>
            </w:r>
          </w:p>
        </w:tc>
        <w:tc>
          <w:tcPr>
            <w:tcW w:w="2340" w:type="dxa"/>
            <w:noWrap/>
            <w:vAlign w:val="center"/>
          </w:tcPr>
          <w:p w14:paraId="5A94E06B">
            <w:pPr>
              <w:keepNext w:val="0"/>
              <w:keepLines w:val="0"/>
              <w:pageBreakBefore w:val="0"/>
              <w:widowControl w:val="0"/>
              <w:kinsoku/>
              <w:wordWrap/>
              <w:overflowPunct/>
              <w:topLinePunct w:val="0"/>
              <w:autoSpaceDE/>
              <w:autoSpaceDN/>
              <w:bidi w:val="0"/>
              <w:adjustRightInd/>
              <w:snapToGrid w:val="0"/>
              <w:spacing w:line="50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5D2F3FD2">
      <w:pPr>
        <w:spacing w:line="360" w:lineRule="auto"/>
        <w:rPr>
          <w:rFonts w:hint="eastAsia" w:ascii="宋体" w:hAnsi="宋体" w:eastAsia="宋体" w:cs="宋体"/>
          <w:b/>
          <w:color w:val="auto"/>
          <w:sz w:val="40"/>
          <w:szCs w:val="40"/>
          <w:highlight w:val="none"/>
        </w:rPr>
      </w:pPr>
    </w:p>
    <w:p w14:paraId="5591AEB4">
      <w:pPr>
        <w:spacing w:line="360" w:lineRule="auto"/>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承诺书（</w:t>
      </w:r>
      <w:r>
        <w:rPr>
          <w:rFonts w:hint="eastAsia" w:ascii="宋体" w:hAnsi="宋体" w:eastAsia="宋体" w:cs="宋体"/>
          <w:b/>
          <w:color w:val="auto"/>
          <w:sz w:val="28"/>
          <w:szCs w:val="28"/>
          <w:highlight w:val="none"/>
          <w:lang w:val="en-US" w:eastAsia="zh-CN"/>
        </w:rPr>
        <w:t>四</w:t>
      </w:r>
      <w:r>
        <w:rPr>
          <w:rFonts w:hint="eastAsia" w:ascii="宋体" w:hAnsi="宋体" w:eastAsia="宋体" w:cs="宋体"/>
          <w:b/>
          <w:color w:val="auto"/>
          <w:sz w:val="28"/>
          <w:szCs w:val="28"/>
          <w:highlight w:val="none"/>
        </w:rPr>
        <w:t>）</w:t>
      </w:r>
    </w:p>
    <w:tbl>
      <w:tblPr>
        <w:tblStyle w:val="15"/>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A78F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000" w:type="dxa"/>
            <w:gridSpan w:val="3"/>
            <w:noWrap/>
            <w:vAlign w:val="center"/>
          </w:tcPr>
          <w:p w14:paraId="08863944">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lang w:eastAsia="zh-CN"/>
              </w:rPr>
              <w:t>安康华昊智远项目管理有限公司</w:t>
            </w:r>
          </w:p>
        </w:tc>
      </w:tr>
      <w:tr w14:paraId="2A27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ign w:val="center"/>
          </w:tcPr>
          <w:p w14:paraId="717B16B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作为参加贵公司组织的采购项目的供应商，本公司承诺：参加本次</w:t>
            </w:r>
            <w:r>
              <w:rPr>
                <w:rFonts w:hint="eastAsia" w:ascii="宋体" w:hAnsi="宋体" w:eastAsia="宋体" w:cs="宋体"/>
                <w:color w:val="auto"/>
                <w:sz w:val="24"/>
                <w:szCs w:val="24"/>
                <w:highlight w:val="none"/>
                <w:lang w:val="en-US" w:eastAsia="zh-CN"/>
              </w:rPr>
              <w:t>投标</w:t>
            </w:r>
            <w:r>
              <w:rPr>
                <w:rFonts w:hint="eastAsia" w:ascii="宋体" w:hAnsi="宋体" w:eastAsia="宋体" w:cs="宋体"/>
                <w:color w:val="auto"/>
                <w:sz w:val="24"/>
                <w:szCs w:val="24"/>
                <w:highlight w:val="none"/>
              </w:rPr>
              <w:t>提交的所有资质证明文件及业绩证明文件是真实的、有效的，如有隐瞒实情，愿承担一切责任及后果。</w:t>
            </w:r>
          </w:p>
        </w:tc>
      </w:tr>
      <w:tr w14:paraId="69C46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3240" w:type="dxa"/>
            <w:noWrap/>
            <w:vAlign w:val="center"/>
          </w:tcPr>
          <w:p w14:paraId="57FB28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p>
        </w:tc>
        <w:tc>
          <w:tcPr>
            <w:tcW w:w="3420" w:type="dxa"/>
            <w:noWrap/>
            <w:vAlign w:val="center"/>
          </w:tcPr>
          <w:p w14:paraId="3E2634A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2340" w:type="dxa"/>
            <w:noWrap/>
            <w:vAlign w:val="center"/>
          </w:tcPr>
          <w:p w14:paraId="052F1E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tc>
      </w:tr>
      <w:tr w14:paraId="0D7D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5" w:hRule="atLeast"/>
          <w:jc w:val="center"/>
        </w:trPr>
        <w:tc>
          <w:tcPr>
            <w:tcW w:w="3240" w:type="dxa"/>
            <w:noWrap/>
            <w:vAlign w:val="center"/>
          </w:tcPr>
          <w:p w14:paraId="69210B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（公章）</w:t>
            </w:r>
          </w:p>
        </w:tc>
        <w:tc>
          <w:tcPr>
            <w:tcW w:w="3420" w:type="dxa"/>
            <w:noWrap/>
            <w:vAlign w:val="center"/>
          </w:tcPr>
          <w:p w14:paraId="369177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w:t>
            </w:r>
          </w:p>
        </w:tc>
        <w:tc>
          <w:tcPr>
            <w:tcW w:w="2340" w:type="dxa"/>
            <w:noWrap/>
            <w:vAlign w:val="center"/>
          </w:tcPr>
          <w:p w14:paraId="4258B8A0">
            <w:pPr>
              <w:keepNext w:val="0"/>
              <w:keepLines w:val="0"/>
              <w:pageBreakBefore w:val="0"/>
              <w:widowControl w:val="0"/>
              <w:kinsoku/>
              <w:wordWrap/>
              <w:overflowPunct/>
              <w:topLinePunct w:val="0"/>
              <w:autoSpaceDE/>
              <w:autoSpaceDN/>
              <w:bidi w:val="0"/>
              <w:adjustRightInd/>
              <w:snapToGrid/>
              <w:spacing w:line="500" w:lineRule="exact"/>
              <w:ind w:firstLine="240"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tc>
      </w:tr>
    </w:tbl>
    <w:p w14:paraId="5E0E93F4">
      <w:pPr>
        <w:spacing w:line="360" w:lineRule="auto"/>
        <w:rPr>
          <w:rFonts w:hint="eastAsia" w:ascii="宋体" w:hAnsi="宋体" w:eastAsia="宋体" w:cs="宋体"/>
          <w:color w:val="auto"/>
          <w:highlight w:val="none"/>
        </w:rPr>
      </w:pPr>
    </w:p>
    <w:p w14:paraId="47E8C38A">
      <w:pPr>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br w:type="page"/>
      </w:r>
    </w:p>
    <w:p w14:paraId="7D03D994">
      <w:pPr>
        <w:pStyle w:val="2"/>
        <w:keepNext/>
        <w:keepLines/>
        <w:pageBreakBefore w:val="0"/>
        <w:widowControl w:val="0"/>
        <w:kinsoku/>
        <w:wordWrap/>
        <w:overflowPunct/>
        <w:topLinePunct w:val="0"/>
        <w:autoSpaceDE/>
        <w:autoSpaceDN/>
        <w:bidi w:val="0"/>
        <w:adjustRightInd/>
        <w:snapToGrid/>
        <w:spacing w:before="120" w:after="100" w:line="360" w:lineRule="auto"/>
        <w:jc w:val="center"/>
        <w:textAlignment w:val="auto"/>
        <w:rPr>
          <w:rFonts w:hint="eastAsia" w:ascii="宋体" w:hAnsi="宋体" w:eastAsia="宋体" w:cs="宋体"/>
          <w:color w:val="auto"/>
          <w:sz w:val="30"/>
          <w:szCs w:val="30"/>
          <w:lang w:val="en-US" w:eastAsia="zh-CN"/>
        </w:rPr>
      </w:pPr>
      <w:r>
        <w:rPr>
          <w:rFonts w:hint="eastAsia" w:ascii="宋体" w:hAnsi="宋体" w:eastAsia="宋体" w:cs="宋体"/>
          <w:color w:val="auto"/>
          <w:sz w:val="30"/>
          <w:szCs w:val="30"/>
          <w:lang w:val="en-US" w:eastAsia="zh-CN"/>
        </w:rPr>
        <w:t>十二、其他证明资料</w:t>
      </w:r>
    </w:p>
    <w:p w14:paraId="4F788104">
      <w:pPr>
        <w:spacing w:line="360" w:lineRule="auto"/>
        <w:jc w:val="center"/>
        <w:rPr>
          <w:rFonts w:hint="eastAsia" w:ascii="宋体" w:hAnsi="宋体" w:eastAsia="宋体" w:cs="宋体"/>
          <w:b/>
          <w:bCs/>
          <w:color w:val="auto"/>
          <w:sz w:val="28"/>
          <w:szCs w:val="28"/>
          <w:highlight w:val="none"/>
        </w:rPr>
      </w:pPr>
    </w:p>
    <w:p w14:paraId="72D42C57">
      <w:pPr>
        <w:spacing w:line="400" w:lineRule="exact"/>
        <w:jc w:val="center"/>
        <w:rPr>
          <w:rFonts w:hint="eastAsia"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（供应商认为对其有利的</w:t>
      </w:r>
      <w:r>
        <w:rPr>
          <w:rFonts w:hint="eastAsia" w:ascii="宋体" w:hAnsi="宋体" w:eastAsia="宋体" w:cs="宋体"/>
          <w:b/>
          <w:bCs/>
          <w:color w:val="auto"/>
          <w:sz w:val="24"/>
          <w:szCs w:val="32"/>
          <w:highlight w:val="none"/>
          <w:lang w:val="en-US" w:eastAsia="zh-CN"/>
        </w:rPr>
        <w:t>资料</w:t>
      </w:r>
      <w:r>
        <w:rPr>
          <w:rFonts w:hint="eastAsia" w:ascii="宋体" w:hAnsi="宋体" w:eastAsia="宋体" w:cs="宋体"/>
          <w:b/>
          <w:bCs/>
          <w:color w:val="auto"/>
          <w:sz w:val="24"/>
          <w:szCs w:val="32"/>
          <w:highlight w:val="none"/>
        </w:rPr>
        <w:t>）</w:t>
      </w:r>
    </w:p>
    <w:p w14:paraId="0CB83AF6">
      <w:pPr>
        <w:rPr>
          <w:rFonts w:hint="eastAsia" w:ascii="宋体" w:hAnsi="宋体" w:eastAsia="宋体" w:cs="宋体"/>
          <w:color w:val="auto"/>
          <w:spacing w:val="12"/>
          <w:sz w:val="28"/>
          <w:szCs w:val="28"/>
          <w:highlight w:val="none"/>
          <w14:textOutline w14:w="5266" w14:cap="sq" w14:cmpd="sng">
            <w14:solidFill>
              <w14:srgbClr w14:val="000000"/>
            </w14:solidFill>
            <w14:prstDash w14:val="solid"/>
            <w14:bevel/>
          </w14:textOutline>
        </w:rPr>
      </w:pPr>
      <w:r>
        <w:rPr>
          <w:rFonts w:hint="eastAsia" w:ascii="宋体" w:hAnsi="宋体" w:eastAsia="宋体" w:cs="宋体"/>
          <w:color w:val="auto"/>
          <w:spacing w:val="12"/>
          <w:sz w:val="28"/>
          <w:szCs w:val="28"/>
          <w:highlight w:val="none"/>
          <w14:textOutline w14:w="5266" w14:cap="sq" w14:cmpd="sng">
            <w14:solidFill>
              <w14:srgbClr w14:val="000000"/>
            </w14:solidFill>
            <w14:prstDash w14:val="solid"/>
            <w14:bevel/>
          </w14:textOutline>
        </w:rPr>
        <w:br w:type="page"/>
      </w:r>
    </w:p>
    <w:p w14:paraId="40698350">
      <w:pPr>
        <w:spacing w:before="249" w:line="193" w:lineRule="auto"/>
        <w:ind w:left="55"/>
        <w:rPr>
          <w:rFonts w:hint="eastAsia" w:ascii="宋体" w:hAnsi="宋体" w:eastAsia="宋体" w:cs="宋体"/>
          <w:color w:val="auto"/>
          <w:sz w:val="28"/>
          <w:szCs w:val="28"/>
          <w:highlight w:val="none"/>
        </w:rPr>
      </w:pPr>
      <w:r>
        <w:rPr>
          <w:rFonts w:hint="eastAsia" w:ascii="宋体" w:hAnsi="宋体" w:eastAsia="宋体" w:cs="宋体"/>
          <w:color w:val="auto"/>
          <w:spacing w:val="12"/>
          <w:sz w:val="28"/>
          <w:szCs w:val="28"/>
          <w:highlight w:val="none"/>
          <w14:textOutline w14:w="5266" w14:cap="sq" w14:cmpd="sng">
            <w14:solidFill>
              <w14:srgbClr w14:val="000000"/>
            </w14:solidFill>
            <w14:prstDash w14:val="solid"/>
            <w14:bevel/>
          </w14:textOutline>
        </w:rPr>
        <w:t>附件</w:t>
      </w:r>
      <w:r>
        <w:rPr>
          <w:rFonts w:hint="eastAsia" w:ascii="宋体" w:hAnsi="宋体" w:eastAsia="宋体" w:cs="宋体"/>
          <w:color w:val="auto"/>
          <w:spacing w:val="12"/>
          <w:sz w:val="28"/>
          <w:szCs w:val="28"/>
          <w:highlight w:val="none"/>
          <w:lang w:val="en-US" w:eastAsia="zh-CN"/>
        </w:rPr>
        <w:t>1</w:t>
      </w:r>
      <w:r>
        <w:rPr>
          <w:rFonts w:hint="eastAsia" w:ascii="宋体" w:hAnsi="宋体" w:eastAsia="宋体" w:cs="宋体"/>
          <w:color w:val="auto"/>
          <w:spacing w:val="12"/>
          <w:sz w:val="28"/>
          <w:szCs w:val="28"/>
          <w:highlight w:val="none"/>
        </w:rPr>
        <w:t>：</w:t>
      </w:r>
    </w:p>
    <w:p w14:paraId="05B047B5">
      <w:pPr>
        <w:keepNext w:val="0"/>
        <w:keepLines w:val="0"/>
        <w:pageBreakBefore w:val="0"/>
        <w:widowControl w:val="0"/>
        <w:kinsoku/>
        <w:wordWrap/>
        <w:overflowPunct/>
        <w:topLinePunct w:val="0"/>
        <w:autoSpaceDE/>
        <w:autoSpaceDN/>
        <w:bidi w:val="0"/>
        <w:adjustRightInd/>
        <w:snapToGrid/>
        <w:spacing w:line="500" w:lineRule="exact"/>
        <w:ind w:left="0" w:right="0" w:firstLine="564"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pacing w:val="21"/>
          <w:sz w:val="24"/>
          <w:szCs w:val="24"/>
          <w:highlight w:val="none"/>
          <w14:textOutline w14:w="4177" w14:cap="sq" w14:cmpd="sng">
            <w14:solidFill>
              <w14:srgbClr w14:val="000000"/>
            </w14:solidFill>
            <w14:prstDash w14:val="solid"/>
            <w14:bevel/>
          </w14:textOutline>
        </w:rPr>
        <w:t>★投标人对身份声明的真实性负责，提供《中小企业声明函》内容不实的</w:t>
      </w:r>
      <w:r>
        <w:rPr>
          <w:rFonts w:hint="eastAsia" w:ascii="宋体" w:hAnsi="宋体" w:cs="宋体"/>
          <w:b w:val="0"/>
          <w:bCs w:val="0"/>
          <w:color w:val="auto"/>
          <w:spacing w:val="21"/>
          <w:sz w:val="24"/>
          <w:szCs w:val="24"/>
          <w:highlight w:val="none"/>
          <w:lang w:eastAsia="zh-CN"/>
          <w14:textOutline w14:w="4177" w14:cap="sq" w14:cmpd="sng">
            <w14:solidFill>
              <w14:srgbClr w14:val="000000"/>
            </w14:solidFill>
            <w14:prstDash w14:val="solid"/>
            <w14:bevel/>
          </w14:textOutline>
        </w:rPr>
        <w:t>，</w:t>
      </w:r>
      <w:r>
        <w:rPr>
          <w:rFonts w:hint="eastAsia" w:ascii="宋体" w:hAnsi="宋体" w:eastAsia="宋体" w:cs="宋体"/>
          <w:b w:val="0"/>
          <w:bCs w:val="0"/>
          <w:color w:val="auto"/>
          <w:spacing w:val="21"/>
          <w:sz w:val="24"/>
          <w:szCs w:val="24"/>
          <w:highlight w:val="none"/>
          <w14:textOutline w14:w="4177" w14:cap="sq" w14:cmpd="sng">
            <w14:solidFill>
              <w14:srgbClr w14:val="000000"/>
            </w14:solidFill>
            <w14:prstDash w14:val="solid"/>
            <w14:bevel/>
          </w14:textOutline>
        </w:rPr>
        <w:t>属于提供虚假材料谋取中标（成交</w:t>
      </w:r>
      <w:r>
        <w:rPr>
          <w:rFonts w:hint="eastAsia" w:ascii="宋体" w:hAnsi="宋体" w:eastAsia="宋体" w:cs="宋体"/>
          <w:b w:val="0"/>
          <w:bCs w:val="0"/>
          <w:color w:val="auto"/>
          <w:spacing w:val="6"/>
          <w:sz w:val="24"/>
          <w:szCs w:val="24"/>
          <w:highlight w:val="none"/>
          <w14:textOutline w14:w="4177" w14:cap="sq" w14:cmpd="sng">
            <w14:solidFill>
              <w14:srgbClr w14:val="000000"/>
            </w14:solidFill>
            <w14:prstDash w14:val="solid"/>
            <w14:bevel/>
          </w14:textOutline>
        </w:rPr>
        <w:t>），</w:t>
      </w:r>
      <w:r>
        <w:rPr>
          <w:rFonts w:hint="eastAsia" w:ascii="宋体" w:hAnsi="宋体" w:eastAsia="宋体" w:cs="宋体"/>
          <w:b w:val="0"/>
          <w:bCs w:val="0"/>
          <w:color w:val="auto"/>
          <w:spacing w:val="21"/>
          <w:sz w:val="24"/>
          <w:szCs w:val="24"/>
          <w:highlight w:val="none"/>
          <w14:textOutline w14:w="4177" w14:cap="sq" w14:cmpd="sng">
            <w14:solidFill>
              <w14:srgbClr w14:val="000000"/>
            </w14:solidFill>
            <w14:prstDash w14:val="solid"/>
            <w14:bevel/>
          </w14:textOutline>
        </w:rPr>
        <w:t>依照《</w:t>
      </w:r>
      <w:r>
        <w:rPr>
          <w:rFonts w:hint="eastAsia" w:ascii="宋体" w:hAnsi="宋体" w:cs="宋体"/>
          <w:b w:val="0"/>
          <w:bCs w:val="0"/>
          <w:color w:val="auto"/>
          <w:spacing w:val="21"/>
          <w:sz w:val="24"/>
          <w:szCs w:val="24"/>
          <w:highlight w:val="none"/>
          <w:lang w:eastAsia="zh-CN"/>
          <w14:textOutline w14:w="4177" w14:cap="sq" w14:cmpd="sng">
            <w14:solidFill>
              <w14:srgbClr w14:val="000000"/>
            </w14:solidFill>
            <w14:prstDash w14:val="solid"/>
            <w14:bevel/>
          </w14:textOutline>
        </w:rPr>
        <w:t>中华人民共和国政府采购法》等</w:t>
      </w:r>
      <w:r>
        <w:rPr>
          <w:rFonts w:hint="eastAsia" w:ascii="宋体" w:hAnsi="宋体" w:eastAsia="宋体" w:cs="宋体"/>
          <w:b w:val="0"/>
          <w:bCs w:val="0"/>
          <w:color w:val="auto"/>
          <w:spacing w:val="21"/>
          <w:sz w:val="24"/>
          <w:szCs w:val="24"/>
          <w:highlight w:val="none"/>
          <w14:textOutline w14:w="4177" w14:cap="sq" w14:cmpd="sng">
            <w14:solidFill>
              <w14:srgbClr w14:val="000000"/>
            </w14:solidFill>
            <w14:prstDash w14:val="solid"/>
            <w14:bevel/>
          </w14:textOutline>
        </w:rPr>
        <w:t>有关规定追究相应</w:t>
      </w:r>
      <w:r>
        <w:rPr>
          <w:rFonts w:hint="eastAsia" w:ascii="宋体" w:hAnsi="宋体" w:eastAsia="宋体" w:cs="宋体"/>
          <w:b w:val="0"/>
          <w:bCs w:val="0"/>
          <w:color w:val="auto"/>
          <w:spacing w:val="8"/>
          <w:sz w:val="24"/>
          <w:szCs w:val="24"/>
          <w:highlight w:val="none"/>
          <w14:textOutline w14:w="4177" w14:cap="sq" w14:cmpd="sng">
            <w14:solidFill>
              <w14:srgbClr w14:val="000000"/>
            </w14:solidFill>
            <w14:prstDash w14:val="solid"/>
            <w14:bevel/>
          </w14:textOutline>
        </w:rPr>
        <w:t>责任。</w:t>
      </w:r>
    </w:p>
    <w:p w14:paraId="5B2B3A85">
      <w:pPr>
        <w:spacing w:before="329" w:line="231" w:lineRule="auto"/>
        <w:jc w:val="center"/>
        <w:rPr>
          <w:rFonts w:hint="eastAsia" w:ascii="宋体" w:hAnsi="宋体" w:eastAsia="宋体" w:cs="宋体"/>
          <w:color w:val="auto"/>
          <w:sz w:val="34"/>
          <w:szCs w:val="34"/>
          <w:highlight w:val="none"/>
        </w:rPr>
      </w:pPr>
      <w:r>
        <w:rPr>
          <w:rFonts w:hint="eastAsia" w:ascii="宋体" w:hAnsi="宋体" w:eastAsia="宋体" w:cs="宋体"/>
          <w:color w:val="auto"/>
          <w:spacing w:val="6"/>
          <w:sz w:val="34"/>
          <w:szCs w:val="34"/>
          <w:highlight w:val="none"/>
          <w14:textOutline w14:w="6356" w14:cap="sq" w14:cmpd="sng">
            <w14:solidFill>
              <w14:srgbClr w14:val="000000"/>
            </w14:solidFill>
            <w14:prstDash w14:val="solid"/>
            <w14:bevel/>
          </w14:textOutline>
        </w:rPr>
        <w:t>中小企业声明函</w:t>
      </w:r>
      <w:r>
        <w:rPr>
          <w:rFonts w:hint="eastAsia" w:ascii="宋体" w:hAnsi="宋体" w:eastAsia="宋体" w:cs="宋体"/>
          <w:color w:val="auto"/>
          <w:spacing w:val="6"/>
          <w:sz w:val="34"/>
          <w:szCs w:val="34"/>
          <w:highlight w:val="none"/>
          <w:lang w:val="en-US" w:eastAsia="zh-CN"/>
          <w14:textOutline w14:w="6356" w14:cap="sq" w14:cmpd="sng">
            <w14:solidFill>
              <w14:srgbClr w14:val="000000"/>
            </w14:solidFill>
            <w14:prstDash w14:val="solid"/>
            <w14:bevel/>
          </w14:textOutline>
        </w:rPr>
        <w:t>（货物</w:t>
      </w:r>
      <w:r>
        <w:rPr>
          <w:rFonts w:hint="eastAsia" w:ascii="宋体" w:hAnsi="宋体" w:eastAsia="宋体" w:cs="宋体"/>
          <w:color w:val="auto"/>
          <w:spacing w:val="6"/>
          <w:sz w:val="34"/>
          <w:szCs w:val="34"/>
          <w:highlight w:val="none"/>
          <w14:textOutline w14:w="6356" w14:cap="sq" w14:cmpd="sng">
            <w14:solidFill>
              <w14:srgbClr w14:val="000000"/>
            </w14:solidFill>
            <w14:prstDash w14:val="solid"/>
            <w14:bevel/>
          </w14:textOutline>
        </w:rPr>
        <w:t>）</w:t>
      </w:r>
    </w:p>
    <w:p w14:paraId="46119B21">
      <w:pPr>
        <w:spacing w:line="300" w:lineRule="auto"/>
        <w:rPr>
          <w:rFonts w:hint="eastAsia" w:ascii="宋体" w:hAnsi="宋体" w:eastAsia="宋体" w:cs="宋体"/>
          <w:color w:val="auto"/>
          <w:sz w:val="21"/>
          <w:highlight w:val="none"/>
        </w:rPr>
      </w:pPr>
    </w:p>
    <w:p w14:paraId="1C09379D">
      <w:pPr>
        <w:spacing w:before="73" w:line="390" w:lineRule="auto"/>
        <w:ind w:left="9" w:right="103" w:firstLine="496"/>
        <w:jc w:val="both"/>
        <w:rPr>
          <w:rFonts w:hint="eastAsia" w:ascii="宋体" w:hAnsi="宋体" w:eastAsia="宋体" w:cs="宋体"/>
          <w:color w:val="auto"/>
          <w:sz w:val="24"/>
          <w:szCs w:val="24"/>
          <w:highlight w:val="none"/>
        </w:rPr>
      </w:pPr>
      <w:r>
        <w:rPr>
          <w:rFonts w:hint="eastAsia" w:ascii="宋体" w:hAnsi="宋体" w:eastAsia="宋体" w:cs="宋体"/>
          <w:color w:val="auto"/>
          <w:spacing w:val="22"/>
          <w:sz w:val="24"/>
          <w:szCs w:val="24"/>
          <w:highlight w:val="none"/>
        </w:rPr>
        <w:t>本公司郑重声明，根据《政府采购促进</w:t>
      </w:r>
      <w:r>
        <w:rPr>
          <w:rFonts w:hint="eastAsia" w:ascii="宋体" w:hAnsi="宋体" w:eastAsia="宋体" w:cs="宋体"/>
          <w:color w:val="auto"/>
          <w:spacing w:val="21"/>
          <w:sz w:val="24"/>
          <w:szCs w:val="24"/>
          <w:highlight w:val="none"/>
        </w:rPr>
        <w:t>中小企业发展管理办法》</w:t>
      </w:r>
      <w:r>
        <w:rPr>
          <w:rFonts w:hint="eastAsia" w:ascii="宋体" w:hAnsi="宋体" w:cs="宋体"/>
          <w:color w:val="auto"/>
          <w:spacing w:val="21"/>
          <w:sz w:val="24"/>
          <w:szCs w:val="24"/>
          <w:highlight w:val="none"/>
          <w:lang w:eastAsia="zh-CN"/>
        </w:rPr>
        <w:t>（</w:t>
      </w:r>
      <w:r>
        <w:rPr>
          <w:rFonts w:hint="eastAsia" w:ascii="宋体" w:hAnsi="宋体" w:eastAsia="宋体" w:cs="宋体"/>
          <w:color w:val="auto"/>
          <w:spacing w:val="2"/>
          <w:sz w:val="24"/>
          <w:szCs w:val="24"/>
          <w:highlight w:val="none"/>
        </w:rPr>
        <w:t>财库﹝2020﹞46号）的规定，本公司</w:t>
      </w:r>
      <w:r>
        <w:rPr>
          <w:rFonts w:hint="eastAsia" w:ascii="宋体" w:hAnsi="宋体" w:eastAsia="宋体" w:cs="宋体"/>
          <w:color w:val="auto"/>
          <w:spacing w:val="1"/>
          <w:sz w:val="24"/>
          <w:szCs w:val="24"/>
          <w:highlight w:val="none"/>
        </w:rPr>
        <w:t>参加</w:t>
      </w:r>
      <w:r>
        <w:rPr>
          <w:rFonts w:hint="eastAsia" w:ascii="宋体" w:hAnsi="宋体" w:eastAsia="宋体" w:cs="宋体"/>
          <w:color w:val="auto"/>
          <w:spacing w:val="1"/>
          <w:sz w:val="24"/>
          <w:szCs w:val="24"/>
          <w:highlight w:val="none"/>
          <w:u w:val="single" w:color="auto"/>
        </w:rPr>
        <w:t>（单位名称）</w:t>
      </w:r>
      <w:r>
        <w:rPr>
          <w:rFonts w:hint="eastAsia" w:ascii="宋体" w:hAnsi="宋体" w:eastAsia="宋体" w:cs="宋体"/>
          <w:color w:val="auto"/>
          <w:spacing w:val="1"/>
          <w:sz w:val="24"/>
          <w:szCs w:val="24"/>
          <w:highlight w:val="none"/>
        </w:rPr>
        <w:t>的</w:t>
      </w:r>
      <w:r>
        <w:rPr>
          <w:rFonts w:hint="eastAsia" w:ascii="宋体" w:hAnsi="宋体" w:eastAsia="宋体" w:cs="宋体"/>
          <w:color w:val="auto"/>
          <w:spacing w:val="1"/>
          <w:sz w:val="24"/>
          <w:szCs w:val="24"/>
          <w:highlight w:val="none"/>
          <w:u w:val="single" w:color="auto"/>
        </w:rPr>
        <w:t>（</w:t>
      </w:r>
      <w:r>
        <w:rPr>
          <w:rFonts w:hint="eastAsia" w:ascii="宋体" w:hAnsi="宋体" w:eastAsia="宋体" w:cs="宋体"/>
          <w:color w:val="auto"/>
          <w:spacing w:val="1"/>
          <w:sz w:val="24"/>
          <w:szCs w:val="24"/>
          <w:highlight w:val="none"/>
          <w:u w:val="single" w:color="auto"/>
          <w:lang w:val="en-US" w:eastAsia="zh-CN"/>
        </w:rPr>
        <w:t>标段</w:t>
      </w:r>
      <w:r>
        <w:rPr>
          <w:rFonts w:hint="eastAsia" w:ascii="宋体" w:hAnsi="宋体" w:eastAsia="宋体" w:cs="宋体"/>
          <w:color w:val="auto"/>
          <w:spacing w:val="1"/>
          <w:sz w:val="24"/>
          <w:szCs w:val="24"/>
          <w:highlight w:val="none"/>
          <w:u w:val="single" w:color="auto"/>
        </w:rPr>
        <w:t>名称）</w:t>
      </w:r>
      <w:r>
        <w:rPr>
          <w:rFonts w:hint="eastAsia" w:ascii="宋体" w:hAnsi="宋体" w:eastAsia="宋体" w:cs="宋体"/>
          <w:color w:val="auto"/>
          <w:spacing w:val="1"/>
          <w:sz w:val="24"/>
          <w:szCs w:val="24"/>
          <w:highlight w:val="none"/>
        </w:rPr>
        <w:t>采购</w:t>
      </w:r>
      <w:r>
        <w:rPr>
          <w:rFonts w:hint="eastAsia" w:ascii="宋体" w:hAnsi="宋体" w:eastAsia="宋体" w:cs="宋体"/>
          <w:color w:val="auto"/>
          <w:spacing w:val="21"/>
          <w:sz w:val="24"/>
          <w:szCs w:val="24"/>
          <w:highlight w:val="none"/>
        </w:rPr>
        <w:t>活动，提供的货物全部由符合政策要求的</w:t>
      </w:r>
      <w:r>
        <w:rPr>
          <w:rFonts w:hint="eastAsia" w:ascii="宋体" w:hAnsi="宋体" w:eastAsia="宋体" w:cs="宋体"/>
          <w:color w:val="auto"/>
          <w:spacing w:val="21"/>
          <w:sz w:val="24"/>
          <w:szCs w:val="24"/>
          <w:highlight w:val="none"/>
          <w:lang w:val="en-US" w:eastAsia="zh-CN"/>
        </w:rPr>
        <w:t>中小</w:t>
      </w:r>
      <w:r>
        <w:rPr>
          <w:rFonts w:hint="eastAsia" w:ascii="宋体" w:hAnsi="宋体" w:eastAsia="宋体" w:cs="宋体"/>
          <w:color w:val="auto"/>
          <w:spacing w:val="21"/>
          <w:sz w:val="24"/>
          <w:szCs w:val="24"/>
          <w:highlight w:val="none"/>
        </w:rPr>
        <w:t>企业制造。相关企业的具体情况如下。相关企业</w:t>
      </w:r>
      <w:r>
        <w:rPr>
          <w:rFonts w:hint="eastAsia" w:ascii="宋体" w:hAnsi="宋体" w:eastAsia="宋体" w:cs="宋体"/>
          <w:color w:val="auto"/>
          <w:spacing w:val="20"/>
          <w:sz w:val="24"/>
          <w:szCs w:val="24"/>
          <w:highlight w:val="none"/>
        </w:rPr>
        <w:t>的具体情况如下：</w:t>
      </w:r>
    </w:p>
    <w:p w14:paraId="5C21AD43">
      <w:pPr>
        <w:spacing w:before="71" w:line="392" w:lineRule="auto"/>
        <w:ind w:left="3" w:right="60" w:firstLine="511"/>
        <w:jc w:val="both"/>
        <w:rPr>
          <w:rFonts w:hint="eastAsia" w:ascii="宋体" w:hAnsi="宋体" w:eastAsia="宋体" w:cs="宋体"/>
          <w:color w:val="auto"/>
          <w:sz w:val="24"/>
          <w:szCs w:val="24"/>
          <w:highlight w:val="none"/>
        </w:rPr>
      </w:pPr>
      <w:r>
        <w:rPr>
          <w:rFonts w:hint="eastAsia" w:ascii="宋体" w:hAnsi="宋体" w:eastAsia="宋体" w:cs="宋体"/>
          <w:color w:val="auto"/>
          <w:spacing w:val="19"/>
          <w:sz w:val="24"/>
          <w:szCs w:val="24"/>
          <w:highlight w:val="none"/>
        </w:rPr>
        <w:t>1.</w:t>
      </w:r>
      <w:r>
        <w:rPr>
          <w:rFonts w:hint="eastAsia" w:ascii="宋体" w:hAnsi="宋体" w:eastAsia="宋体" w:cs="宋体"/>
          <w:color w:val="auto"/>
          <w:spacing w:val="19"/>
          <w:sz w:val="24"/>
          <w:szCs w:val="24"/>
          <w:highlight w:val="none"/>
          <w:u w:val="single" w:color="auto"/>
        </w:rPr>
        <w:t>（标的名称</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9"/>
          <w:sz w:val="24"/>
          <w:szCs w:val="24"/>
          <w:highlight w:val="none"/>
        </w:rPr>
        <w:t>属于</w:t>
      </w:r>
      <w:r>
        <w:rPr>
          <w:rFonts w:hint="eastAsia" w:ascii="宋体" w:hAnsi="宋体" w:eastAsia="宋体" w:cs="宋体"/>
          <w:color w:val="auto"/>
          <w:spacing w:val="19"/>
          <w:sz w:val="24"/>
          <w:szCs w:val="24"/>
          <w:highlight w:val="none"/>
          <w:u w:val="single" w:color="auto"/>
        </w:rPr>
        <w:t>（</w:t>
      </w:r>
      <w:r>
        <w:rPr>
          <w:rFonts w:hint="eastAsia" w:ascii="宋体" w:hAnsi="宋体" w:eastAsia="宋体" w:cs="宋体"/>
          <w:color w:val="auto"/>
          <w:spacing w:val="19"/>
          <w:sz w:val="24"/>
          <w:szCs w:val="24"/>
          <w:highlight w:val="none"/>
          <w:u w:val="single" w:color="auto"/>
          <w:lang w:eastAsia="zh-CN"/>
        </w:rPr>
        <w:t>采购文件</w:t>
      </w:r>
      <w:r>
        <w:rPr>
          <w:rFonts w:hint="eastAsia" w:ascii="宋体" w:hAnsi="宋体" w:eastAsia="宋体" w:cs="宋体"/>
          <w:color w:val="auto"/>
          <w:spacing w:val="19"/>
          <w:sz w:val="24"/>
          <w:szCs w:val="24"/>
          <w:highlight w:val="none"/>
          <w:u w:val="single" w:color="auto"/>
        </w:rPr>
        <w:t>中明确的所属行</w:t>
      </w:r>
      <w:r>
        <w:rPr>
          <w:rFonts w:hint="eastAsia" w:ascii="宋体" w:hAnsi="宋体" w:eastAsia="宋体" w:cs="宋体"/>
          <w:color w:val="auto"/>
          <w:spacing w:val="18"/>
          <w:sz w:val="24"/>
          <w:szCs w:val="24"/>
          <w:highlight w:val="none"/>
          <w:u w:val="single" w:color="auto"/>
        </w:rPr>
        <w:t>业）行业</w:t>
      </w:r>
      <w:r>
        <w:rPr>
          <w:rFonts w:hint="eastAsia" w:ascii="宋体" w:hAnsi="宋体" w:eastAsia="宋体" w:cs="宋体"/>
          <w:color w:val="auto"/>
          <w:spacing w:val="18"/>
          <w:sz w:val="24"/>
          <w:szCs w:val="24"/>
          <w:highlight w:val="none"/>
        </w:rPr>
        <w:t>；制造商为</w:t>
      </w:r>
      <w:r>
        <w:rPr>
          <w:rFonts w:hint="eastAsia" w:ascii="宋体" w:hAnsi="宋体" w:cs="宋体"/>
          <w:color w:val="auto"/>
          <w:spacing w:val="18"/>
          <w:sz w:val="24"/>
          <w:szCs w:val="24"/>
          <w:highlight w:val="none"/>
          <w:lang w:eastAsia="zh-CN"/>
        </w:rPr>
        <w:t>（</w:t>
      </w:r>
      <w:r>
        <w:rPr>
          <w:rFonts w:hint="eastAsia" w:ascii="宋体" w:hAnsi="宋体" w:eastAsia="宋体" w:cs="宋体"/>
          <w:color w:val="auto"/>
          <w:spacing w:val="10"/>
          <w:sz w:val="24"/>
          <w:szCs w:val="24"/>
          <w:highlight w:val="none"/>
          <w:u w:val="single" w:color="auto"/>
        </w:rPr>
        <w:t>企业名称</w:t>
      </w:r>
      <w:r>
        <w:rPr>
          <w:rFonts w:hint="eastAsia" w:ascii="宋体" w:hAnsi="宋体" w:eastAsia="宋体" w:cs="宋体"/>
          <w:color w:val="auto"/>
          <w:spacing w:val="12"/>
          <w:sz w:val="24"/>
          <w:szCs w:val="24"/>
          <w:highlight w:val="none"/>
          <w:u w:val="single" w:color="auto"/>
        </w:rPr>
        <w:t>）</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0"/>
          <w:sz w:val="24"/>
          <w:szCs w:val="24"/>
          <w:highlight w:val="none"/>
        </w:rPr>
        <w:t>从业人员</w:t>
      </w:r>
      <w:r>
        <w:rPr>
          <w:rFonts w:hint="eastAsia" w:ascii="宋体" w:hAnsi="宋体" w:eastAsia="宋体" w:cs="宋体"/>
          <w:color w:val="auto"/>
          <w:spacing w:val="10"/>
          <w:sz w:val="24"/>
          <w:szCs w:val="24"/>
          <w:highlight w:val="none"/>
          <w:u w:val="single"/>
          <w:lang w:val="en-US" w:eastAsia="zh-CN"/>
        </w:rPr>
        <w:t xml:space="preserve">     </w:t>
      </w:r>
      <w:r>
        <w:rPr>
          <w:rFonts w:hint="eastAsia" w:ascii="宋体" w:hAnsi="宋体" w:eastAsia="宋体" w:cs="宋体"/>
          <w:color w:val="auto"/>
          <w:spacing w:val="10"/>
          <w:sz w:val="24"/>
          <w:szCs w:val="24"/>
          <w:highlight w:val="none"/>
        </w:rPr>
        <w:t>人，营业收入为</w:t>
      </w:r>
      <w:r>
        <w:rPr>
          <w:rFonts w:hint="eastAsia" w:ascii="宋体" w:hAnsi="宋体" w:eastAsia="宋体" w:cs="宋体"/>
          <w:color w:val="auto"/>
          <w:spacing w:val="10"/>
          <w:sz w:val="24"/>
          <w:szCs w:val="24"/>
          <w:highlight w:val="none"/>
          <w:u w:val="single"/>
          <w:lang w:val="en-US" w:eastAsia="zh-CN"/>
        </w:rPr>
        <w:t xml:space="preserve">     </w:t>
      </w:r>
      <w:r>
        <w:rPr>
          <w:rFonts w:hint="eastAsia" w:ascii="宋体" w:hAnsi="宋体" w:eastAsia="宋体" w:cs="宋体"/>
          <w:color w:val="auto"/>
          <w:spacing w:val="10"/>
          <w:sz w:val="24"/>
          <w:szCs w:val="24"/>
          <w:highlight w:val="none"/>
        </w:rPr>
        <w:t>万元，资产总额为</w:t>
      </w:r>
      <w:r>
        <w:rPr>
          <w:rFonts w:hint="eastAsia" w:ascii="宋体" w:hAnsi="宋体" w:eastAsia="宋体" w:cs="宋体"/>
          <w:color w:val="auto"/>
          <w:spacing w:val="10"/>
          <w:sz w:val="24"/>
          <w:szCs w:val="24"/>
          <w:highlight w:val="none"/>
          <w:u w:val="single"/>
          <w:lang w:val="en-US" w:eastAsia="zh-CN"/>
        </w:rPr>
        <w:t xml:space="preserve">  </w:t>
      </w:r>
      <w:r>
        <w:rPr>
          <w:rFonts w:hint="eastAsia" w:ascii="宋体" w:hAnsi="宋体" w:eastAsia="宋体" w:cs="宋体"/>
          <w:color w:val="auto"/>
          <w:spacing w:val="10"/>
          <w:sz w:val="24"/>
          <w:szCs w:val="24"/>
          <w:highlight w:val="none"/>
        </w:rPr>
        <w:t>万元，属</w:t>
      </w:r>
      <w:r>
        <w:rPr>
          <w:rFonts w:hint="eastAsia" w:ascii="宋体" w:hAnsi="宋体" w:eastAsia="宋体" w:cs="宋体"/>
          <w:color w:val="auto"/>
          <w:spacing w:val="16"/>
          <w:sz w:val="24"/>
          <w:szCs w:val="24"/>
          <w:highlight w:val="none"/>
        </w:rPr>
        <w:t>于</w:t>
      </w:r>
      <w:r>
        <w:rPr>
          <w:rFonts w:hint="eastAsia" w:ascii="宋体" w:hAnsi="宋体" w:eastAsia="宋体" w:cs="宋体"/>
          <w:color w:val="auto"/>
          <w:spacing w:val="16"/>
          <w:sz w:val="24"/>
          <w:szCs w:val="24"/>
          <w:highlight w:val="none"/>
          <w:u w:val="single" w:color="auto"/>
        </w:rPr>
        <w:t>（中型企业、小型企业、微型企业</w:t>
      </w:r>
      <w:r>
        <w:rPr>
          <w:rFonts w:hint="eastAsia" w:ascii="宋体" w:hAnsi="宋体" w:eastAsia="宋体" w:cs="宋体"/>
          <w:color w:val="auto"/>
          <w:spacing w:val="1"/>
          <w:sz w:val="24"/>
          <w:szCs w:val="24"/>
          <w:highlight w:val="none"/>
          <w:u w:val="single" w:color="auto"/>
        </w:rPr>
        <w:t>）</w:t>
      </w:r>
      <w:r>
        <w:rPr>
          <w:rFonts w:hint="eastAsia" w:ascii="宋体" w:hAnsi="宋体" w:eastAsia="宋体" w:cs="宋体"/>
          <w:color w:val="auto"/>
          <w:spacing w:val="1"/>
          <w:sz w:val="24"/>
          <w:szCs w:val="24"/>
          <w:highlight w:val="none"/>
        </w:rPr>
        <w:t>；</w:t>
      </w:r>
    </w:p>
    <w:p w14:paraId="2EA86EE9">
      <w:pPr>
        <w:spacing w:before="72" w:line="391" w:lineRule="auto"/>
        <w:ind w:firstLine="560"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2.</w:t>
      </w:r>
      <w:r>
        <w:rPr>
          <w:rFonts w:hint="eastAsia" w:ascii="宋体" w:hAnsi="宋体" w:eastAsia="宋体" w:cs="宋体"/>
          <w:color w:val="auto"/>
          <w:spacing w:val="19"/>
          <w:sz w:val="24"/>
          <w:szCs w:val="24"/>
          <w:highlight w:val="none"/>
          <w:u w:val="single" w:color="auto"/>
        </w:rPr>
        <w:t>（标的名称</w:t>
      </w:r>
      <w:r>
        <w:rPr>
          <w:rFonts w:hint="eastAsia" w:ascii="宋体" w:hAnsi="宋体" w:eastAsia="宋体" w:cs="宋体"/>
          <w:color w:val="auto"/>
          <w:spacing w:val="-11"/>
          <w:sz w:val="24"/>
          <w:szCs w:val="24"/>
          <w:highlight w:val="none"/>
          <w:u w:val="single" w:color="auto"/>
        </w:rPr>
        <w:t>）</w:t>
      </w:r>
      <w:r>
        <w:rPr>
          <w:rFonts w:hint="eastAsia" w:ascii="宋体" w:hAnsi="宋体" w:eastAsia="宋体" w:cs="宋体"/>
          <w:color w:val="auto"/>
          <w:spacing w:val="-11"/>
          <w:sz w:val="24"/>
          <w:szCs w:val="24"/>
          <w:highlight w:val="none"/>
        </w:rPr>
        <w:t>，</w:t>
      </w:r>
      <w:r>
        <w:rPr>
          <w:rFonts w:hint="eastAsia" w:ascii="宋体" w:hAnsi="宋体" w:eastAsia="宋体" w:cs="宋体"/>
          <w:color w:val="auto"/>
          <w:spacing w:val="19"/>
          <w:sz w:val="24"/>
          <w:szCs w:val="24"/>
          <w:highlight w:val="none"/>
        </w:rPr>
        <w:t>属于</w:t>
      </w:r>
      <w:r>
        <w:rPr>
          <w:rFonts w:hint="eastAsia" w:ascii="宋体" w:hAnsi="宋体" w:eastAsia="宋体" w:cs="宋体"/>
          <w:color w:val="auto"/>
          <w:spacing w:val="19"/>
          <w:sz w:val="24"/>
          <w:szCs w:val="24"/>
          <w:highlight w:val="none"/>
          <w:u w:val="single" w:color="auto"/>
        </w:rPr>
        <w:t>（</w:t>
      </w:r>
      <w:r>
        <w:rPr>
          <w:rFonts w:hint="eastAsia" w:ascii="宋体" w:hAnsi="宋体" w:eastAsia="宋体" w:cs="宋体"/>
          <w:color w:val="auto"/>
          <w:spacing w:val="19"/>
          <w:sz w:val="24"/>
          <w:szCs w:val="24"/>
          <w:highlight w:val="none"/>
          <w:u w:val="single" w:color="auto"/>
          <w:lang w:eastAsia="zh-CN"/>
        </w:rPr>
        <w:t>采购文件</w:t>
      </w:r>
      <w:r>
        <w:rPr>
          <w:rFonts w:hint="eastAsia" w:ascii="宋体" w:hAnsi="宋体" w:eastAsia="宋体" w:cs="宋体"/>
          <w:color w:val="auto"/>
          <w:spacing w:val="19"/>
          <w:sz w:val="24"/>
          <w:szCs w:val="24"/>
          <w:highlight w:val="none"/>
          <w:u w:val="single" w:color="auto"/>
        </w:rPr>
        <w:t>中明确的所属行</w:t>
      </w:r>
      <w:r>
        <w:rPr>
          <w:rFonts w:hint="eastAsia" w:ascii="宋体" w:hAnsi="宋体" w:eastAsia="宋体" w:cs="宋体"/>
          <w:color w:val="auto"/>
          <w:spacing w:val="18"/>
          <w:sz w:val="24"/>
          <w:szCs w:val="24"/>
          <w:highlight w:val="none"/>
          <w:u w:val="single" w:color="auto"/>
        </w:rPr>
        <w:t>业）行业</w:t>
      </w:r>
      <w:r>
        <w:rPr>
          <w:rFonts w:hint="eastAsia" w:ascii="宋体" w:hAnsi="宋体" w:eastAsia="宋体" w:cs="宋体"/>
          <w:color w:val="auto"/>
          <w:spacing w:val="18"/>
          <w:sz w:val="24"/>
          <w:szCs w:val="24"/>
          <w:highlight w:val="none"/>
        </w:rPr>
        <w:t>；制造商为</w:t>
      </w:r>
      <w:r>
        <w:rPr>
          <w:rFonts w:hint="eastAsia" w:ascii="宋体" w:hAnsi="宋体" w:cs="宋体"/>
          <w:color w:val="auto"/>
          <w:spacing w:val="18"/>
          <w:sz w:val="24"/>
          <w:szCs w:val="24"/>
          <w:highlight w:val="none"/>
          <w:lang w:eastAsia="zh-CN"/>
        </w:rPr>
        <w:t>（</w:t>
      </w:r>
      <w:r>
        <w:rPr>
          <w:rFonts w:hint="eastAsia" w:ascii="宋体" w:hAnsi="宋体" w:eastAsia="宋体" w:cs="宋体"/>
          <w:color w:val="auto"/>
          <w:spacing w:val="10"/>
          <w:sz w:val="24"/>
          <w:szCs w:val="24"/>
          <w:highlight w:val="none"/>
          <w:u w:val="single" w:color="auto"/>
        </w:rPr>
        <w:t>企业名称</w:t>
      </w:r>
      <w:r>
        <w:rPr>
          <w:rFonts w:hint="eastAsia" w:ascii="宋体" w:hAnsi="宋体" w:eastAsia="宋体" w:cs="宋体"/>
          <w:color w:val="auto"/>
          <w:spacing w:val="12"/>
          <w:sz w:val="24"/>
          <w:szCs w:val="24"/>
          <w:highlight w:val="none"/>
          <w:u w:val="single" w:color="auto"/>
        </w:rPr>
        <w:t>）</w:t>
      </w:r>
      <w:r>
        <w:rPr>
          <w:rFonts w:hint="eastAsia" w:ascii="宋体" w:hAnsi="宋体" w:eastAsia="宋体" w:cs="宋体"/>
          <w:color w:val="auto"/>
          <w:spacing w:val="12"/>
          <w:sz w:val="24"/>
          <w:szCs w:val="24"/>
          <w:highlight w:val="none"/>
        </w:rPr>
        <w:t>，</w:t>
      </w:r>
      <w:r>
        <w:rPr>
          <w:rFonts w:hint="eastAsia" w:ascii="宋体" w:hAnsi="宋体" w:eastAsia="宋体" w:cs="宋体"/>
          <w:color w:val="auto"/>
          <w:spacing w:val="10"/>
          <w:sz w:val="24"/>
          <w:szCs w:val="24"/>
          <w:highlight w:val="none"/>
        </w:rPr>
        <w:t>从业人员</w:t>
      </w:r>
      <w:r>
        <w:rPr>
          <w:rFonts w:hint="eastAsia" w:ascii="宋体" w:hAnsi="宋体" w:eastAsia="宋体" w:cs="宋体"/>
          <w:color w:val="auto"/>
          <w:spacing w:val="10"/>
          <w:sz w:val="24"/>
          <w:szCs w:val="24"/>
          <w:highlight w:val="none"/>
          <w:u w:val="single"/>
          <w:lang w:val="en-US" w:eastAsia="zh-CN"/>
        </w:rPr>
        <w:t xml:space="preserve">  </w:t>
      </w:r>
      <w:r>
        <w:rPr>
          <w:rFonts w:hint="eastAsia" w:ascii="宋体" w:hAnsi="宋体" w:eastAsia="宋体" w:cs="宋体"/>
          <w:color w:val="auto"/>
          <w:spacing w:val="10"/>
          <w:sz w:val="24"/>
          <w:szCs w:val="24"/>
          <w:highlight w:val="none"/>
        </w:rPr>
        <w:t>人，营业收入为</w:t>
      </w:r>
      <w:r>
        <w:rPr>
          <w:rFonts w:hint="eastAsia" w:ascii="宋体" w:hAnsi="宋体" w:eastAsia="宋体" w:cs="宋体"/>
          <w:color w:val="auto"/>
          <w:spacing w:val="10"/>
          <w:sz w:val="24"/>
          <w:szCs w:val="24"/>
          <w:highlight w:val="none"/>
          <w:u w:val="single"/>
          <w:lang w:val="en-US" w:eastAsia="zh-CN"/>
        </w:rPr>
        <w:t xml:space="preserve">  </w:t>
      </w:r>
      <w:r>
        <w:rPr>
          <w:rFonts w:hint="eastAsia" w:ascii="宋体" w:hAnsi="宋体" w:eastAsia="宋体" w:cs="宋体"/>
          <w:color w:val="auto"/>
          <w:spacing w:val="10"/>
          <w:sz w:val="24"/>
          <w:szCs w:val="24"/>
          <w:highlight w:val="none"/>
        </w:rPr>
        <w:t>万元，资产总额为</w:t>
      </w:r>
      <w:r>
        <w:rPr>
          <w:rFonts w:hint="eastAsia" w:ascii="宋体" w:hAnsi="宋体" w:eastAsia="宋体" w:cs="宋体"/>
          <w:color w:val="auto"/>
          <w:spacing w:val="10"/>
          <w:sz w:val="24"/>
          <w:szCs w:val="24"/>
          <w:highlight w:val="none"/>
          <w:u w:val="single"/>
          <w:lang w:val="en-US" w:eastAsia="zh-CN"/>
        </w:rPr>
        <w:t xml:space="preserve">  </w:t>
      </w:r>
      <w:r>
        <w:rPr>
          <w:rFonts w:hint="eastAsia" w:ascii="宋体" w:hAnsi="宋体" w:eastAsia="宋体" w:cs="宋体"/>
          <w:color w:val="auto"/>
          <w:spacing w:val="10"/>
          <w:sz w:val="24"/>
          <w:szCs w:val="24"/>
          <w:highlight w:val="none"/>
        </w:rPr>
        <w:t>万元，属</w:t>
      </w:r>
      <w:r>
        <w:rPr>
          <w:rFonts w:hint="eastAsia" w:ascii="宋体" w:hAnsi="宋体" w:eastAsia="宋体" w:cs="宋体"/>
          <w:color w:val="auto"/>
          <w:spacing w:val="16"/>
          <w:sz w:val="24"/>
          <w:szCs w:val="24"/>
          <w:highlight w:val="none"/>
        </w:rPr>
        <w:t>于</w:t>
      </w:r>
      <w:r>
        <w:rPr>
          <w:rFonts w:hint="eastAsia" w:ascii="宋体" w:hAnsi="宋体" w:eastAsia="宋体" w:cs="宋体"/>
          <w:color w:val="auto"/>
          <w:spacing w:val="16"/>
          <w:sz w:val="24"/>
          <w:szCs w:val="24"/>
          <w:highlight w:val="none"/>
          <w:u w:val="single" w:color="auto"/>
        </w:rPr>
        <w:t>（中型企业、小型企业、微型企业</w:t>
      </w:r>
      <w:r>
        <w:rPr>
          <w:rFonts w:hint="eastAsia" w:ascii="宋体" w:hAnsi="宋体" w:eastAsia="宋体" w:cs="宋体"/>
          <w:color w:val="auto"/>
          <w:spacing w:val="1"/>
          <w:sz w:val="24"/>
          <w:szCs w:val="24"/>
          <w:highlight w:val="none"/>
          <w:u w:val="single" w:color="auto"/>
        </w:rPr>
        <w:t>）</w:t>
      </w:r>
      <w:r>
        <w:rPr>
          <w:rFonts w:hint="eastAsia" w:ascii="宋体" w:hAnsi="宋体" w:eastAsia="宋体" w:cs="宋体"/>
          <w:color w:val="auto"/>
          <w:sz w:val="24"/>
          <w:szCs w:val="24"/>
          <w:highlight w:val="none"/>
        </w:rPr>
        <w:t>；</w:t>
      </w:r>
    </w:p>
    <w:p w14:paraId="1E4F5550">
      <w:pPr>
        <w:spacing w:before="72" w:line="360" w:lineRule="exact"/>
        <w:ind w:left="519"/>
        <w:rPr>
          <w:rFonts w:hint="eastAsia" w:ascii="宋体" w:hAnsi="宋体" w:eastAsia="宋体" w:cs="宋体"/>
          <w:color w:val="auto"/>
          <w:sz w:val="24"/>
          <w:szCs w:val="24"/>
          <w:highlight w:val="none"/>
        </w:rPr>
      </w:pPr>
      <w:r>
        <w:rPr>
          <w:rFonts w:hint="eastAsia" w:ascii="宋体" w:hAnsi="宋体" w:eastAsia="宋体" w:cs="宋体"/>
          <w:color w:val="auto"/>
          <w:spacing w:val="-3"/>
          <w:position w:val="3"/>
          <w:sz w:val="24"/>
          <w:szCs w:val="24"/>
          <w:highlight w:val="none"/>
        </w:rPr>
        <w:t>……</w:t>
      </w:r>
    </w:p>
    <w:p w14:paraId="32FE0012">
      <w:pPr>
        <w:spacing w:before="72" w:line="391" w:lineRule="auto"/>
        <w:ind w:firstLine="520" w:firstLineChars="200"/>
        <w:rPr>
          <w:rFonts w:hint="eastAsia" w:ascii="宋体" w:hAnsi="宋体" w:eastAsia="宋体" w:cs="宋体"/>
          <w:color w:val="auto"/>
          <w:spacing w:val="10"/>
          <w:sz w:val="24"/>
          <w:szCs w:val="24"/>
          <w:highlight w:val="none"/>
        </w:rPr>
      </w:pPr>
      <w:r>
        <w:rPr>
          <w:rFonts w:hint="eastAsia" w:ascii="宋体" w:hAnsi="宋体" w:eastAsia="宋体" w:cs="宋体"/>
          <w:color w:val="auto"/>
          <w:spacing w:val="10"/>
          <w:sz w:val="24"/>
          <w:szCs w:val="24"/>
          <w:highlight w:val="none"/>
        </w:rPr>
        <w:t>以上企业，不属于大企业的分支机构，不存在控股股东为大企业的情形，也不存在与大企业的负责人为同一人的情形。</w:t>
      </w:r>
    </w:p>
    <w:p w14:paraId="7571CA4F">
      <w:pPr>
        <w:spacing w:line="284" w:lineRule="auto"/>
        <w:rPr>
          <w:rFonts w:hint="eastAsia" w:ascii="宋体" w:hAnsi="宋体" w:eastAsia="宋体" w:cs="宋体"/>
          <w:color w:val="auto"/>
          <w:sz w:val="24"/>
          <w:szCs w:val="24"/>
          <w:highlight w:val="none"/>
        </w:rPr>
      </w:pPr>
    </w:p>
    <w:p w14:paraId="06EBECBF">
      <w:pPr>
        <w:spacing w:before="71" w:line="229" w:lineRule="auto"/>
        <w:rPr>
          <w:rFonts w:hint="eastAsia" w:ascii="宋体" w:hAnsi="宋体" w:eastAsia="宋体" w:cs="宋体"/>
          <w:color w:val="auto"/>
          <w:sz w:val="24"/>
          <w:szCs w:val="24"/>
          <w:highlight w:val="none"/>
        </w:rPr>
      </w:pPr>
      <w:r>
        <w:rPr>
          <w:rFonts w:hint="eastAsia" w:ascii="宋体" w:hAnsi="宋体" w:eastAsia="宋体" w:cs="宋体"/>
          <w:color w:val="auto"/>
          <w:spacing w:val="23"/>
          <w:sz w:val="24"/>
          <w:szCs w:val="24"/>
          <w:highlight w:val="none"/>
        </w:rPr>
        <w:t>本企业对上述声明内容的真实性负责。如有虚</w:t>
      </w:r>
      <w:r>
        <w:rPr>
          <w:rFonts w:hint="eastAsia" w:ascii="宋体" w:hAnsi="宋体" w:eastAsia="宋体" w:cs="宋体"/>
          <w:color w:val="auto"/>
          <w:spacing w:val="22"/>
          <w:sz w:val="24"/>
          <w:szCs w:val="24"/>
          <w:highlight w:val="none"/>
        </w:rPr>
        <w:t>假，将依法承担相应责任。</w:t>
      </w:r>
    </w:p>
    <w:p w14:paraId="681B13E9">
      <w:pPr>
        <w:spacing w:line="258" w:lineRule="auto"/>
        <w:rPr>
          <w:rFonts w:hint="eastAsia" w:ascii="宋体" w:hAnsi="宋体" w:eastAsia="宋体" w:cs="宋体"/>
          <w:color w:val="auto"/>
          <w:sz w:val="24"/>
          <w:szCs w:val="24"/>
          <w:highlight w:val="none"/>
        </w:rPr>
      </w:pPr>
    </w:p>
    <w:p w14:paraId="4BBF2866">
      <w:pPr>
        <w:spacing w:before="72" w:line="487" w:lineRule="exact"/>
        <w:ind w:left="4683"/>
        <w:rPr>
          <w:rFonts w:hint="eastAsia" w:ascii="宋体" w:hAnsi="宋体" w:eastAsia="宋体" w:cs="宋体"/>
          <w:color w:val="auto"/>
          <w:sz w:val="24"/>
          <w:szCs w:val="24"/>
          <w:highlight w:val="none"/>
        </w:rPr>
      </w:pPr>
      <w:r>
        <w:rPr>
          <w:rFonts w:hint="eastAsia" w:ascii="宋体" w:hAnsi="宋体" w:eastAsia="宋体" w:cs="宋体"/>
          <w:color w:val="auto"/>
          <w:spacing w:val="29"/>
          <w:position w:val="19"/>
          <w:sz w:val="24"/>
          <w:szCs w:val="24"/>
          <w:highlight w:val="none"/>
        </w:rPr>
        <w:t>企业名称（盖章</w:t>
      </w:r>
      <w:r>
        <w:rPr>
          <w:rFonts w:hint="eastAsia" w:ascii="宋体" w:hAnsi="宋体" w:eastAsia="宋体" w:cs="宋体"/>
          <w:color w:val="auto"/>
          <w:spacing w:val="1"/>
          <w:position w:val="19"/>
          <w:sz w:val="24"/>
          <w:szCs w:val="24"/>
          <w:highlight w:val="none"/>
        </w:rPr>
        <w:t>）：</w:t>
      </w:r>
    </w:p>
    <w:p w14:paraId="10E42F95">
      <w:pPr>
        <w:spacing w:line="233" w:lineRule="auto"/>
        <w:ind w:firstLine="4784" w:firstLineChars="2300"/>
        <w:rPr>
          <w:rFonts w:hint="eastAsia" w:ascii="宋体" w:hAnsi="宋体" w:eastAsia="宋体" w:cs="宋体"/>
          <w:color w:val="auto"/>
          <w:highlight w:val="none"/>
        </w:rPr>
      </w:pPr>
      <w:r>
        <w:rPr>
          <w:rFonts w:hint="eastAsia" w:ascii="宋体" w:hAnsi="宋体" w:eastAsia="宋体" w:cs="宋体"/>
          <w:color w:val="auto"/>
          <w:spacing w:val="-16"/>
          <w:sz w:val="24"/>
          <w:szCs w:val="24"/>
          <w:highlight w:val="none"/>
        </w:rPr>
        <w:t>日</w:t>
      </w:r>
      <w:r>
        <w:rPr>
          <w:rFonts w:hint="eastAsia" w:ascii="宋体" w:hAnsi="宋体" w:eastAsia="宋体" w:cs="宋体"/>
          <w:color w:val="auto"/>
          <w:spacing w:val="-16"/>
          <w:sz w:val="24"/>
          <w:szCs w:val="24"/>
          <w:highlight w:val="none"/>
          <w:lang w:val="en-US" w:eastAsia="zh-CN"/>
        </w:rPr>
        <w:t xml:space="preserve">    </w:t>
      </w:r>
      <w:r>
        <w:rPr>
          <w:rFonts w:hint="eastAsia" w:ascii="宋体" w:hAnsi="宋体" w:eastAsia="宋体" w:cs="宋体"/>
          <w:color w:val="auto"/>
          <w:spacing w:val="-16"/>
          <w:sz w:val="24"/>
          <w:szCs w:val="24"/>
          <w:highlight w:val="none"/>
        </w:rPr>
        <w:t>期：</w:t>
      </w:r>
    </w:p>
    <w:p w14:paraId="77EE4ABC">
      <w:pPr>
        <w:spacing w:before="63" w:line="517" w:lineRule="exact"/>
        <w:jc w:val="left"/>
        <w:rPr>
          <w:rFonts w:hint="eastAsia" w:ascii="宋体" w:hAnsi="宋体" w:eastAsia="宋体" w:cs="宋体"/>
          <w:color w:val="auto"/>
          <w:spacing w:val="0"/>
          <w:position w:val="24"/>
          <w:sz w:val="19"/>
          <w:szCs w:val="19"/>
          <w:highlight w:val="none"/>
        </w:rPr>
      </w:pPr>
    </w:p>
    <w:p w14:paraId="0127083C">
      <w:pPr>
        <w:spacing w:before="63" w:line="517" w:lineRule="exact"/>
        <w:jc w:val="left"/>
        <w:rPr>
          <w:rFonts w:hint="eastAsia" w:ascii="宋体" w:hAnsi="宋体" w:eastAsia="宋体" w:cs="宋体"/>
          <w:color w:val="auto"/>
          <w:spacing w:val="21"/>
          <w:position w:val="25"/>
          <w:sz w:val="19"/>
          <w:szCs w:val="19"/>
          <w:highlight w:val="none"/>
          <w:lang w:eastAsia="zh-CN"/>
        </w:rPr>
      </w:pPr>
      <w:r>
        <w:rPr>
          <w:rFonts w:hint="eastAsia" w:ascii="宋体" w:hAnsi="宋体" w:eastAsia="宋体" w:cs="宋体"/>
          <w:color w:val="auto"/>
          <w:spacing w:val="0"/>
          <w:position w:val="24"/>
          <w:sz w:val="19"/>
          <w:szCs w:val="19"/>
          <w:highlight w:val="none"/>
        </w:rPr>
        <w:t>从业人员、营业收入、资产总额填报上一年度数据，无上一年度数据的新成立企业可不填报</w:t>
      </w:r>
      <w:r>
        <w:rPr>
          <w:rFonts w:hint="eastAsia" w:ascii="宋体" w:hAnsi="宋体" w:eastAsia="宋体" w:cs="宋体"/>
          <w:color w:val="auto"/>
          <w:spacing w:val="0"/>
          <w:position w:val="24"/>
          <w:sz w:val="19"/>
          <w:szCs w:val="19"/>
          <w:highlight w:val="none"/>
          <w:lang w:eastAsia="zh-CN"/>
        </w:rPr>
        <w:t>。</w:t>
      </w:r>
    </w:p>
    <w:p w14:paraId="2F1F4C39">
      <w:pPr>
        <w:rPr>
          <w:rFonts w:hint="eastAsia" w:ascii="宋体" w:hAnsi="宋体" w:eastAsia="宋体" w:cs="宋体"/>
          <w:color w:val="auto"/>
          <w:spacing w:val="21"/>
          <w:position w:val="25"/>
          <w:sz w:val="19"/>
          <w:szCs w:val="19"/>
          <w:highlight w:val="none"/>
        </w:rPr>
      </w:pPr>
      <w:r>
        <w:rPr>
          <w:rFonts w:hint="eastAsia" w:ascii="宋体" w:hAnsi="宋体" w:eastAsia="宋体" w:cs="宋体"/>
          <w:color w:val="auto"/>
          <w:spacing w:val="21"/>
          <w:position w:val="25"/>
          <w:sz w:val="19"/>
          <w:szCs w:val="19"/>
          <w:highlight w:val="none"/>
        </w:rPr>
        <w:br w:type="page"/>
      </w:r>
    </w:p>
    <w:p w14:paraId="21BC1C3B">
      <w:pPr>
        <w:spacing w:before="63" w:line="517" w:lineRule="exact"/>
        <w:jc w:val="both"/>
        <w:rPr>
          <w:rFonts w:hint="eastAsia" w:ascii="宋体" w:hAnsi="宋体" w:eastAsia="宋体" w:cs="宋体"/>
          <w:color w:val="auto"/>
          <w:sz w:val="28"/>
          <w:szCs w:val="28"/>
          <w:highlight w:val="none"/>
        </w:rPr>
      </w:pPr>
      <w:r>
        <w:rPr>
          <w:rFonts w:hint="eastAsia" w:ascii="宋体" w:hAnsi="宋体" w:eastAsia="宋体" w:cs="宋体"/>
          <w:color w:val="auto"/>
          <w:spacing w:val="-1"/>
          <w:sz w:val="28"/>
          <w:szCs w:val="28"/>
          <w:highlight w:val="none"/>
          <w14:textOutline w14:w="5266" w14:cap="sq" w14:cmpd="sng">
            <w14:solidFill>
              <w14:srgbClr w14:val="000000"/>
            </w14:solidFill>
            <w14:prstDash w14:val="solid"/>
            <w14:bevel/>
          </w14:textOutline>
        </w:rPr>
        <w:t>附件</w:t>
      </w:r>
      <w:r>
        <w:rPr>
          <w:rFonts w:hint="eastAsia" w:ascii="宋体" w:hAnsi="宋体" w:eastAsia="宋体" w:cs="宋体"/>
          <w:color w:val="auto"/>
          <w:spacing w:val="-1"/>
          <w:sz w:val="28"/>
          <w:szCs w:val="28"/>
          <w:highlight w:val="none"/>
          <w:lang w:val="en-US" w:eastAsia="zh-CN"/>
        </w:rPr>
        <w:t>2</w:t>
      </w:r>
      <w:r>
        <w:rPr>
          <w:rFonts w:hint="eastAsia" w:ascii="宋体" w:hAnsi="宋体" w:eastAsia="宋体" w:cs="宋体"/>
          <w:color w:val="auto"/>
          <w:spacing w:val="-1"/>
          <w:sz w:val="28"/>
          <w:szCs w:val="28"/>
          <w:highlight w:val="none"/>
          <w14:textOutline w14:w="5266" w14:cap="sq" w14:cmpd="sng">
            <w14:solidFill>
              <w14:srgbClr w14:val="000000"/>
            </w14:solidFill>
            <w14:prstDash w14:val="solid"/>
            <w14:bevel/>
          </w14:textOutline>
        </w:rPr>
        <w:t>：</w:t>
      </w:r>
    </w:p>
    <w:p w14:paraId="3BD55F10">
      <w:pPr>
        <w:spacing w:line="415" w:lineRule="auto"/>
        <w:rPr>
          <w:rFonts w:hint="eastAsia" w:ascii="宋体" w:hAnsi="宋体" w:eastAsia="宋体" w:cs="宋体"/>
          <w:color w:val="auto"/>
          <w:sz w:val="21"/>
          <w:highlight w:val="none"/>
        </w:rPr>
      </w:pPr>
    </w:p>
    <w:p w14:paraId="650446B4">
      <w:pPr>
        <w:spacing w:before="111" w:line="231" w:lineRule="auto"/>
        <w:ind w:left="2030"/>
        <w:rPr>
          <w:rFonts w:hint="eastAsia" w:ascii="宋体" w:hAnsi="宋体" w:eastAsia="宋体" w:cs="宋体"/>
          <w:color w:val="auto"/>
          <w:sz w:val="34"/>
          <w:szCs w:val="34"/>
          <w:highlight w:val="none"/>
        </w:rPr>
      </w:pPr>
      <w:r>
        <w:rPr>
          <w:rFonts w:hint="eastAsia" w:ascii="宋体" w:hAnsi="宋体" w:eastAsia="宋体" w:cs="宋体"/>
          <w:color w:val="auto"/>
          <w:spacing w:val="11"/>
          <w:sz w:val="34"/>
          <w:szCs w:val="34"/>
          <w:highlight w:val="none"/>
          <w14:textOutline w14:w="6356" w14:cap="sq" w14:cmpd="sng">
            <w14:solidFill>
              <w14:srgbClr w14:val="000000"/>
            </w14:solidFill>
            <w14:prstDash w14:val="solid"/>
            <w14:bevel/>
          </w14:textOutline>
        </w:rPr>
        <w:t>残疾人福利性单位声明函</w:t>
      </w:r>
      <w:r>
        <w:rPr>
          <w:rFonts w:hint="eastAsia" w:ascii="宋体" w:hAnsi="宋体" w:cs="宋体"/>
          <w:color w:val="auto"/>
          <w:spacing w:val="11"/>
          <w:sz w:val="34"/>
          <w:szCs w:val="34"/>
          <w:highlight w:val="none"/>
          <w:lang w:eastAsia="zh-CN"/>
          <w14:textOutline w14:w="6356" w14:cap="sq" w14:cmpd="sng">
            <w14:solidFill>
              <w14:srgbClr w14:val="000000"/>
            </w14:solidFill>
            <w14:prstDash w14:val="solid"/>
            <w14:bevel/>
          </w14:textOutline>
        </w:rPr>
        <w:t>（</w:t>
      </w:r>
      <w:r>
        <w:rPr>
          <w:rFonts w:hint="eastAsia" w:ascii="宋体" w:hAnsi="宋体" w:eastAsia="宋体" w:cs="宋体"/>
          <w:color w:val="auto"/>
          <w:spacing w:val="11"/>
          <w:sz w:val="34"/>
          <w:szCs w:val="34"/>
          <w:highlight w:val="none"/>
          <w14:textOutline w14:w="6356" w14:cap="sq" w14:cmpd="sng">
            <w14:solidFill>
              <w14:srgbClr w14:val="000000"/>
            </w14:solidFill>
            <w14:prstDash w14:val="solid"/>
            <w14:bevel/>
          </w14:textOutline>
        </w:rPr>
        <w:t>如有</w:t>
      </w:r>
      <w:r>
        <w:rPr>
          <w:rFonts w:hint="eastAsia" w:ascii="宋体" w:hAnsi="宋体" w:cs="宋体"/>
          <w:color w:val="auto"/>
          <w:spacing w:val="11"/>
          <w:sz w:val="34"/>
          <w:szCs w:val="34"/>
          <w:highlight w:val="none"/>
          <w:lang w:eastAsia="zh-CN"/>
          <w14:textOutline w14:w="6356" w14:cap="sq" w14:cmpd="sng">
            <w14:solidFill>
              <w14:srgbClr w14:val="000000"/>
            </w14:solidFill>
            <w14:prstDash w14:val="solid"/>
            <w14:bevel/>
          </w14:textOutline>
        </w:rPr>
        <w:t>）</w:t>
      </w:r>
    </w:p>
    <w:p w14:paraId="338D2AF4">
      <w:pPr>
        <w:spacing w:line="383" w:lineRule="auto"/>
        <w:rPr>
          <w:rFonts w:hint="eastAsia" w:ascii="宋体" w:hAnsi="宋体" w:eastAsia="宋体" w:cs="宋体"/>
          <w:color w:val="auto"/>
          <w:sz w:val="21"/>
          <w:highlight w:val="none"/>
        </w:rPr>
      </w:pPr>
    </w:p>
    <w:p w14:paraId="72741821">
      <w:pPr>
        <w:spacing w:before="71" w:line="410" w:lineRule="auto"/>
        <w:ind w:left="3" w:firstLine="493"/>
        <w:jc w:val="both"/>
        <w:rPr>
          <w:rFonts w:hint="eastAsia" w:ascii="宋体" w:hAnsi="宋体" w:eastAsia="宋体" w:cs="宋体"/>
          <w:color w:val="auto"/>
          <w:sz w:val="24"/>
          <w:szCs w:val="24"/>
          <w:highlight w:val="none"/>
        </w:rPr>
      </w:pPr>
      <w:r>
        <w:rPr>
          <w:rFonts w:hint="eastAsia" w:ascii="宋体" w:hAnsi="宋体" w:eastAsia="宋体" w:cs="宋体"/>
          <w:color w:val="auto"/>
          <w:spacing w:val="23"/>
          <w:sz w:val="24"/>
          <w:szCs w:val="24"/>
          <w:highlight w:val="none"/>
        </w:rPr>
        <w:t>本单位郑重声明，根据《财政部民政部中国残疾人联合会关于促进残疾人就</w:t>
      </w:r>
      <w:r>
        <w:rPr>
          <w:rFonts w:hint="eastAsia" w:ascii="宋体" w:hAnsi="宋体" w:eastAsia="宋体" w:cs="宋体"/>
          <w:color w:val="auto"/>
          <w:spacing w:val="19"/>
          <w:sz w:val="24"/>
          <w:szCs w:val="24"/>
          <w:highlight w:val="none"/>
        </w:rPr>
        <w:t>业政府采购政策的通知》（财库〔2017〕</w:t>
      </w:r>
      <w:r>
        <w:rPr>
          <w:rFonts w:hint="eastAsia" w:ascii="宋体" w:hAnsi="宋体" w:eastAsia="宋体" w:cs="宋体"/>
          <w:color w:val="auto"/>
          <w:spacing w:val="18"/>
          <w:sz w:val="24"/>
          <w:szCs w:val="24"/>
          <w:highlight w:val="none"/>
        </w:rPr>
        <w:t>141号）的规定，本单位为符合条件的残</w:t>
      </w:r>
      <w:r>
        <w:rPr>
          <w:rFonts w:hint="eastAsia" w:ascii="宋体" w:hAnsi="宋体" w:eastAsia="宋体" w:cs="宋体"/>
          <w:color w:val="auto"/>
          <w:spacing w:val="19"/>
          <w:sz w:val="24"/>
          <w:szCs w:val="24"/>
          <w:highlight w:val="none"/>
        </w:rPr>
        <w:t>疾人福利性单位，且本单位参加单位的项目采购活动提供本单位制造</w:t>
      </w:r>
      <w:r>
        <w:rPr>
          <w:rFonts w:hint="eastAsia" w:ascii="宋体" w:hAnsi="宋体" w:eastAsia="宋体" w:cs="宋体"/>
          <w:color w:val="auto"/>
          <w:spacing w:val="28"/>
          <w:sz w:val="24"/>
          <w:szCs w:val="24"/>
          <w:highlight w:val="none"/>
        </w:rPr>
        <w:t>的货物（由本单位承担工程/提供服务</w:t>
      </w:r>
      <w:r>
        <w:rPr>
          <w:rFonts w:hint="eastAsia" w:ascii="宋体" w:hAnsi="宋体" w:eastAsia="宋体" w:cs="宋体"/>
          <w:color w:val="auto"/>
          <w:spacing w:val="-31"/>
          <w:sz w:val="24"/>
          <w:szCs w:val="24"/>
          <w:highlight w:val="none"/>
        </w:rPr>
        <w:t>），</w:t>
      </w:r>
      <w:r>
        <w:rPr>
          <w:rFonts w:hint="eastAsia" w:ascii="宋体" w:hAnsi="宋体" w:eastAsia="宋体" w:cs="宋体"/>
          <w:color w:val="auto"/>
          <w:spacing w:val="28"/>
          <w:sz w:val="24"/>
          <w:szCs w:val="24"/>
          <w:highlight w:val="none"/>
        </w:rPr>
        <w:t>或者提供其他残疾人福利性单位制造的货</w:t>
      </w:r>
      <w:r>
        <w:rPr>
          <w:rFonts w:hint="eastAsia" w:ascii="宋体" w:hAnsi="宋体" w:eastAsia="宋体" w:cs="宋体"/>
          <w:color w:val="auto"/>
          <w:spacing w:val="25"/>
          <w:sz w:val="24"/>
          <w:szCs w:val="24"/>
          <w:highlight w:val="none"/>
        </w:rPr>
        <w:t>物（不包括使用非残疾人福利性单位注册商</w:t>
      </w:r>
      <w:r>
        <w:rPr>
          <w:rFonts w:hint="eastAsia" w:ascii="宋体" w:hAnsi="宋体" w:eastAsia="宋体" w:cs="宋体"/>
          <w:color w:val="auto"/>
          <w:spacing w:val="24"/>
          <w:sz w:val="24"/>
          <w:szCs w:val="24"/>
          <w:highlight w:val="none"/>
        </w:rPr>
        <w:t>标的货物）。</w:t>
      </w:r>
    </w:p>
    <w:p w14:paraId="577E5C0E">
      <w:pPr>
        <w:spacing w:line="325" w:lineRule="auto"/>
        <w:rPr>
          <w:rFonts w:hint="eastAsia" w:ascii="宋体" w:hAnsi="宋体" w:eastAsia="宋体" w:cs="宋体"/>
          <w:color w:val="auto"/>
          <w:sz w:val="24"/>
          <w:szCs w:val="24"/>
          <w:highlight w:val="none"/>
        </w:rPr>
      </w:pPr>
    </w:p>
    <w:p w14:paraId="3AD7D20F">
      <w:pPr>
        <w:spacing w:before="71" w:line="229" w:lineRule="auto"/>
        <w:ind w:left="377"/>
        <w:rPr>
          <w:rFonts w:hint="eastAsia" w:ascii="宋体" w:hAnsi="宋体" w:eastAsia="宋体" w:cs="宋体"/>
          <w:color w:val="auto"/>
          <w:sz w:val="24"/>
          <w:szCs w:val="24"/>
          <w:highlight w:val="none"/>
        </w:rPr>
      </w:pPr>
      <w:r>
        <w:rPr>
          <w:rFonts w:hint="eastAsia" w:ascii="宋体" w:hAnsi="宋体" w:eastAsia="宋体" w:cs="宋体"/>
          <w:color w:val="auto"/>
          <w:spacing w:val="25"/>
          <w:sz w:val="24"/>
          <w:szCs w:val="24"/>
          <w:highlight w:val="none"/>
        </w:rPr>
        <w:t>本单位对上述声明的真实性负责。如有虚假，将依法承担相</w:t>
      </w:r>
      <w:r>
        <w:rPr>
          <w:rFonts w:hint="eastAsia" w:ascii="宋体" w:hAnsi="宋体" w:eastAsia="宋体" w:cs="宋体"/>
          <w:color w:val="auto"/>
          <w:spacing w:val="24"/>
          <w:sz w:val="24"/>
          <w:szCs w:val="24"/>
          <w:highlight w:val="none"/>
        </w:rPr>
        <w:t>应责任。</w:t>
      </w:r>
    </w:p>
    <w:p w14:paraId="6ADDA6E7">
      <w:pPr>
        <w:spacing w:line="256" w:lineRule="auto"/>
        <w:rPr>
          <w:rFonts w:hint="eastAsia" w:ascii="宋体" w:hAnsi="宋体" w:eastAsia="宋体" w:cs="宋体"/>
          <w:color w:val="auto"/>
          <w:sz w:val="24"/>
          <w:szCs w:val="24"/>
          <w:highlight w:val="none"/>
        </w:rPr>
      </w:pPr>
    </w:p>
    <w:p w14:paraId="077AE9C5">
      <w:pPr>
        <w:spacing w:line="256" w:lineRule="auto"/>
        <w:rPr>
          <w:rFonts w:hint="eastAsia" w:ascii="宋体" w:hAnsi="宋体" w:eastAsia="宋体" w:cs="宋体"/>
          <w:color w:val="auto"/>
          <w:sz w:val="24"/>
          <w:szCs w:val="24"/>
          <w:highlight w:val="none"/>
        </w:rPr>
      </w:pPr>
    </w:p>
    <w:p w14:paraId="71612BED">
      <w:pPr>
        <w:spacing w:line="256" w:lineRule="auto"/>
        <w:rPr>
          <w:rFonts w:hint="eastAsia" w:ascii="宋体" w:hAnsi="宋体" w:eastAsia="宋体" w:cs="宋体"/>
          <w:color w:val="auto"/>
          <w:sz w:val="24"/>
          <w:szCs w:val="24"/>
          <w:highlight w:val="none"/>
        </w:rPr>
      </w:pPr>
    </w:p>
    <w:p w14:paraId="20D5C5E7">
      <w:pPr>
        <w:spacing w:line="256" w:lineRule="auto"/>
        <w:rPr>
          <w:rFonts w:hint="eastAsia" w:ascii="宋体" w:hAnsi="宋体" w:eastAsia="宋体" w:cs="宋体"/>
          <w:color w:val="auto"/>
          <w:sz w:val="24"/>
          <w:szCs w:val="24"/>
          <w:highlight w:val="none"/>
        </w:rPr>
      </w:pPr>
    </w:p>
    <w:p w14:paraId="0A39EEDE">
      <w:pPr>
        <w:spacing w:line="256" w:lineRule="auto"/>
        <w:rPr>
          <w:rFonts w:hint="eastAsia" w:ascii="宋体" w:hAnsi="宋体" w:eastAsia="宋体" w:cs="宋体"/>
          <w:color w:val="auto"/>
          <w:sz w:val="24"/>
          <w:szCs w:val="24"/>
          <w:highlight w:val="none"/>
        </w:rPr>
      </w:pPr>
    </w:p>
    <w:p w14:paraId="4C3BDD91">
      <w:pPr>
        <w:spacing w:line="256" w:lineRule="auto"/>
        <w:rPr>
          <w:rFonts w:hint="eastAsia" w:ascii="宋体" w:hAnsi="宋体" w:eastAsia="宋体" w:cs="宋体"/>
          <w:color w:val="auto"/>
          <w:sz w:val="24"/>
          <w:szCs w:val="24"/>
          <w:highlight w:val="none"/>
        </w:rPr>
      </w:pPr>
    </w:p>
    <w:p w14:paraId="4AC25B6E">
      <w:pPr>
        <w:spacing w:line="256" w:lineRule="auto"/>
        <w:rPr>
          <w:rFonts w:hint="eastAsia" w:ascii="宋体" w:hAnsi="宋体" w:eastAsia="宋体" w:cs="宋体"/>
          <w:color w:val="auto"/>
          <w:sz w:val="24"/>
          <w:szCs w:val="24"/>
          <w:highlight w:val="none"/>
        </w:rPr>
      </w:pPr>
    </w:p>
    <w:p w14:paraId="54C52617">
      <w:pPr>
        <w:spacing w:line="257" w:lineRule="auto"/>
        <w:rPr>
          <w:rFonts w:hint="eastAsia" w:ascii="宋体" w:hAnsi="宋体" w:eastAsia="宋体" w:cs="宋体"/>
          <w:color w:val="auto"/>
          <w:sz w:val="24"/>
          <w:szCs w:val="24"/>
          <w:highlight w:val="none"/>
        </w:rPr>
      </w:pPr>
    </w:p>
    <w:p w14:paraId="7B3922B9">
      <w:pPr>
        <w:spacing w:line="257" w:lineRule="auto"/>
        <w:rPr>
          <w:rFonts w:hint="eastAsia" w:ascii="宋体" w:hAnsi="宋体" w:eastAsia="宋体" w:cs="宋体"/>
          <w:color w:val="auto"/>
          <w:sz w:val="24"/>
          <w:szCs w:val="24"/>
          <w:highlight w:val="none"/>
        </w:rPr>
      </w:pPr>
    </w:p>
    <w:p w14:paraId="184060B9">
      <w:pPr>
        <w:spacing w:line="257" w:lineRule="auto"/>
        <w:rPr>
          <w:rFonts w:hint="eastAsia" w:ascii="宋体" w:hAnsi="宋体" w:eastAsia="宋体" w:cs="宋体"/>
          <w:color w:val="auto"/>
          <w:sz w:val="24"/>
          <w:szCs w:val="24"/>
          <w:highlight w:val="none"/>
        </w:rPr>
      </w:pPr>
    </w:p>
    <w:p w14:paraId="2CE0836F">
      <w:pPr>
        <w:spacing w:before="72" w:line="502" w:lineRule="exact"/>
        <w:ind w:left="4931"/>
        <w:rPr>
          <w:rFonts w:hint="eastAsia" w:ascii="宋体" w:hAnsi="宋体" w:eastAsia="宋体" w:cs="宋体"/>
          <w:color w:val="auto"/>
          <w:sz w:val="24"/>
          <w:szCs w:val="24"/>
          <w:highlight w:val="none"/>
        </w:rPr>
      </w:pPr>
      <w:r>
        <w:rPr>
          <w:rFonts w:hint="eastAsia" w:ascii="宋体" w:hAnsi="宋体" w:eastAsia="宋体" w:cs="宋体"/>
          <w:color w:val="auto"/>
          <w:spacing w:val="26"/>
          <w:position w:val="20"/>
          <w:sz w:val="24"/>
          <w:szCs w:val="24"/>
          <w:highlight w:val="none"/>
        </w:rPr>
        <w:t>单位名称（盖章</w:t>
      </w:r>
      <w:r>
        <w:rPr>
          <w:rFonts w:hint="eastAsia" w:ascii="宋体" w:hAnsi="宋体" w:eastAsia="宋体" w:cs="宋体"/>
          <w:color w:val="auto"/>
          <w:spacing w:val="2"/>
          <w:position w:val="20"/>
          <w:sz w:val="24"/>
          <w:szCs w:val="24"/>
          <w:highlight w:val="none"/>
        </w:rPr>
        <w:t>）：</w:t>
      </w:r>
    </w:p>
    <w:p w14:paraId="59403372">
      <w:pPr>
        <w:spacing w:line="233" w:lineRule="auto"/>
        <w:ind w:left="6220"/>
        <w:rPr>
          <w:rFonts w:hint="eastAsia" w:ascii="宋体" w:hAnsi="宋体" w:eastAsia="宋体" w:cs="宋体"/>
          <w:color w:val="auto"/>
          <w:sz w:val="24"/>
          <w:szCs w:val="24"/>
          <w:highlight w:val="none"/>
        </w:rPr>
      </w:pPr>
      <w:r>
        <w:rPr>
          <w:rFonts w:hint="eastAsia" w:ascii="宋体" w:hAnsi="宋体" w:eastAsia="宋体" w:cs="宋体"/>
          <w:color w:val="auto"/>
          <w:spacing w:val="-16"/>
          <w:sz w:val="24"/>
          <w:szCs w:val="24"/>
          <w:highlight w:val="none"/>
        </w:rPr>
        <w:t>日</w:t>
      </w:r>
      <w:r>
        <w:rPr>
          <w:rFonts w:hint="eastAsia" w:ascii="宋体" w:hAnsi="宋体" w:eastAsia="宋体" w:cs="宋体"/>
          <w:color w:val="auto"/>
          <w:spacing w:val="-16"/>
          <w:sz w:val="24"/>
          <w:szCs w:val="24"/>
          <w:highlight w:val="none"/>
          <w:lang w:val="en-US" w:eastAsia="zh-CN"/>
        </w:rPr>
        <w:t xml:space="preserve">     </w:t>
      </w:r>
      <w:r>
        <w:rPr>
          <w:rFonts w:hint="eastAsia" w:ascii="宋体" w:hAnsi="宋体" w:eastAsia="宋体" w:cs="宋体"/>
          <w:color w:val="auto"/>
          <w:spacing w:val="-16"/>
          <w:sz w:val="24"/>
          <w:szCs w:val="24"/>
          <w:highlight w:val="none"/>
        </w:rPr>
        <w:t>期：</w:t>
      </w:r>
    </w:p>
    <w:p w14:paraId="2112F050">
      <w:pPr>
        <w:spacing w:line="256" w:lineRule="auto"/>
        <w:rPr>
          <w:rFonts w:hint="eastAsia" w:ascii="宋体" w:hAnsi="宋体" w:eastAsia="宋体" w:cs="宋体"/>
          <w:color w:val="auto"/>
          <w:sz w:val="24"/>
          <w:szCs w:val="24"/>
          <w:highlight w:val="none"/>
        </w:rPr>
      </w:pPr>
    </w:p>
    <w:p w14:paraId="0CF03971">
      <w:pPr>
        <w:spacing w:line="256" w:lineRule="auto"/>
        <w:rPr>
          <w:rFonts w:hint="eastAsia" w:ascii="宋体" w:hAnsi="宋体" w:eastAsia="宋体" w:cs="宋体"/>
          <w:color w:val="auto"/>
          <w:sz w:val="21"/>
          <w:highlight w:val="none"/>
        </w:rPr>
      </w:pPr>
    </w:p>
    <w:p w14:paraId="5F66A184">
      <w:pPr>
        <w:spacing w:line="257" w:lineRule="auto"/>
        <w:rPr>
          <w:rFonts w:hint="eastAsia" w:ascii="宋体" w:hAnsi="宋体" w:eastAsia="宋体" w:cs="宋体"/>
          <w:color w:val="auto"/>
          <w:sz w:val="21"/>
          <w:highlight w:val="none"/>
        </w:rPr>
      </w:pPr>
    </w:p>
    <w:p w14:paraId="75660F63">
      <w:pPr>
        <w:spacing w:line="257" w:lineRule="auto"/>
        <w:rPr>
          <w:rFonts w:hint="eastAsia" w:ascii="宋体" w:hAnsi="宋体" w:eastAsia="宋体" w:cs="宋体"/>
          <w:color w:val="auto"/>
          <w:sz w:val="21"/>
          <w:highlight w:val="none"/>
        </w:rPr>
      </w:pPr>
    </w:p>
    <w:p w14:paraId="3A557C40">
      <w:pPr>
        <w:spacing w:line="257" w:lineRule="auto"/>
        <w:rPr>
          <w:rFonts w:hint="eastAsia" w:ascii="宋体" w:hAnsi="宋体" w:eastAsia="宋体" w:cs="宋体"/>
          <w:color w:val="auto"/>
          <w:sz w:val="21"/>
          <w:highlight w:val="none"/>
        </w:rPr>
      </w:pPr>
    </w:p>
    <w:p w14:paraId="6F523240">
      <w:pPr>
        <w:spacing w:line="257" w:lineRule="auto"/>
        <w:rPr>
          <w:rFonts w:hint="eastAsia" w:ascii="宋体" w:hAnsi="宋体" w:eastAsia="宋体" w:cs="宋体"/>
          <w:color w:val="auto"/>
          <w:sz w:val="21"/>
          <w:highlight w:val="none"/>
        </w:rPr>
      </w:pPr>
    </w:p>
    <w:p w14:paraId="5F16EB5D">
      <w:pPr>
        <w:spacing w:line="257" w:lineRule="auto"/>
        <w:rPr>
          <w:rFonts w:hint="eastAsia" w:ascii="宋体" w:hAnsi="宋体" w:eastAsia="宋体" w:cs="宋体"/>
          <w:color w:val="auto"/>
          <w:sz w:val="21"/>
          <w:highlight w:val="none"/>
        </w:rPr>
      </w:pPr>
    </w:p>
    <w:p w14:paraId="0B5BF6C8">
      <w:pPr>
        <w:spacing w:line="257" w:lineRule="auto"/>
        <w:rPr>
          <w:rFonts w:hint="eastAsia" w:ascii="宋体" w:hAnsi="宋体" w:eastAsia="宋体" w:cs="宋体"/>
          <w:color w:val="auto"/>
          <w:sz w:val="21"/>
          <w:highlight w:val="none"/>
        </w:rPr>
      </w:pPr>
    </w:p>
    <w:p w14:paraId="163F21C5">
      <w:pPr>
        <w:spacing w:line="257" w:lineRule="auto"/>
        <w:rPr>
          <w:rFonts w:hint="eastAsia" w:ascii="宋体" w:hAnsi="宋体" w:eastAsia="宋体" w:cs="宋体"/>
          <w:color w:val="auto"/>
          <w:sz w:val="21"/>
          <w:highlight w:val="none"/>
        </w:rPr>
      </w:pPr>
    </w:p>
    <w:p w14:paraId="05F932F8">
      <w:pPr>
        <w:spacing w:line="257" w:lineRule="auto"/>
        <w:rPr>
          <w:rFonts w:hint="eastAsia" w:ascii="宋体" w:hAnsi="宋体" w:eastAsia="宋体" w:cs="宋体"/>
          <w:color w:val="auto"/>
          <w:sz w:val="21"/>
          <w:highlight w:val="none"/>
        </w:rPr>
      </w:pPr>
    </w:p>
    <w:p w14:paraId="146902B5">
      <w:pPr>
        <w:spacing w:before="72" w:line="232" w:lineRule="auto"/>
        <w:ind w:left="25"/>
        <w:rPr>
          <w:rFonts w:hint="eastAsia" w:ascii="宋体" w:hAnsi="宋体" w:eastAsia="宋体" w:cs="宋体"/>
          <w:color w:val="auto"/>
          <w:sz w:val="22"/>
          <w:szCs w:val="22"/>
          <w:highlight w:val="none"/>
        </w:rPr>
      </w:pPr>
      <w:r>
        <w:rPr>
          <w:rFonts w:hint="eastAsia" w:ascii="宋体" w:hAnsi="宋体" w:eastAsia="宋体" w:cs="宋体"/>
          <w:color w:val="auto"/>
          <w:spacing w:val="19"/>
          <w:sz w:val="22"/>
          <w:szCs w:val="22"/>
          <w:highlight w:val="none"/>
        </w:rPr>
        <w:t>注：如供应商不符合要求无需填写此表。</w:t>
      </w:r>
    </w:p>
    <w:p w14:paraId="636E35AD">
      <w:pPr>
        <w:spacing w:line="232" w:lineRule="auto"/>
        <w:rPr>
          <w:rFonts w:hint="eastAsia" w:ascii="宋体" w:hAnsi="宋体" w:eastAsia="宋体" w:cs="宋体"/>
          <w:color w:val="auto"/>
          <w:sz w:val="22"/>
          <w:szCs w:val="22"/>
          <w:highlight w:val="none"/>
        </w:rPr>
        <w:sectPr>
          <w:headerReference r:id="rId6" w:type="default"/>
          <w:footerReference r:id="rId7" w:type="default"/>
          <w:pgSz w:w="11905" w:h="16840"/>
          <w:pgMar w:top="1385" w:right="1361" w:bottom="1361" w:left="1474" w:header="0" w:footer="850" w:gutter="0"/>
          <w:pgBorders>
            <w:top w:val="none" w:sz="0" w:space="0"/>
            <w:left w:val="none" w:sz="0" w:space="0"/>
            <w:bottom w:val="none" w:sz="0" w:space="0"/>
            <w:right w:val="none" w:sz="0" w:space="0"/>
          </w:pgBorders>
          <w:pgNumType w:fmt="numberInDash"/>
          <w:cols w:space="720" w:num="1"/>
        </w:sectPr>
      </w:pPr>
    </w:p>
    <w:p w14:paraId="2997BBBD">
      <w:pPr>
        <w:spacing w:before="91" w:line="234" w:lineRule="auto"/>
        <w:ind w:left="32"/>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14:textOutline w14:w="5266" w14:cap="sq" w14:cmpd="sng">
            <w14:solidFill>
              <w14:srgbClr w14:val="000000"/>
            </w14:solidFill>
            <w14:prstDash w14:val="solid"/>
            <w14:bevel/>
          </w14:textOutline>
        </w:rPr>
        <w:t>附件</w:t>
      </w:r>
      <w:r>
        <w:rPr>
          <w:rFonts w:hint="eastAsia" w:ascii="宋体" w:hAnsi="宋体" w:eastAsia="宋体" w:cs="宋体"/>
          <w:color w:val="auto"/>
          <w:spacing w:val="-3"/>
          <w:sz w:val="28"/>
          <w:szCs w:val="28"/>
          <w:highlight w:val="none"/>
          <w:lang w:val="en-US" w:eastAsia="zh-CN"/>
        </w:rPr>
        <w:t>3</w:t>
      </w:r>
      <w:r>
        <w:rPr>
          <w:rFonts w:hint="eastAsia" w:ascii="宋体" w:hAnsi="宋体" w:eastAsia="宋体" w:cs="宋体"/>
          <w:color w:val="auto"/>
          <w:spacing w:val="-3"/>
          <w:sz w:val="28"/>
          <w:szCs w:val="28"/>
          <w:highlight w:val="none"/>
          <w14:textOutline w14:w="5266" w14:cap="sq" w14:cmpd="sng">
            <w14:solidFill>
              <w14:srgbClr w14:val="000000"/>
            </w14:solidFill>
            <w14:prstDash w14:val="solid"/>
            <w14:bevel/>
          </w14:textOutline>
        </w:rPr>
        <w:t>：</w:t>
      </w:r>
    </w:p>
    <w:p w14:paraId="3A4A677A">
      <w:pPr>
        <w:spacing w:before="274" w:line="672" w:lineRule="exact"/>
        <w:ind w:left="170"/>
        <w:rPr>
          <w:rFonts w:hint="eastAsia" w:ascii="宋体" w:hAnsi="宋体" w:eastAsia="宋体" w:cs="宋体"/>
          <w:color w:val="auto"/>
          <w:sz w:val="28"/>
          <w:szCs w:val="28"/>
          <w:highlight w:val="none"/>
        </w:rPr>
      </w:pPr>
      <w:r>
        <w:rPr>
          <w:rFonts w:hint="eastAsia" w:ascii="宋体" w:hAnsi="宋体" w:eastAsia="宋体" w:cs="宋体"/>
          <w:color w:val="auto"/>
          <w:spacing w:val="-6"/>
          <w:position w:val="29"/>
          <w:sz w:val="28"/>
          <w:szCs w:val="28"/>
          <w:highlight w:val="none"/>
          <w14:textOutline w14:w="5103" w14:cap="sq" w14:cmpd="sng">
            <w14:solidFill>
              <w14:srgbClr w14:val="000000"/>
            </w14:solidFill>
            <w14:prstDash w14:val="solid"/>
            <w14:bevel/>
          </w14:textOutline>
        </w:rPr>
        <w:t>《中国政府采购网》最新颁布“节能产品政府采购</w:t>
      </w:r>
      <w:r>
        <w:rPr>
          <w:rFonts w:hint="eastAsia" w:ascii="宋体" w:hAnsi="宋体" w:eastAsia="宋体" w:cs="宋体"/>
          <w:color w:val="auto"/>
          <w:spacing w:val="-7"/>
          <w:position w:val="29"/>
          <w:sz w:val="28"/>
          <w:szCs w:val="28"/>
          <w:highlight w:val="none"/>
          <w14:textOutline w14:w="5103" w14:cap="sq" w14:cmpd="sng">
            <w14:solidFill>
              <w14:srgbClr w14:val="000000"/>
            </w14:solidFill>
            <w14:prstDash w14:val="solid"/>
            <w14:bevel/>
          </w14:textOutline>
        </w:rPr>
        <w:t>清单”和“环境标志</w:t>
      </w:r>
    </w:p>
    <w:p w14:paraId="76E2931A">
      <w:pPr>
        <w:spacing w:line="223" w:lineRule="auto"/>
        <w:ind w:left="2853"/>
        <w:rPr>
          <w:rFonts w:hint="eastAsia" w:ascii="宋体" w:hAnsi="宋体" w:eastAsia="宋体" w:cs="宋体"/>
          <w:color w:val="auto"/>
          <w:sz w:val="28"/>
          <w:szCs w:val="28"/>
          <w:highlight w:val="none"/>
        </w:rPr>
      </w:pPr>
      <w:r>
        <w:rPr>
          <w:rFonts w:hint="eastAsia" w:ascii="宋体" w:hAnsi="宋体" w:eastAsia="宋体" w:cs="宋体"/>
          <w:color w:val="auto"/>
          <w:spacing w:val="-17"/>
          <w:sz w:val="28"/>
          <w:szCs w:val="28"/>
          <w:highlight w:val="none"/>
          <w14:textOutline w14:w="5103" w14:cap="sq" w14:cmpd="sng">
            <w14:solidFill>
              <w14:srgbClr w14:val="000000"/>
            </w14:solidFill>
            <w14:prstDash w14:val="solid"/>
            <w14:bevel/>
          </w14:textOutline>
        </w:rPr>
        <w:t>产品政府采购清单”</w:t>
      </w:r>
      <w:r>
        <w:rPr>
          <w:rFonts w:hint="eastAsia" w:ascii="宋体" w:hAnsi="宋体" w:cs="宋体"/>
          <w:color w:val="auto"/>
          <w:spacing w:val="-17"/>
          <w:sz w:val="28"/>
          <w:szCs w:val="28"/>
          <w:highlight w:val="none"/>
          <w:lang w:eastAsia="zh-CN"/>
          <w14:textOutline w14:w="5103" w14:cap="sq" w14:cmpd="sng">
            <w14:solidFill>
              <w14:srgbClr w14:val="000000"/>
            </w14:solidFill>
            <w14:prstDash w14:val="solid"/>
            <w14:bevel/>
          </w14:textOutline>
        </w:rPr>
        <w:t>（</w:t>
      </w:r>
      <w:r>
        <w:rPr>
          <w:rFonts w:hint="eastAsia" w:ascii="宋体" w:hAnsi="宋体" w:eastAsia="宋体" w:cs="宋体"/>
          <w:color w:val="auto"/>
          <w:spacing w:val="-17"/>
          <w:sz w:val="28"/>
          <w:szCs w:val="28"/>
          <w:highlight w:val="none"/>
          <w14:textOutline w14:w="5103" w14:cap="sq" w14:cmpd="sng">
            <w14:solidFill>
              <w14:srgbClr w14:val="000000"/>
            </w14:solidFill>
            <w14:prstDash w14:val="solid"/>
            <w14:bevel/>
          </w14:textOutline>
        </w:rPr>
        <w:t>如有</w:t>
      </w:r>
      <w:r>
        <w:rPr>
          <w:rFonts w:hint="eastAsia" w:ascii="宋体" w:hAnsi="宋体" w:cs="宋体"/>
          <w:color w:val="auto"/>
          <w:spacing w:val="-17"/>
          <w:sz w:val="28"/>
          <w:szCs w:val="28"/>
          <w:highlight w:val="none"/>
          <w:lang w:eastAsia="zh-CN"/>
          <w14:textOutline w14:w="5103" w14:cap="sq" w14:cmpd="sng">
            <w14:solidFill>
              <w14:srgbClr w14:val="000000"/>
            </w14:solidFill>
            <w14:prstDash w14:val="solid"/>
            <w14:bevel/>
          </w14:textOutline>
        </w:rPr>
        <w:t>）</w:t>
      </w:r>
    </w:p>
    <w:p w14:paraId="0038357E">
      <w:pPr>
        <w:spacing w:line="279" w:lineRule="auto"/>
        <w:rPr>
          <w:rFonts w:hint="eastAsia" w:ascii="宋体" w:hAnsi="宋体" w:eastAsia="宋体" w:cs="宋体"/>
          <w:color w:val="auto"/>
          <w:sz w:val="21"/>
          <w:highlight w:val="none"/>
        </w:rPr>
      </w:pPr>
    </w:p>
    <w:p w14:paraId="7D6517F2">
      <w:pPr>
        <w:spacing w:line="279" w:lineRule="auto"/>
        <w:rPr>
          <w:rFonts w:hint="eastAsia" w:ascii="宋体" w:hAnsi="宋体" w:eastAsia="宋体" w:cs="宋体"/>
          <w:color w:val="auto"/>
          <w:sz w:val="21"/>
          <w:highlight w:val="none"/>
        </w:rPr>
      </w:pPr>
    </w:p>
    <w:p w14:paraId="6C5F7527">
      <w:pPr>
        <w:spacing w:before="71" w:line="410" w:lineRule="auto"/>
        <w:ind w:left="3" w:firstLine="493"/>
        <w:jc w:val="both"/>
        <w:rPr>
          <w:rFonts w:hint="eastAsia" w:ascii="宋体" w:hAnsi="宋体" w:eastAsia="宋体" w:cs="宋体"/>
          <w:color w:val="auto"/>
          <w:spacing w:val="19"/>
          <w:sz w:val="24"/>
          <w:szCs w:val="24"/>
          <w:highlight w:val="none"/>
          <w:lang w:eastAsia="zh-CN"/>
        </w:rPr>
      </w:pPr>
      <w:r>
        <w:rPr>
          <w:rFonts w:hint="eastAsia" w:ascii="宋体" w:hAnsi="宋体" w:eastAsia="宋体" w:cs="宋体"/>
          <w:color w:val="auto"/>
          <w:spacing w:val="19"/>
          <w:sz w:val="24"/>
          <w:szCs w:val="24"/>
          <w:highlight w:val="none"/>
        </w:rPr>
        <w:t>注：供应商所投产品在《中国政府采购网》最新颁</w:t>
      </w:r>
      <w:r>
        <w:rPr>
          <w:rFonts w:hint="eastAsia" w:ascii="宋体" w:hAnsi="宋体" w:cs="宋体"/>
          <w:color w:val="auto"/>
          <w:spacing w:val="19"/>
          <w:sz w:val="24"/>
          <w:szCs w:val="24"/>
          <w:highlight w:val="none"/>
          <w:lang w:eastAsia="zh-CN"/>
        </w:rPr>
        <w:t>布的</w:t>
      </w:r>
      <w:r>
        <w:rPr>
          <w:rFonts w:hint="eastAsia" w:ascii="宋体" w:hAnsi="宋体" w:eastAsia="宋体" w:cs="宋体"/>
          <w:color w:val="auto"/>
          <w:spacing w:val="19"/>
          <w:sz w:val="24"/>
          <w:szCs w:val="24"/>
          <w:highlight w:val="none"/>
        </w:rPr>
        <w:t>“节能产品政府采购清单”和“环境标志产品政府采购清单”中的，有则提供复印件，没有不提供</w:t>
      </w:r>
      <w:r>
        <w:rPr>
          <w:rFonts w:hint="eastAsia" w:ascii="宋体" w:hAnsi="宋体" w:eastAsia="宋体" w:cs="宋体"/>
          <w:color w:val="auto"/>
          <w:spacing w:val="19"/>
          <w:sz w:val="24"/>
          <w:szCs w:val="24"/>
          <w:highlight w:val="none"/>
          <w:lang w:eastAsia="zh-CN"/>
        </w:rPr>
        <w:t>。</w:t>
      </w:r>
    </w:p>
    <w:p w14:paraId="10969152">
      <w:pPr>
        <w:spacing w:line="256" w:lineRule="auto"/>
        <w:rPr>
          <w:rFonts w:hint="eastAsia" w:ascii="宋体" w:hAnsi="宋体" w:eastAsia="宋体" w:cs="宋体"/>
          <w:color w:val="auto"/>
          <w:sz w:val="24"/>
          <w:szCs w:val="24"/>
          <w:highlight w:val="none"/>
        </w:rPr>
      </w:pPr>
    </w:p>
    <w:p w14:paraId="52CDB5D3">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12CD9DF5">
      <w:pPr>
        <w:spacing w:before="91" w:line="234" w:lineRule="auto"/>
        <w:ind w:left="32"/>
        <w:rPr>
          <w:rFonts w:hint="eastAsia" w:ascii="宋体" w:hAnsi="宋体" w:eastAsia="宋体" w:cs="宋体"/>
          <w:color w:val="auto"/>
          <w:sz w:val="28"/>
          <w:szCs w:val="28"/>
          <w:highlight w:val="none"/>
        </w:rPr>
      </w:pPr>
      <w:r>
        <w:rPr>
          <w:rFonts w:hint="eastAsia" w:ascii="宋体" w:hAnsi="宋体" w:eastAsia="宋体" w:cs="宋体"/>
          <w:color w:val="auto"/>
          <w:spacing w:val="-3"/>
          <w:sz w:val="28"/>
          <w:szCs w:val="28"/>
          <w:highlight w:val="none"/>
          <w14:textOutline w14:w="5266" w14:cap="sq" w14:cmpd="sng">
            <w14:solidFill>
              <w14:srgbClr w14:val="000000"/>
            </w14:solidFill>
            <w14:prstDash w14:val="solid"/>
            <w14:bevel/>
          </w14:textOutline>
        </w:rPr>
        <w:t>附件</w:t>
      </w:r>
      <w:r>
        <w:rPr>
          <w:rFonts w:hint="eastAsia" w:ascii="宋体" w:hAnsi="宋体" w:eastAsia="宋体" w:cs="宋体"/>
          <w:color w:val="auto"/>
          <w:spacing w:val="-3"/>
          <w:sz w:val="28"/>
          <w:szCs w:val="28"/>
          <w:highlight w:val="none"/>
          <w:lang w:val="en-US" w:eastAsia="zh-CN"/>
        </w:rPr>
        <w:t>4</w:t>
      </w:r>
      <w:r>
        <w:rPr>
          <w:rFonts w:hint="eastAsia" w:ascii="宋体" w:hAnsi="宋体" w:eastAsia="宋体" w:cs="宋体"/>
          <w:color w:val="auto"/>
          <w:spacing w:val="-3"/>
          <w:sz w:val="28"/>
          <w:szCs w:val="28"/>
          <w:highlight w:val="none"/>
          <w14:textOutline w14:w="5266" w14:cap="sq" w14:cmpd="sng">
            <w14:solidFill>
              <w14:srgbClr w14:val="000000"/>
            </w14:solidFill>
            <w14:prstDash w14:val="solid"/>
            <w14:bevel/>
          </w14:textOutline>
        </w:rPr>
        <w:t>：</w:t>
      </w:r>
    </w:p>
    <w:p w14:paraId="00DC05C8">
      <w:pPr>
        <w:spacing w:before="111" w:line="231" w:lineRule="auto"/>
        <w:ind w:left="2030"/>
        <w:rPr>
          <w:rFonts w:hint="eastAsia" w:ascii="宋体" w:hAnsi="宋体" w:eastAsia="宋体" w:cs="宋体"/>
          <w:color w:val="auto"/>
          <w:spacing w:val="11"/>
          <w:sz w:val="34"/>
          <w:szCs w:val="34"/>
          <w:highlight w:val="none"/>
          <w14:textOutline w14:w="6356" w14:cap="sq" w14:cmpd="sng">
            <w14:solidFill>
              <w14:srgbClr w14:val="000000"/>
            </w14:solidFill>
            <w14:prstDash w14:val="solid"/>
            <w14:bevel/>
          </w14:textOutline>
        </w:rPr>
      </w:pPr>
      <w:r>
        <w:rPr>
          <w:rFonts w:hint="eastAsia" w:ascii="宋体" w:hAnsi="宋体" w:eastAsia="宋体" w:cs="宋体"/>
          <w:color w:val="auto"/>
          <w:spacing w:val="11"/>
          <w:sz w:val="34"/>
          <w:szCs w:val="34"/>
          <w:highlight w:val="none"/>
          <w:lang w:val="en-US" w:eastAsia="zh-CN"/>
          <w14:textOutline w14:w="6356" w14:cap="sq" w14:cmpd="sng">
            <w14:solidFill>
              <w14:srgbClr w14:val="000000"/>
            </w14:solidFill>
            <w14:prstDash w14:val="solid"/>
            <w14:bevel/>
          </w14:textOutline>
        </w:rPr>
        <w:t xml:space="preserve">关于符合本国产品标准的声明函 </w:t>
      </w:r>
    </w:p>
    <w:p w14:paraId="31B9D9D2">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560" w:lineRule="atLeast"/>
        <w:ind w:left="0" w:right="0" w:firstLine="420"/>
        <w:textAlignment w:val="baseline"/>
        <w:rPr>
          <w:rFonts w:hint="eastAsia" w:ascii="宋体" w:hAnsi="宋体" w:eastAsia="宋体" w:cs="宋体"/>
          <w:i w:val="0"/>
          <w:iCs w:val="0"/>
          <w:caps w:val="0"/>
          <w:color w:val="auto"/>
          <w:spacing w:val="0"/>
          <w:sz w:val="28"/>
          <w:szCs w:val="28"/>
          <w:shd w:val="clear" w:fill="FFFFFF"/>
          <w:vertAlign w:val="baseline"/>
        </w:rPr>
      </w:pPr>
    </w:p>
    <w:p w14:paraId="4E75BBC7">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560" w:lineRule="atLeast"/>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51112A5B">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560" w:lineRule="atLeast"/>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1.（产品名称1）1，生产厂为（厂名）2，厂址为（生产厂址）。（产品名称1）的中国境内生产的组件成本占比≥（规定比例）3</w:t>
      </w:r>
      <w:r>
        <w:rPr>
          <w:rFonts w:hint="eastAsia" w:cs="宋体"/>
          <w:i w:val="0"/>
          <w:iCs w:val="0"/>
          <w:caps w:val="0"/>
          <w:color w:val="auto"/>
          <w:spacing w:val="0"/>
          <w:sz w:val="24"/>
          <w:szCs w:val="24"/>
          <w:shd w:val="clear" w:fill="FFFFFF"/>
          <w:vertAlign w:val="baseline"/>
          <w:lang w:eastAsia="zh-CN"/>
        </w:rPr>
        <w:t>，</w:t>
      </w:r>
      <w:r>
        <w:rPr>
          <w:rFonts w:hint="eastAsia" w:ascii="宋体" w:hAnsi="宋体" w:eastAsia="宋体" w:cs="宋体"/>
          <w:i w:val="0"/>
          <w:iCs w:val="0"/>
          <w:caps w:val="0"/>
          <w:color w:val="auto"/>
          <w:spacing w:val="0"/>
          <w:sz w:val="24"/>
          <w:szCs w:val="24"/>
          <w:shd w:val="clear" w:fill="FFFFFF"/>
          <w:vertAlign w:val="baseline"/>
        </w:rPr>
        <w:t>（产品名称1）的（关键组件）4在中国境内生产。（产品名称1）的（关键工序）5在中国境内完成。</w:t>
      </w:r>
    </w:p>
    <w:p w14:paraId="24601250">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560" w:lineRule="atLeast"/>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产品名称2），生产厂为（厂名），厂址为（生产厂址）。（产品名称2）的中国境内生产的组件成本占比≥（规定比例）。（产品名称2）的（关键组件）在中国境内生产。（产品名称2）的（关键工序）在中国境内完成。</w:t>
      </w:r>
    </w:p>
    <w:p w14:paraId="7A2C8887">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560" w:lineRule="atLeast"/>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w:t>
      </w:r>
    </w:p>
    <w:p w14:paraId="4207388D">
      <w:pPr>
        <w:pStyle w:val="1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4" w:beforeAutospacing="0" w:after="24" w:afterAutospacing="0" w:line="560" w:lineRule="atLeast"/>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本公司（单位）对上述声明内容的真实性负责。如有虚假，愿承担相应法律责任。</w:t>
      </w:r>
    </w:p>
    <w:p w14:paraId="2061FF2B">
      <w:pPr>
        <w:keepNext w:val="0"/>
        <w:keepLines w:val="0"/>
        <w:widowControl/>
        <w:suppressLineNumbers w:val="0"/>
        <w:jc w:val="right"/>
        <w:rPr>
          <w:rFonts w:hint="eastAsia" w:ascii="宋体" w:hAnsi="宋体" w:eastAsia="宋体" w:cs="宋体"/>
          <w:color w:val="auto"/>
          <w:kern w:val="0"/>
          <w:sz w:val="24"/>
          <w:szCs w:val="24"/>
          <w:lang w:val="en-US" w:eastAsia="zh-CN" w:bidi="ar"/>
        </w:rPr>
      </w:pPr>
    </w:p>
    <w:p w14:paraId="6C6A7A76">
      <w:pPr>
        <w:keepNext w:val="0"/>
        <w:keepLines w:val="0"/>
        <w:widowControl/>
        <w:suppressLineNumbers w:val="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公司（单位）名称（盖章）： </w:t>
      </w:r>
    </w:p>
    <w:p w14:paraId="5602219B">
      <w:pPr>
        <w:keepNext w:val="0"/>
        <w:keepLines w:val="0"/>
        <w:widowControl/>
        <w:suppressLineNumbers w:val="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 xml:space="preserve">                                 </w:t>
      </w:r>
    </w:p>
    <w:p w14:paraId="5EE7B47C">
      <w:pPr>
        <w:keepNext w:val="0"/>
        <w:keepLines w:val="0"/>
        <w:widowControl/>
        <w:suppressLineNumbers w:val="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                                  日期： 年 月 日 </w:t>
      </w:r>
    </w:p>
    <w:p w14:paraId="47B555E1">
      <w:pPr>
        <w:keepNext w:val="0"/>
        <w:keepLines w:val="0"/>
        <w:widowControl/>
        <w:suppressLineNumbers w:val="0"/>
        <w:jc w:val="left"/>
        <w:rPr>
          <w:rFonts w:hint="eastAsia" w:ascii="宋体" w:hAnsi="宋体" w:eastAsia="宋体" w:cs="宋体"/>
          <w:color w:val="auto"/>
          <w:kern w:val="0"/>
          <w:sz w:val="24"/>
          <w:szCs w:val="24"/>
          <w:lang w:val="en-US" w:eastAsia="zh-CN" w:bidi="ar"/>
        </w:rPr>
      </w:pPr>
    </w:p>
    <w:p w14:paraId="58B69297">
      <w:pPr>
        <w:keepNext w:val="0"/>
        <w:keepLines w:val="0"/>
        <w:widowControl/>
        <w:suppressLineNumbers w:val="0"/>
        <w:jc w:val="left"/>
        <w:rPr>
          <w:rFonts w:hint="eastAsia" w:ascii="宋体" w:hAnsi="宋体" w:eastAsia="宋体" w:cs="宋体"/>
          <w:color w:val="auto"/>
          <w:kern w:val="0"/>
          <w:sz w:val="24"/>
          <w:szCs w:val="24"/>
          <w:lang w:val="en-US" w:eastAsia="zh-CN" w:bidi="ar"/>
        </w:rPr>
      </w:pPr>
    </w:p>
    <w:p w14:paraId="646EF815">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1.产品如有型号，请在“产品名称”栏一并填写。 </w:t>
      </w:r>
    </w:p>
    <w:p w14:paraId="04B82CD0">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2.生产厂名与厂址应与生产厂营业执照载明的相关信息保持一致。 </w:t>
      </w:r>
    </w:p>
    <w:p w14:paraId="5FBB7172">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3.该产品的中国境内生产的组件成本占比相关要求实施前，“规定比例”栏 </w:t>
      </w:r>
    </w:p>
    <w:p w14:paraId="38EF0223">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可不填，下同。 </w:t>
      </w:r>
    </w:p>
    <w:p w14:paraId="07640A80">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4.该产品的关键组件要求实施前，“关键组件”栏可不填，下同。 </w:t>
      </w:r>
    </w:p>
    <w:p w14:paraId="19C29792">
      <w:pPr>
        <w:keepNext w:val="0"/>
        <w:keepLines w:val="0"/>
        <w:widowControl/>
        <w:suppressLineNumbers w:val="0"/>
        <w:spacing w:line="360" w:lineRule="auto"/>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 xml:space="preserve">5.该产品的关键工序要求实施前，“关键工序”栏可不填，下同。 </w:t>
      </w:r>
    </w:p>
    <w:p w14:paraId="28337B5D">
      <w:pPr>
        <w:keepNext w:val="0"/>
        <w:keepLines w:val="0"/>
        <w:widowControl/>
        <w:suppressLineNumbers w:val="0"/>
        <w:spacing w:line="360" w:lineRule="auto"/>
        <w:jc w:val="left"/>
        <w:rPr>
          <w:rFonts w:hint="eastAsia" w:ascii="宋体" w:hAnsi="宋体" w:eastAsia="宋体" w:cs="宋体"/>
          <w:b/>
          <w:bCs/>
          <w:color w:val="auto"/>
          <w:kern w:val="0"/>
          <w:sz w:val="24"/>
          <w:szCs w:val="24"/>
          <w:lang w:val="en-US" w:eastAsia="zh-CN" w:bidi="ar"/>
        </w:rPr>
      </w:pPr>
    </w:p>
    <w:p w14:paraId="5BA96D63">
      <w:pPr>
        <w:keepNext w:val="0"/>
        <w:keepLines w:val="0"/>
        <w:widowControl/>
        <w:suppressLineNumbers w:val="0"/>
        <w:jc w:val="left"/>
        <w:rPr>
          <w:rFonts w:hint="eastAsia" w:ascii="宋体" w:hAnsi="宋体" w:eastAsia="宋体" w:cs="宋体"/>
          <w:color w:val="auto"/>
        </w:rPr>
      </w:pPr>
      <w:r>
        <w:rPr>
          <w:rFonts w:hint="eastAsia" w:ascii="宋体" w:hAnsi="宋体" w:eastAsia="宋体" w:cs="宋体"/>
          <w:b/>
          <w:bCs/>
          <w:color w:val="auto"/>
          <w:kern w:val="0"/>
          <w:sz w:val="24"/>
          <w:szCs w:val="24"/>
          <w:lang w:val="en-US" w:eastAsia="zh-CN" w:bidi="ar"/>
        </w:rPr>
        <w:t xml:space="preserve">注：产品在中国境内生产的组件成本，按照《中国境内生产的组件成本核算基 </w:t>
      </w:r>
    </w:p>
    <w:p w14:paraId="502A1BE8">
      <w:pPr>
        <w:keepNext w:val="0"/>
        <w:keepLines w:val="0"/>
        <w:widowControl/>
        <w:suppressLineNumbers w:val="0"/>
        <w:jc w:val="left"/>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本规则》计算。</w:t>
      </w:r>
    </w:p>
    <w:p w14:paraId="59416407">
      <w:pPr>
        <w:rPr>
          <w:rFonts w:hint="eastAsia" w:ascii="宋体" w:hAnsi="宋体" w:eastAsia="宋体" w:cs="宋体"/>
          <w:b/>
          <w:bCs/>
          <w:color w:val="auto"/>
          <w:kern w:val="0"/>
          <w:sz w:val="24"/>
          <w:szCs w:val="24"/>
          <w:lang w:val="en-US" w:eastAsia="zh-CN" w:bidi="ar"/>
        </w:rPr>
      </w:pPr>
    </w:p>
    <w:p w14:paraId="6755DDC3">
      <w:pPr>
        <w:keepNext w:val="0"/>
        <w:keepLines w:val="0"/>
        <w:widowControl/>
        <w:suppressLineNumbers w:val="0"/>
        <w:ind w:firstLine="1245" w:firstLineChars="400"/>
        <w:jc w:val="left"/>
        <w:rPr>
          <w:rFonts w:hint="eastAsia" w:ascii="宋体" w:hAnsi="宋体" w:eastAsia="宋体" w:cs="宋体"/>
          <w:color w:val="auto"/>
        </w:rPr>
      </w:pPr>
      <w:r>
        <w:rPr>
          <w:rFonts w:hint="eastAsia" w:ascii="宋体" w:hAnsi="宋体" w:eastAsia="宋体" w:cs="宋体"/>
          <w:b/>
          <w:bCs/>
          <w:color w:val="auto"/>
          <w:kern w:val="0"/>
          <w:sz w:val="31"/>
          <w:szCs w:val="31"/>
          <w:lang w:val="en-US" w:eastAsia="zh-CN" w:bidi="ar"/>
        </w:rPr>
        <w:t xml:space="preserve">中国境内生产的组件成本核算基本规则 </w:t>
      </w:r>
    </w:p>
    <w:p w14:paraId="14A177B4">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p>
    <w:p w14:paraId="118A633C">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产品在中国境内生产的组件成本，一般按照其二级组件的相关成本进行核 </w:t>
      </w:r>
    </w:p>
    <w:p w14:paraId="16FBCCF4">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算。按照产品的一级组件进行成本核算能够满足中国境内生产的组件成本判定 </w:t>
      </w:r>
    </w:p>
    <w:p w14:paraId="5DB15101">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需求的，可以按照一级组件的相关成本进行核算。 </w:t>
      </w:r>
    </w:p>
    <w:p w14:paraId="7D43C152">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一、产品的一级组件是指直接组成产品的组件。产品的二级组件是指直接 </w:t>
      </w:r>
    </w:p>
    <w:p w14:paraId="76178B59">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组成产品一级组件的组件。一级组件不可分解的，视同二级组件。 </w:t>
      </w:r>
    </w:p>
    <w:p w14:paraId="396D6949">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二、二级组件在中国境内生产的，其全部成本计入中国境内生产的组件成 </w:t>
      </w:r>
    </w:p>
    <w:p w14:paraId="14F021D6">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本；二级组件不在中国境内生产的，其成本不计入中国境内生产的组件成本。 </w:t>
      </w:r>
    </w:p>
    <w:p w14:paraId="4189894F">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三、产品总成本和组件成本</w:t>
      </w:r>
      <w:r>
        <w:rPr>
          <w:rFonts w:hint="eastAsia" w:ascii="宋体" w:hAnsi="宋体" w:cs="宋体"/>
          <w:i w:val="0"/>
          <w:iCs w:val="0"/>
          <w:caps w:val="0"/>
          <w:color w:val="auto"/>
          <w:spacing w:val="0"/>
          <w:kern w:val="0"/>
          <w:sz w:val="24"/>
          <w:szCs w:val="24"/>
          <w:shd w:val="clear" w:fill="FFFFFF"/>
          <w:vertAlign w:val="baseline"/>
          <w:lang w:val="en-US" w:eastAsia="zh-CN" w:bidi="ar-SA"/>
        </w:rPr>
        <w:t>以及</w:t>
      </w: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相关会计核算数据、采购合同、进货记录等 </w:t>
      </w:r>
    </w:p>
    <w:p w14:paraId="5DD8EC3A">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为基础进行计算。 </w:t>
      </w:r>
    </w:p>
    <w:p w14:paraId="08D4A5BD">
      <w:pPr>
        <w:keepNext w:val="0"/>
        <w:keepLines w:val="0"/>
        <w:widowControl/>
        <w:suppressLineNumbers w:val="0"/>
        <w:spacing w:line="360" w:lineRule="auto"/>
        <w:ind w:firstLine="480" w:firstLineChars="200"/>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四、需要对成本核算规则予以进一步明确的其他有关事项，由财政部会同 </w:t>
      </w:r>
    </w:p>
    <w:p w14:paraId="005BA6E9">
      <w:pPr>
        <w:keepNext w:val="0"/>
        <w:keepLines w:val="0"/>
        <w:widowControl/>
        <w:suppressLineNumbers w:val="0"/>
        <w:spacing w:line="360" w:lineRule="auto"/>
        <w:jc w:val="left"/>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color w:val="auto"/>
          <w:spacing w:val="0"/>
          <w:kern w:val="0"/>
          <w:sz w:val="24"/>
          <w:szCs w:val="24"/>
          <w:shd w:val="clear" w:fill="FFFFFF"/>
          <w:vertAlign w:val="baseline"/>
          <w:lang w:val="en-US" w:eastAsia="zh-CN" w:bidi="ar-SA"/>
        </w:rPr>
        <w:t xml:space="preserve">有关部门另行规定。 </w:t>
      </w:r>
    </w:p>
    <w:p w14:paraId="262C8EF1">
      <w:pPr>
        <w:spacing w:line="360" w:lineRule="auto"/>
        <w:rPr>
          <w:rFonts w:hint="eastAsia" w:ascii="宋体" w:hAnsi="宋体" w:eastAsia="宋体" w:cs="宋体"/>
          <w:i w:val="0"/>
          <w:iCs w:val="0"/>
          <w:caps w:val="0"/>
          <w:color w:val="auto"/>
          <w:spacing w:val="0"/>
          <w:kern w:val="0"/>
          <w:sz w:val="24"/>
          <w:szCs w:val="24"/>
          <w:shd w:val="clear" w:fill="FFFFFF"/>
          <w:vertAlign w:val="baseline"/>
          <w:lang w:val="en-US" w:eastAsia="zh-CN" w:bidi="ar-SA"/>
        </w:rPr>
      </w:pPr>
    </w:p>
    <w:sectPr>
      <w:footerReference r:id="rId10" w:type="first"/>
      <w:headerReference r:id="rId8" w:type="default"/>
      <w:footerReference r:id="rId9" w:type="default"/>
      <w:pgSz w:w="11906" w:h="16838"/>
      <w:pgMar w:top="1418" w:right="1361" w:bottom="1304" w:left="1474" w:header="851" w:footer="992" w:gutter="340"/>
      <w:pgBorders>
        <w:top w:val="none" w:sz="0" w:space="0"/>
        <w:left w:val="none" w:sz="0" w:space="0"/>
        <w:bottom w:val="none" w:sz="0" w:space="0"/>
        <w:right w:val="none" w:sz="0" w:space="0"/>
      </w:pgBorders>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70D9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1B7C13">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B1B7C13">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11188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EE636F">
                          <w:pPr>
                            <w:pStyle w:val="11"/>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DEE636F">
                    <w:pPr>
                      <w:pStyle w:val="11"/>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22900">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4BDF37">
                          <w:pPr>
                            <w:pStyle w:val="11"/>
                          </w:pPr>
                          <w:r>
                            <w:fldChar w:fldCharType="begin"/>
                          </w:r>
                          <w:r>
                            <w:instrText xml:space="preserve"> PAGE  \* MERGEFORMAT </w:instrText>
                          </w:r>
                          <w:r>
                            <w:fldChar w:fldCharType="separate"/>
                          </w:r>
                          <w:r>
                            <w:t>- 30 -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44BDF37">
                    <w:pPr>
                      <w:pStyle w:val="11"/>
                    </w:pPr>
                    <w:r>
                      <w:fldChar w:fldCharType="begin"/>
                    </w:r>
                    <w:r>
                      <w:instrText xml:space="preserve"> PAGE  \* MERGEFORMAT </w:instrText>
                    </w:r>
                    <w:r>
                      <w:fldChar w:fldCharType="separate"/>
                    </w:r>
                    <w:r>
                      <w:t>- 30 -</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9DB09">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964FC7">
                          <w:pPr>
                            <w:pStyle w:val="11"/>
                          </w:pPr>
                          <w:r>
                            <w:fldChar w:fldCharType="begin"/>
                          </w:r>
                          <w:r>
                            <w:instrText xml:space="preserve"> PAGE  \* MERGEFORMAT </w:instrText>
                          </w:r>
                          <w:r>
                            <w:fldChar w:fldCharType="separate"/>
                          </w:r>
                          <w:r>
                            <w:t>- 71 -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B964FC7">
                    <w:pPr>
                      <w:pStyle w:val="11"/>
                    </w:pPr>
                    <w:r>
                      <w:fldChar w:fldCharType="begin"/>
                    </w:r>
                    <w:r>
                      <w:instrText xml:space="preserve"> PAGE  \* MERGEFORMAT </w:instrText>
                    </w:r>
                    <w:r>
                      <w:fldChar w:fldCharType="separate"/>
                    </w:r>
                    <w:r>
                      <w:t>- 71 -</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E73A4">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159D07">
                          <w:pPr>
                            <w:pStyle w:val="11"/>
                          </w:pPr>
                          <w:r>
                            <w:fldChar w:fldCharType="begin"/>
                          </w:r>
                          <w:r>
                            <w:instrText xml:space="preserve"> PAGE  \* MERGEFORMAT </w:instrText>
                          </w:r>
                          <w:r>
                            <w:fldChar w:fldCharType="separate"/>
                          </w:r>
                          <w:r>
                            <w:t>- 70 -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2159D07">
                    <w:pPr>
                      <w:pStyle w:val="11"/>
                    </w:pPr>
                    <w:r>
                      <w:fldChar w:fldCharType="begin"/>
                    </w:r>
                    <w:r>
                      <w:instrText xml:space="preserve"> PAGE  \* MERGEFORMAT </w:instrText>
                    </w:r>
                    <w:r>
                      <w:fldChar w:fldCharType="separate"/>
                    </w:r>
                    <w:r>
                      <w:t>- 70 -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338B3">
    <w:pPr>
      <w:pStyle w:val="12"/>
    </w:pPr>
  </w:p>
  <w:p w14:paraId="0E2FD5B3">
    <w:pPr>
      <w:pStyle w:val="12"/>
    </w:pPr>
  </w:p>
  <w:p w14:paraId="4FFC167C">
    <w:pPr>
      <w:pStyle w:val="12"/>
    </w:pPr>
  </w:p>
  <w:p w14:paraId="438F07FC">
    <w:pPr>
      <w:pStyle w:val="12"/>
    </w:pPr>
  </w:p>
  <w:p w14:paraId="295A81C7">
    <w:pPr>
      <w:pStyle w:val="1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85DF1B">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86521">
    <w:pPr>
      <w:spacing w:line="10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B513A1F"/>
    <w:multiLevelType w:val="multilevel"/>
    <w:tmpl w:val="9B513A1F"/>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A168E7CC"/>
    <w:multiLevelType w:val="singleLevel"/>
    <w:tmpl w:val="A168E7CC"/>
    <w:lvl w:ilvl="0" w:tentative="0">
      <w:start w:val="4"/>
      <w:numFmt w:val="chineseCounting"/>
      <w:suff w:val="space"/>
      <w:lvlText w:val="第%1部分"/>
      <w:lvlJc w:val="left"/>
      <w:rPr>
        <w:rFonts w:hint="eastAsia"/>
      </w:rPr>
    </w:lvl>
  </w:abstractNum>
  <w:abstractNum w:abstractNumId="2">
    <w:nsid w:val="A812424F"/>
    <w:multiLevelType w:val="multilevel"/>
    <w:tmpl w:val="A812424F"/>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A97BB4E3"/>
    <w:multiLevelType w:val="singleLevel"/>
    <w:tmpl w:val="A97BB4E3"/>
    <w:lvl w:ilvl="0" w:tentative="0">
      <w:start w:val="1"/>
      <w:numFmt w:val="chineseCounting"/>
      <w:suff w:val="space"/>
      <w:lvlText w:val="（%1）"/>
      <w:lvlJc w:val="left"/>
      <w:rPr>
        <w:rFonts w:hint="eastAsia"/>
      </w:rPr>
    </w:lvl>
  </w:abstractNum>
  <w:abstractNum w:abstractNumId="4">
    <w:nsid w:val="B892FB2B"/>
    <w:multiLevelType w:val="multilevel"/>
    <w:tmpl w:val="B892FB2B"/>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C6696BA5"/>
    <w:multiLevelType w:val="multilevel"/>
    <w:tmpl w:val="C6696BA5"/>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CF189584"/>
    <w:multiLevelType w:val="singleLevel"/>
    <w:tmpl w:val="CF189584"/>
    <w:lvl w:ilvl="0" w:tentative="0">
      <w:start w:val="1"/>
      <w:numFmt w:val="decimal"/>
      <w:suff w:val="nothing"/>
      <w:lvlText w:val="（%1）"/>
      <w:lvlJc w:val="left"/>
    </w:lvl>
  </w:abstractNum>
  <w:abstractNum w:abstractNumId="7">
    <w:nsid w:val="DE0AFCE8"/>
    <w:multiLevelType w:val="multilevel"/>
    <w:tmpl w:val="DE0AFCE8"/>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E1C4BCCB"/>
    <w:multiLevelType w:val="multilevel"/>
    <w:tmpl w:val="E1C4BCCB"/>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00000000"/>
    <w:multiLevelType w:val="multilevel"/>
    <w:tmpl w:val="00000000"/>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00000001"/>
    <w:multiLevelType w:val="singleLevel"/>
    <w:tmpl w:val="00000001"/>
    <w:lvl w:ilvl="0" w:tentative="0">
      <w:start w:val="1"/>
      <w:numFmt w:val="chineseCounting"/>
      <w:suff w:val="nothing"/>
      <w:lvlText w:val="%1、"/>
      <w:lvlJc w:val="left"/>
      <w:rPr>
        <w:rFonts w:hint="eastAsia"/>
      </w:rPr>
    </w:lvl>
  </w:abstractNum>
  <w:abstractNum w:abstractNumId="11">
    <w:nsid w:val="00000002"/>
    <w:multiLevelType w:val="multilevel"/>
    <w:tmpl w:val="00000002"/>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12">
    <w:nsid w:val="00000003"/>
    <w:multiLevelType w:val="multilevel"/>
    <w:tmpl w:val="00000003"/>
    <w:lvl w:ilvl="0" w:tentative="0">
      <w:start w:val="1"/>
      <w:numFmt w:val="decimal"/>
      <w:suff w:val="nothing"/>
      <w:lvlText w:val="%1．"/>
      <w:lvlJc w:val="left"/>
      <w:pPr>
        <w:ind w:left="-400" w:firstLine="40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3">
    <w:nsid w:val="02626D16"/>
    <w:multiLevelType w:val="multilevel"/>
    <w:tmpl w:val="02626D16"/>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07296DC2"/>
    <w:multiLevelType w:val="multilevel"/>
    <w:tmpl w:val="07296DC2"/>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5">
    <w:nsid w:val="1B1FA76B"/>
    <w:multiLevelType w:val="multilevel"/>
    <w:tmpl w:val="1B1FA76B"/>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287CB24D"/>
    <w:multiLevelType w:val="multilevel"/>
    <w:tmpl w:val="287CB24D"/>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7">
    <w:nsid w:val="495DF148"/>
    <w:multiLevelType w:val="multilevel"/>
    <w:tmpl w:val="495DF148"/>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8">
    <w:nsid w:val="5837F88D"/>
    <w:multiLevelType w:val="multilevel"/>
    <w:tmpl w:val="5837F88D"/>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5A325698"/>
    <w:multiLevelType w:val="multilevel"/>
    <w:tmpl w:val="5A325698"/>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0">
    <w:nsid w:val="5B1DB5FB"/>
    <w:multiLevelType w:val="multilevel"/>
    <w:tmpl w:val="5B1DB5FB"/>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1">
    <w:nsid w:val="65BF4CE1"/>
    <w:multiLevelType w:val="multilevel"/>
    <w:tmpl w:val="65BF4CE1"/>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68F65E30"/>
    <w:multiLevelType w:val="multilevel"/>
    <w:tmpl w:val="68F65E30"/>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3">
    <w:nsid w:val="7E4FC29E"/>
    <w:multiLevelType w:val="multilevel"/>
    <w:tmpl w:val="7E4FC29E"/>
    <w:lvl w:ilvl="0" w:tentative="0">
      <w:start w:val="1"/>
      <w:numFmt w:val="chineseCountingThousand"/>
      <w:lvlText w:val="%1、"/>
      <w:lvlJc w:val="left"/>
      <w:pPr>
        <w:ind w:left="420" w:hanging="420"/>
      </w:pPr>
      <w:rPr>
        <w:sz w:val="21"/>
        <w:szCs w:val="21"/>
      </w:rPr>
    </w:lvl>
    <w:lvl w:ilvl="1" w:tentative="0">
      <w:start w:val="1"/>
      <w:numFmt w:val="decimal"/>
      <w:lvlText w:val="%2."/>
      <w:lvlJc w:val="left"/>
      <w:pPr>
        <w:tabs>
          <w:tab w:val="left" w:pos="644"/>
        </w:tabs>
        <w:ind w:left="644"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3"/>
  </w:num>
  <w:num w:numId="2">
    <w:abstractNumId w:val="6"/>
  </w:num>
  <w:num w:numId="3">
    <w:abstractNumId w:val="1"/>
  </w:num>
  <w:num w:numId="4">
    <w:abstractNumId w:val="12"/>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
  </w:num>
  <w:num w:numId="8">
    <w:abstractNumId w:val="4"/>
  </w:num>
  <w:num w:numId="9">
    <w:abstractNumId w:val="18"/>
  </w:num>
  <w:num w:numId="10">
    <w:abstractNumId w:val="21"/>
  </w:num>
  <w:num w:numId="11">
    <w:abstractNumId w:val="16"/>
  </w:num>
  <w:num w:numId="12">
    <w:abstractNumId w:val="8"/>
  </w:num>
  <w:num w:numId="13">
    <w:abstractNumId w:val="15"/>
  </w:num>
  <w:num w:numId="14">
    <w:abstractNumId w:val="17"/>
  </w:num>
  <w:num w:numId="15">
    <w:abstractNumId w:val="19"/>
  </w:num>
  <w:num w:numId="16">
    <w:abstractNumId w:val="13"/>
  </w:num>
  <w:num w:numId="17">
    <w:abstractNumId w:val="23"/>
  </w:num>
  <w:num w:numId="18">
    <w:abstractNumId w:val="20"/>
  </w:num>
  <w:num w:numId="19">
    <w:abstractNumId w:val="7"/>
  </w:num>
  <w:num w:numId="20">
    <w:abstractNumId w:val="5"/>
  </w:num>
  <w:num w:numId="21">
    <w:abstractNumId w:val="10"/>
  </w:num>
  <w:num w:numId="22">
    <w:abstractNumId w:val="9"/>
  </w:num>
  <w:num w:numId="23">
    <w:abstractNumId w:val="1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4ZjRlMTFmMDBmYmY5YWViYjJlNzcyODE3N2E2MTEifQ=="/>
  </w:docVars>
  <w:rsids>
    <w:rsidRoot w:val="0E6D6D49"/>
    <w:rsid w:val="0136478C"/>
    <w:rsid w:val="018C0E54"/>
    <w:rsid w:val="0206563A"/>
    <w:rsid w:val="021358C1"/>
    <w:rsid w:val="027D0F8C"/>
    <w:rsid w:val="02996D33"/>
    <w:rsid w:val="02CA2D3C"/>
    <w:rsid w:val="039D18E6"/>
    <w:rsid w:val="03BD120C"/>
    <w:rsid w:val="04006109"/>
    <w:rsid w:val="04044322"/>
    <w:rsid w:val="040A684F"/>
    <w:rsid w:val="044B7594"/>
    <w:rsid w:val="04812FB5"/>
    <w:rsid w:val="04C410F4"/>
    <w:rsid w:val="04D07A99"/>
    <w:rsid w:val="04DA35CD"/>
    <w:rsid w:val="05C649F8"/>
    <w:rsid w:val="05D72BD0"/>
    <w:rsid w:val="06020126"/>
    <w:rsid w:val="063E0A32"/>
    <w:rsid w:val="067E3643"/>
    <w:rsid w:val="06AF2F46"/>
    <w:rsid w:val="07122BA3"/>
    <w:rsid w:val="073836D3"/>
    <w:rsid w:val="07D70435"/>
    <w:rsid w:val="07FB6BDB"/>
    <w:rsid w:val="08A23589"/>
    <w:rsid w:val="08E1392C"/>
    <w:rsid w:val="08E677FE"/>
    <w:rsid w:val="091C14FF"/>
    <w:rsid w:val="09536F69"/>
    <w:rsid w:val="09DA6CC4"/>
    <w:rsid w:val="0A9F5D59"/>
    <w:rsid w:val="0AA01CBB"/>
    <w:rsid w:val="0B0E675C"/>
    <w:rsid w:val="0B195C36"/>
    <w:rsid w:val="0B4B5088"/>
    <w:rsid w:val="0B5302F5"/>
    <w:rsid w:val="0B5A42B1"/>
    <w:rsid w:val="0BDF46BB"/>
    <w:rsid w:val="0C823740"/>
    <w:rsid w:val="0C922D96"/>
    <w:rsid w:val="0CAF4196"/>
    <w:rsid w:val="0D501777"/>
    <w:rsid w:val="0D75742F"/>
    <w:rsid w:val="0DC72D2F"/>
    <w:rsid w:val="0DD51AD7"/>
    <w:rsid w:val="0DD561FF"/>
    <w:rsid w:val="0E252C04"/>
    <w:rsid w:val="0E6D6D49"/>
    <w:rsid w:val="0EBB301A"/>
    <w:rsid w:val="0EDD528C"/>
    <w:rsid w:val="0F195A79"/>
    <w:rsid w:val="0FFF7484"/>
    <w:rsid w:val="107728F9"/>
    <w:rsid w:val="116731A8"/>
    <w:rsid w:val="11F12DFD"/>
    <w:rsid w:val="12AD15F9"/>
    <w:rsid w:val="12B130A8"/>
    <w:rsid w:val="13286CF2"/>
    <w:rsid w:val="139511CE"/>
    <w:rsid w:val="13CE3643"/>
    <w:rsid w:val="13D11138"/>
    <w:rsid w:val="14B552A7"/>
    <w:rsid w:val="15915C59"/>
    <w:rsid w:val="15997A33"/>
    <w:rsid w:val="15AE1730"/>
    <w:rsid w:val="162E4116"/>
    <w:rsid w:val="1723320B"/>
    <w:rsid w:val="17291E35"/>
    <w:rsid w:val="175E2CE2"/>
    <w:rsid w:val="185145F5"/>
    <w:rsid w:val="18E65B6A"/>
    <w:rsid w:val="19836A30"/>
    <w:rsid w:val="1990114D"/>
    <w:rsid w:val="19B968F6"/>
    <w:rsid w:val="1A443B02"/>
    <w:rsid w:val="1A8844E0"/>
    <w:rsid w:val="1AB37588"/>
    <w:rsid w:val="1C5648D0"/>
    <w:rsid w:val="1C613338"/>
    <w:rsid w:val="1C6E1C1A"/>
    <w:rsid w:val="1CE26164"/>
    <w:rsid w:val="1D1A0EC9"/>
    <w:rsid w:val="1D96071E"/>
    <w:rsid w:val="1E1C5CA2"/>
    <w:rsid w:val="1EF673B7"/>
    <w:rsid w:val="1F56559A"/>
    <w:rsid w:val="1F737547"/>
    <w:rsid w:val="1FF73CD4"/>
    <w:rsid w:val="20556D26"/>
    <w:rsid w:val="22145011"/>
    <w:rsid w:val="22ED1F1E"/>
    <w:rsid w:val="23183C93"/>
    <w:rsid w:val="2342170A"/>
    <w:rsid w:val="23FB4BF7"/>
    <w:rsid w:val="2428519D"/>
    <w:rsid w:val="24512530"/>
    <w:rsid w:val="24BE3012"/>
    <w:rsid w:val="251B2213"/>
    <w:rsid w:val="257E7947"/>
    <w:rsid w:val="257F27A2"/>
    <w:rsid w:val="25B6018D"/>
    <w:rsid w:val="26B04515"/>
    <w:rsid w:val="26DB60FD"/>
    <w:rsid w:val="26FE7E5E"/>
    <w:rsid w:val="28011B94"/>
    <w:rsid w:val="283C0BCE"/>
    <w:rsid w:val="28894FF8"/>
    <w:rsid w:val="28BC1F5F"/>
    <w:rsid w:val="28D31949"/>
    <w:rsid w:val="28E77A9F"/>
    <w:rsid w:val="29211DC2"/>
    <w:rsid w:val="292D4B55"/>
    <w:rsid w:val="29B42C36"/>
    <w:rsid w:val="2A6E6E8F"/>
    <w:rsid w:val="2A852EF6"/>
    <w:rsid w:val="2CA3146B"/>
    <w:rsid w:val="2CDD3231"/>
    <w:rsid w:val="2D4B38B1"/>
    <w:rsid w:val="2D8A262B"/>
    <w:rsid w:val="2ED46580"/>
    <w:rsid w:val="2EDD7195"/>
    <w:rsid w:val="2F0E13CD"/>
    <w:rsid w:val="308710A4"/>
    <w:rsid w:val="30B40700"/>
    <w:rsid w:val="3120007C"/>
    <w:rsid w:val="32252923"/>
    <w:rsid w:val="32BC3287"/>
    <w:rsid w:val="332630AA"/>
    <w:rsid w:val="33956BAF"/>
    <w:rsid w:val="35043DA8"/>
    <w:rsid w:val="35483FFF"/>
    <w:rsid w:val="35735B23"/>
    <w:rsid w:val="359921C6"/>
    <w:rsid w:val="36056CF3"/>
    <w:rsid w:val="360D204B"/>
    <w:rsid w:val="36857806"/>
    <w:rsid w:val="369F304F"/>
    <w:rsid w:val="36EE59D9"/>
    <w:rsid w:val="372A6B8C"/>
    <w:rsid w:val="37A81B9B"/>
    <w:rsid w:val="380D1E8F"/>
    <w:rsid w:val="38417D8A"/>
    <w:rsid w:val="384358B1"/>
    <w:rsid w:val="389D6705"/>
    <w:rsid w:val="39202096"/>
    <w:rsid w:val="392723F5"/>
    <w:rsid w:val="39475874"/>
    <w:rsid w:val="397C5121"/>
    <w:rsid w:val="39F1694C"/>
    <w:rsid w:val="3A0D6176"/>
    <w:rsid w:val="3A125E82"/>
    <w:rsid w:val="3A914FF9"/>
    <w:rsid w:val="3ABC0741"/>
    <w:rsid w:val="3AE46B83"/>
    <w:rsid w:val="3AEC66D3"/>
    <w:rsid w:val="3B344E5D"/>
    <w:rsid w:val="3B60343F"/>
    <w:rsid w:val="3B783AC3"/>
    <w:rsid w:val="3BC66F24"/>
    <w:rsid w:val="3BD47645"/>
    <w:rsid w:val="3C5F6A31"/>
    <w:rsid w:val="3CEA09F1"/>
    <w:rsid w:val="3D0B738C"/>
    <w:rsid w:val="3DBE5134"/>
    <w:rsid w:val="3DC362E6"/>
    <w:rsid w:val="3E6B6375"/>
    <w:rsid w:val="3E7C38CA"/>
    <w:rsid w:val="3EE15E23"/>
    <w:rsid w:val="3F6D43CA"/>
    <w:rsid w:val="3FAF1A7E"/>
    <w:rsid w:val="3FB377C0"/>
    <w:rsid w:val="4033495A"/>
    <w:rsid w:val="403A1C8F"/>
    <w:rsid w:val="40A952E6"/>
    <w:rsid w:val="40FE2CBD"/>
    <w:rsid w:val="414747BE"/>
    <w:rsid w:val="419101A7"/>
    <w:rsid w:val="41F2672D"/>
    <w:rsid w:val="425012F6"/>
    <w:rsid w:val="427003C2"/>
    <w:rsid w:val="42843695"/>
    <w:rsid w:val="42D127C6"/>
    <w:rsid w:val="42DC5CC8"/>
    <w:rsid w:val="4359242C"/>
    <w:rsid w:val="436F589B"/>
    <w:rsid w:val="43C71A36"/>
    <w:rsid w:val="43F403A7"/>
    <w:rsid w:val="440C3942"/>
    <w:rsid w:val="442944F4"/>
    <w:rsid w:val="445A2900"/>
    <w:rsid w:val="44B10046"/>
    <w:rsid w:val="450D0D63"/>
    <w:rsid w:val="457234CC"/>
    <w:rsid w:val="46325450"/>
    <w:rsid w:val="46667972"/>
    <w:rsid w:val="46AA2F9F"/>
    <w:rsid w:val="46CE1383"/>
    <w:rsid w:val="479E2B03"/>
    <w:rsid w:val="47D228E4"/>
    <w:rsid w:val="47F52016"/>
    <w:rsid w:val="4852063F"/>
    <w:rsid w:val="486B1545"/>
    <w:rsid w:val="48BA4BA1"/>
    <w:rsid w:val="4A0F1A96"/>
    <w:rsid w:val="4A1B668D"/>
    <w:rsid w:val="4A4340C6"/>
    <w:rsid w:val="4AA35A82"/>
    <w:rsid w:val="4AAD3D85"/>
    <w:rsid w:val="4AB34B18"/>
    <w:rsid w:val="4ACB3A3E"/>
    <w:rsid w:val="4B7818BD"/>
    <w:rsid w:val="4B793796"/>
    <w:rsid w:val="4B891912"/>
    <w:rsid w:val="4BEF121D"/>
    <w:rsid w:val="4C2C209C"/>
    <w:rsid w:val="4C3C0B3D"/>
    <w:rsid w:val="4CAF7561"/>
    <w:rsid w:val="4CE511D4"/>
    <w:rsid w:val="4D173A14"/>
    <w:rsid w:val="4D247740"/>
    <w:rsid w:val="4D4A7330"/>
    <w:rsid w:val="4DCF6846"/>
    <w:rsid w:val="4E265601"/>
    <w:rsid w:val="4F42646A"/>
    <w:rsid w:val="4F7715DF"/>
    <w:rsid w:val="4FBF5D0D"/>
    <w:rsid w:val="4FEA6C60"/>
    <w:rsid w:val="500B2D00"/>
    <w:rsid w:val="50265D8C"/>
    <w:rsid w:val="51694182"/>
    <w:rsid w:val="51C4254F"/>
    <w:rsid w:val="52741D6A"/>
    <w:rsid w:val="527728CF"/>
    <w:rsid w:val="52CC1D29"/>
    <w:rsid w:val="52EE6DDD"/>
    <w:rsid w:val="52F442D9"/>
    <w:rsid w:val="5371731E"/>
    <w:rsid w:val="53DF072C"/>
    <w:rsid w:val="549362B3"/>
    <w:rsid w:val="5502034D"/>
    <w:rsid w:val="555667CB"/>
    <w:rsid w:val="566E7EDD"/>
    <w:rsid w:val="56C67981"/>
    <w:rsid w:val="57255445"/>
    <w:rsid w:val="572F6997"/>
    <w:rsid w:val="574B60D8"/>
    <w:rsid w:val="57526519"/>
    <w:rsid w:val="57672F12"/>
    <w:rsid w:val="580524F4"/>
    <w:rsid w:val="5869524C"/>
    <w:rsid w:val="58EC233D"/>
    <w:rsid w:val="5915699E"/>
    <w:rsid w:val="59CD7278"/>
    <w:rsid w:val="5A1E1882"/>
    <w:rsid w:val="5A315A59"/>
    <w:rsid w:val="5AB22199"/>
    <w:rsid w:val="5AEF1651"/>
    <w:rsid w:val="5B1030C1"/>
    <w:rsid w:val="5B8426D9"/>
    <w:rsid w:val="5BAD7BA6"/>
    <w:rsid w:val="5C8F6A67"/>
    <w:rsid w:val="5CFA4828"/>
    <w:rsid w:val="5D3715D8"/>
    <w:rsid w:val="5D635F29"/>
    <w:rsid w:val="5D704AEA"/>
    <w:rsid w:val="5D9500AD"/>
    <w:rsid w:val="5E59732C"/>
    <w:rsid w:val="5E8B242D"/>
    <w:rsid w:val="5EC52C04"/>
    <w:rsid w:val="5F117C07"/>
    <w:rsid w:val="5F1576F7"/>
    <w:rsid w:val="5FEF1CF6"/>
    <w:rsid w:val="602776E2"/>
    <w:rsid w:val="60702E3D"/>
    <w:rsid w:val="60C95CFC"/>
    <w:rsid w:val="60F35816"/>
    <w:rsid w:val="60FB46CB"/>
    <w:rsid w:val="60FC4ED8"/>
    <w:rsid w:val="61413A38"/>
    <w:rsid w:val="61A66D2D"/>
    <w:rsid w:val="61CD250B"/>
    <w:rsid w:val="61DD05C5"/>
    <w:rsid w:val="61EA4737"/>
    <w:rsid w:val="62643A48"/>
    <w:rsid w:val="62CE02E9"/>
    <w:rsid w:val="63941E28"/>
    <w:rsid w:val="63BE01D7"/>
    <w:rsid w:val="63DD455C"/>
    <w:rsid w:val="648B6281"/>
    <w:rsid w:val="64DC3870"/>
    <w:rsid w:val="654F7E2F"/>
    <w:rsid w:val="65800EBE"/>
    <w:rsid w:val="65913C95"/>
    <w:rsid w:val="66003EC8"/>
    <w:rsid w:val="66FE3167"/>
    <w:rsid w:val="67017091"/>
    <w:rsid w:val="67F500C6"/>
    <w:rsid w:val="681B3D75"/>
    <w:rsid w:val="688E1EF6"/>
    <w:rsid w:val="690305C1"/>
    <w:rsid w:val="69196036"/>
    <w:rsid w:val="694251B3"/>
    <w:rsid w:val="6A0510E9"/>
    <w:rsid w:val="6A094895"/>
    <w:rsid w:val="6A576E16"/>
    <w:rsid w:val="6A70612A"/>
    <w:rsid w:val="6AB04778"/>
    <w:rsid w:val="6AE508C6"/>
    <w:rsid w:val="6C24033F"/>
    <w:rsid w:val="6C423AF6"/>
    <w:rsid w:val="6C991968"/>
    <w:rsid w:val="6CBC5656"/>
    <w:rsid w:val="6E02353D"/>
    <w:rsid w:val="6E5D4C17"/>
    <w:rsid w:val="6E684D47"/>
    <w:rsid w:val="6E9876D5"/>
    <w:rsid w:val="6EFC7F8C"/>
    <w:rsid w:val="6F51568C"/>
    <w:rsid w:val="6F833FC3"/>
    <w:rsid w:val="70161521"/>
    <w:rsid w:val="70553DF8"/>
    <w:rsid w:val="707C55FA"/>
    <w:rsid w:val="711F4406"/>
    <w:rsid w:val="72037883"/>
    <w:rsid w:val="72270690"/>
    <w:rsid w:val="72354394"/>
    <w:rsid w:val="72640322"/>
    <w:rsid w:val="72785B7B"/>
    <w:rsid w:val="72DA6836"/>
    <w:rsid w:val="73130288"/>
    <w:rsid w:val="731A6C33"/>
    <w:rsid w:val="735465E8"/>
    <w:rsid w:val="736468E3"/>
    <w:rsid w:val="73A52FF1"/>
    <w:rsid w:val="73C27DC2"/>
    <w:rsid w:val="73DB0AB8"/>
    <w:rsid w:val="74AF5AA0"/>
    <w:rsid w:val="74C7147F"/>
    <w:rsid w:val="74FA31C0"/>
    <w:rsid w:val="74FC0CE6"/>
    <w:rsid w:val="755D54FC"/>
    <w:rsid w:val="7564169B"/>
    <w:rsid w:val="75E31EA6"/>
    <w:rsid w:val="75FB7700"/>
    <w:rsid w:val="76326989"/>
    <w:rsid w:val="764566BC"/>
    <w:rsid w:val="768014A2"/>
    <w:rsid w:val="768F16E6"/>
    <w:rsid w:val="76BB697E"/>
    <w:rsid w:val="77493F8A"/>
    <w:rsid w:val="78395DAD"/>
    <w:rsid w:val="78591FAB"/>
    <w:rsid w:val="787119EB"/>
    <w:rsid w:val="79464C25"/>
    <w:rsid w:val="797C575B"/>
    <w:rsid w:val="798C2E7F"/>
    <w:rsid w:val="79986B03"/>
    <w:rsid w:val="7A3C1B84"/>
    <w:rsid w:val="7A543372"/>
    <w:rsid w:val="7B08551A"/>
    <w:rsid w:val="7B0A57DF"/>
    <w:rsid w:val="7BC0675C"/>
    <w:rsid w:val="7BE216C8"/>
    <w:rsid w:val="7BE91898"/>
    <w:rsid w:val="7BF90B2D"/>
    <w:rsid w:val="7C045000"/>
    <w:rsid w:val="7CD80A88"/>
    <w:rsid w:val="7D3923AB"/>
    <w:rsid w:val="7D5228AD"/>
    <w:rsid w:val="7D5B67C5"/>
    <w:rsid w:val="7DCC2B8F"/>
    <w:rsid w:val="7DEE020F"/>
    <w:rsid w:val="7EF64ECC"/>
    <w:rsid w:val="7F3166CE"/>
    <w:rsid w:val="7F3948E4"/>
    <w:rsid w:val="7FBB179D"/>
    <w:rsid w:val="7FC3060F"/>
    <w:rsid w:val="7FCF72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nhideWhenUsed="0"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paragraph" w:styleId="2">
    <w:name w:val="heading 1"/>
    <w:basedOn w:val="1"/>
    <w:next w:val="1"/>
    <w:qFormat/>
    <w:uiPriority w:val="9"/>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line="413" w:lineRule="auto"/>
      <w:outlineLvl w:val="1"/>
    </w:pPr>
    <w:rPr>
      <w:rFonts w:ascii="Arial" w:hAnsi="Arial" w:eastAsia="黑体"/>
      <w:b/>
      <w:sz w:val="32"/>
    </w:rPr>
  </w:style>
  <w:style w:type="paragraph" w:styleId="4">
    <w:name w:val="heading 3"/>
    <w:basedOn w:val="1"/>
    <w:next w:val="1"/>
    <w:qFormat/>
    <w:uiPriority w:val="0"/>
    <w:pPr>
      <w:keepNext/>
      <w:keepLines/>
      <w:spacing w:before="260" w:beforeAutospacing="0" w:after="260" w:afterAutospacing="0" w:line="413" w:lineRule="auto"/>
      <w:outlineLvl w:val="2"/>
    </w:pPr>
    <w:rPr>
      <w:b/>
      <w:sz w:val="32"/>
    </w:rPr>
  </w:style>
  <w:style w:type="paragraph" w:styleId="5">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bCs/>
      <w:kern w:val="0"/>
      <w:sz w:val="24"/>
      <w:szCs w:val="24"/>
      <w:lang w:val="en-US" w:eastAsia="zh-CN" w:bidi="ar"/>
    </w:rPr>
  </w:style>
  <w:style w:type="paragraph" w:styleId="6">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7">
    <w:name w:val="annotation text"/>
    <w:basedOn w:val="1"/>
    <w:qFormat/>
    <w:uiPriority w:val="99"/>
    <w:pPr>
      <w:adjustRightInd w:val="0"/>
      <w:spacing w:line="360" w:lineRule="atLeast"/>
      <w:jc w:val="left"/>
    </w:pPr>
    <w:rPr>
      <w:kern w:val="0"/>
      <w:sz w:val="24"/>
      <w:szCs w:val="20"/>
    </w:rPr>
  </w:style>
  <w:style w:type="paragraph" w:styleId="8">
    <w:name w:val="Body Text"/>
    <w:basedOn w:val="1"/>
    <w:qFormat/>
    <w:uiPriority w:val="1"/>
    <w:rPr>
      <w:rFonts w:ascii="宋体" w:hAnsi="宋体" w:cs="宋体"/>
      <w:sz w:val="18"/>
      <w:szCs w:val="18"/>
      <w:lang w:val="zh-CN" w:bidi="zh-CN"/>
    </w:rPr>
  </w:style>
  <w:style w:type="paragraph" w:styleId="9">
    <w:name w:val="Body Text Indent"/>
    <w:basedOn w:val="1"/>
    <w:next w:val="10"/>
    <w:unhideWhenUsed/>
    <w:qFormat/>
    <w:uiPriority w:val="99"/>
    <w:pPr>
      <w:ind w:left="420" w:leftChars="200"/>
    </w:pPr>
  </w:style>
  <w:style w:type="paragraph" w:styleId="10">
    <w:name w:val="Body Text First Indent 2"/>
    <w:basedOn w:val="9"/>
    <w:qFormat/>
    <w:uiPriority w:val="0"/>
    <w:pPr>
      <w:ind w:firstLine="420" w:firstLineChars="200"/>
    </w:pPr>
    <w:rPr>
      <w:rFonts w:ascii="Times New Roman" w:hAnsi="Times New Roman" w:eastAsia="宋体" w:cs="Times New Roman"/>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toc 1"/>
    <w:basedOn w:val="1"/>
    <w:next w:val="1"/>
    <w:qFormat/>
    <w:uiPriority w:val="0"/>
    <w:rPr>
      <w:rFonts w:ascii="Times New Roman" w:hAnsi="Times New Roman"/>
      <w:szCs w:val="24"/>
    </w:rPr>
  </w:style>
  <w:style w:type="paragraph" w:styleId="14">
    <w:name w:val="Normal (Web)"/>
    <w:basedOn w:val="1"/>
    <w:qFormat/>
    <w:uiPriority w:val="99"/>
    <w:pPr>
      <w:widowControl/>
      <w:spacing w:beforeAutospacing="1" w:afterAutospacing="1"/>
      <w:jc w:val="left"/>
    </w:pPr>
    <w:rPr>
      <w:rFonts w:ascii="宋体" w:hAnsi="宋体" w:cs="宋体"/>
      <w:kern w:val="0"/>
      <w:sz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0"/>
    <w:rPr>
      <w:b/>
    </w:rPr>
  </w:style>
  <w:style w:type="character" w:styleId="19">
    <w:name w:val="page number"/>
    <w:basedOn w:val="17"/>
    <w:qFormat/>
    <w:uiPriority w:val="0"/>
  </w:style>
  <w:style w:type="character" w:styleId="20">
    <w:name w:val="Emphasis"/>
    <w:basedOn w:val="17"/>
    <w:qFormat/>
    <w:uiPriority w:val="0"/>
    <w:rPr>
      <w:i/>
    </w:rPr>
  </w:style>
  <w:style w:type="character" w:styleId="21">
    <w:name w:val="Hyperlink"/>
    <w:basedOn w:val="17"/>
    <w:unhideWhenUsed/>
    <w:qFormat/>
    <w:uiPriority w:val="99"/>
    <w:rPr>
      <w:rFonts w:cs="Times New Roman"/>
      <w:color w:val="0000FF"/>
      <w:u w:val="single"/>
    </w:rPr>
  </w:style>
  <w:style w:type="paragraph" w:customStyle="1" w:styleId="22">
    <w:name w:val="TOC 标题1"/>
    <w:basedOn w:val="2"/>
    <w:next w:val="1"/>
    <w:qFormat/>
    <w:uiPriority w:val="0"/>
    <w:pPr>
      <w:spacing w:line="276" w:lineRule="auto"/>
      <w:outlineLvl w:val="9"/>
    </w:pPr>
    <w:rPr>
      <w:rFonts w:ascii="仿宋" w:hAnsi="仿宋" w:eastAsia="仿宋"/>
      <w:color w:val="000000"/>
      <w:kern w:val="0"/>
    </w:rPr>
  </w:style>
  <w:style w:type="paragraph" w:customStyle="1" w:styleId="23">
    <w:name w:val="NormalIndent"/>
    <w:basedOn w:val="1"/>
    <w:qFormat/>
    <w:uiPriority w:val="0"/>
    <w:pPr>
      <w:ind w:firstLine="420" w:firstLineChars="200"/>
    </w:pPr>
    <w:rPr>
      <w:rFonts w:ascii="Times New Roman"/>
    </w:rPr>
  </w:style>
  <w:style w:type="character" w:customStyle="1" w:styleId="24">
    <w:name w:val="NormalCharacter"/>
    <w:qFormat/>
    <w:uiPriority w:val="0"/>
    <w:rPr>
      <w:rFonts w:ascii="Times New Roman" w:hAnsi="Times New Roman" w:eastAsia="宋体"/>
    </w:rPr>
  </w:style>
  <w:style w:type="paragraph" w:customStyle="1" w:styleId="25">
    <w:name w:val="null3"/>
    <w:hidden/>
    <w:qFormat/>
    <w:uiPriority w:val="0"/>
    <w:rPr>
      <w:rFonts w:hint="eastAsia" w:asciiTheme="minorHAnsi" w:hAnsiTheme="minorHAnsi" w:eastAsiaTheme="minorEastAsia" w:cstheme="minorBidi"/>
      <w:lang w:val="en-US" w:eastAsia="zh-Hans"/>
    </w:rPr>
  </w:style>
  <w:style w:type="paragraph" w:customStyle="1" w:styleId="26">
    <w:name w:val="Table Paragraph"/>
    <w:basedOn w:val="1"/>
    <w:qFormat/>
    <w:uiPriority w:val="1"/>
    <w:rPr>
      <w:rFonts w:ascii="宋体" w:hAnsi="宋体" w:cs="宋体"/>
      <w:lang w:val="zh-CN" w:bidi="zh-CN"/>
    </w:rPr>
  </w:style>
  <w:style w:type="paragraph" w:customStyle="1" w:styleId="27">
    <w:name w:val="Table Text"/>
    <w:basedOn w:val="1"/>
    <w:semiHidden/>
    <w:qFormat/>
    <w:uiPriority w:val="0"/>
    <w:rPr>
      <w:rFonts w:ascii="宋体" w:hAnsi="宋体" w:eastAsia="宋体" w:cs="宋体"/>
      <w:sz w:val="18"/>
      <w:szCs w:val="18"/>
      <w:lang w:val="en-US" w:eastAsia="en-US" w:bidi="ar-SA"/>
    </w:rPr>
  </w:style>
  <w:style w:type="table" w:customStyle="1" w:styleId="28">
    <w:name w:val="Table Normal"/>
    <w:semiHidden/>
    <w:unhideWhenUsed/>
    <w:qFormat/>
    <w:uiPriority w:val="0"/>
    <w:tblPr>
      <w:tblCellMar>
        <w:top w:w="0" w:type="dxa"/>
        <w:left w:w="0" w:type="dxa"/>
        <w:bottom w:w="0" w:type="dxa"/>
        <w:right w:w="0" w:type="dxa"/>
      </w:tblCellMar>
    </w:tblPr>
  </w:style>
  <w:style w:type="paragraph" w:customStyle="1" w:styleId="29">
    <w:name w:val="Heading4"/>
    <w:basedOn w:val="1"/>
    <w:next w:val="1"/>
    <w:qFormat/>
    <w:uiPriority w:val="0"/>
    <w:pPr>
      <w:keepNext/>
      <w:keepLines/>
      <w:spacing w:before="280" w:after="290" w:line="376" w:lineRule="atLeast"/>
    </w:pPr>
    <w:rPr>
      <w:rFonts w:ascii="Calibri Light" w:hAnsi="Calibri Light"/>
    </w:rPr>
  </w:style>
  <w:style w:type="paragraph" w:customStyle="1" w:styleId="30">
    <w:name w:val="正文缩进1"/>
    <w:basedOn w:val="1"/>
    <w:qFormat/>
    <w:uiPriority w:val="99"/>
    <w:pPr>
      <w:ind w:firstLine="420" w:firstLineChars="200"/>
    </w:pPr>
  </w:style>
  <w:style w:type="table" w:customStyle="1" w:styleId="31">
    <w:name w:val="网格型1"/>
    <w:basedOn w:val="15"/>
    <w:qFormat/>
    <w:uiPriority w:val="59"/>
    <w:rPr>
      <w:rFonts w:ascii="Calibri" w:hAnsi="Calibri" w:eastAsia="微软雅黑"/>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List Paragraph"/>
    <w:basedOn w:val="1"/>
    <w:qFormat/>
    <w:uiPriority w:val="34"/>
    <w:pPr>
      <w:ind w:firstLine="420" w:firstLineChars="200"/>
    </w:pPr>
  </w:style>
  <w:style w:type="paragraph" w:customStyle="1" w:styleId="33">
    <w:name w:val="表格"/>
    <w:basedOn w:val="1"/>
    <w:qFormat/>
    <w:uiPriority w:val="0"/>
    <w:pPr>
      <w:spacing w:after="120" w:afterLines="0" w:line="240" w:lineRule="auto"/>
      <w:ind w:firstLine="0" w:firstLineChars="0"/>
      <w:jc w:val="center"/>
    </w:pPr>
    <w:rPr>
      <w:rFonts w:hint="eastAsia" w:ascii="Times New Roman" w:hAnsi="Times New Roman" w:eastAsia="宋体" w:cstheme="minorBidi"/>
      <w:kern w:val="2"/>
      <w:sz w:val="21"/>
      <w:szCs w:val="24"/>
    </w:rPr>
  </w:style>
  <w:style w:type="character" w:customStyle="1" w:styleId="34">
    <w:name w:val="font01"/>
    <w:basedOn w:val="17"/>
    <w:qFormat/>
    <w:uiPriority w:val="0"/>
    <w:rPr>
      <w:rFonts w:hint="eastAsia" w:ascii="宋体" w:hAnsi="宋体" w:eastAsia="宋体" w:cs="宋体"/>
      <w:color w:val="000000"/>
      <w:sz w:val="20"/>
      <w:szCs w:val="20"/>
      <w:u w:val="none"/>
    </w:rPr>
  </w:style>
  <w:style w:type="character" w:customStyle="1" w:styleId="35">
    <w:name w:val="font71"/>
    <w:basedOn w:val="17"/>
    <w:qFormat/>
    <w:uiPriority w:val="0"/>
    <w:rPr>
      <w:rFonts w:hint="default" w:ascii="Times New Roman" w:hAnsi="Times New Roman" w:cs="Times New Roman"/>
      <w:color w:val="000000"/>
      <w:sz w:val="20"/>
      <w:szCs w:val="20"/>
      <w:u w:val="none"/>
    </w:rPr>
  </w:style>
  <w:style w:type="paragraph" w:customStyle="1" w:styleId="36">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68f75719-5c0d-4c91-b767-3c80d850fbd7</errorID>
      <errorWord>.</errorWord>
      <group>L1_Format</group>
      <groupName>格式问题</groupName>
      <ability>L2_HalfPunc_CN</ability>
      <abilityName>全半角问题</abilityName>
      <candidateList>
        <item>。</item>
      </candidateList>
      <explain>文本全半角错误。</explain>
      <paraID>6B620385</paraID>
      <start>46</start>
      <end>47</end>
      <status>unmodified</status>
      <modifiedWord/>
      <trackRevisions>false</trackRevisions>
    </reviewItem>
    <reviewItem>
      <errorID>c042c166-8bfc-4073-9c4d-99e6a0403f11</errorID>
      <errorWord>2026年09月29日</errorWord>
      <group>L1_Knowledge</group>
      <groupName>知识性问题</groupName>
      <ability>L2_Time</ability>
      <abilityName>日期时间</abilityName>
      <candidateList>
        <item>2026年9月29日</item>
      </candidateList>
      <explain>根据日常书写习惯，月份一般会省略前导零。</explain>
      <paraID>6B620385</paraID>
      <start>61</start>
      <end>72</end>
      <status>unmodified</status>
      <modifiedWord/>
      <trackRevisions>false</trackRevisions>
    </reviewItem>
    <reviewItem>
      <errorID>7d24e981-0dab-4f17-901f-e9ac139f1ce1</errorID>
      <errorWord>(</errorWord>
      <group>L1_Format</group>
      <groupName>格式问题</groupName>
      <ability>L2_HalfPunc_CN</ability>
      <abilityName>全半角问题</abilityName>
      <candidateList>
        <item>（</item>
      </candidateList>
      <explain>文本全半角错误。</explain>
      <paraID>575E0A4A</paraID>
      <start>4</start>
      <end>5</end>
      <status>unmodified</status>
      <modifiedWord/>
      <trackRevisions>false</trackRevisions>
    </reviewItem>
    <reviewItem>
      <errorID>81b039a9-dcb2-46db-ae05-d106506c9de7</errorID>
      <errorWord>)</errorWord>
      <group>L1_Format</group>
      <groupName>格式问题</groupName>
      <ability>L2_HalfPunc_CN</ability>
      <abilityName>全半角问题</abilityName>
      <candidateList>
        <item>）</item>
      </candidateList>
      <explain>文本全半角错误。</explain>
      <paraID>575E0A4A</paraID>
      <start>22</start>
      <end>23</end>
      <status>unmodified</status>
      <modifiedWord/>
      <trackRevisions>false</trackRevisions>
    </reviewItem>
    <reviewItem>
      <errorID>ffb127f0-94c5-4f50-93c9-0818d101ecdb</errorID>
      <errorWord>2026年09月08日</errorWord>
      <group>L1_Knowledge</group>
      <groupName>知识性问题</groupName>
      <ability>L2_Time</ability>
      <abilityName>日期时间</abilityName>
      <candidateList>
        <item>2026年9月8日</item>
      </candidateList>
      <explain>根据日常书写习惯，月份和日期一般会省略前导零。</explain>
      <paraID>535817D6</paraID>
      <start>3</start>
      <end>14</end>
      <status>unmodified</status>
      <modifiedWord/>
      <trackRevisions>false</trackRevisions>
    </reviewItem>
    <reviewItem>
      <errorID>ace42b11-2463-44b3-af2c-d65686ab80db</errorID>
      <errorWord>2026年09月14日</errorWord>
      <group>L1_Knowledge</group>
      <groupName>知识性问题</groupName>
      <ability>L2_Time</ability>
      <abilityName>日期时间</abilityName>
      <candidateList>
        <item>2026年9月14日</item>
      </candidateList>
      <explain>根据日常书写习惯，月份一般会省略前导零。</explain>
      <paraID>535817D6</paraID>
      <start>17</start>
      <end>28</end>
      <status>unmodified</status>
      <modifiedWord/>
      <trackRevisions>false</trackRevisions>
    </reviewItem>
    <reviewItem>
      <errorID>883e6ee8-2c57-47f5-8dc7-77b04564d158</errorID>
      <errorWord>.</errorWord>
      <group>L1_Format</group>
      <groupName>格式问题</groupName>
      <ability>L2_HalfPunc_CN</ability>
      <abilityName>全半角问题</abilityName>
      <candidateList>
        <item>。</item>
      </candidateList>
      <explain>文本全半角错误。</explain>
      <paraID>291CE8BE</paraID>
      <start>20</start>
      <end>21</end>
      <status>unmodified</status>
      <modifiedWord/>
      <trackRevisions>false</trackRevisions>
    </reviewItem>
    <reviewItem>
      <errorID>58642b05-d4e7-4120-9c44-7adb64346ddc</errorID>
      <errorWord>2026年09月29日</errorWord>
      <group>L1_Knowledge</group>
      <groupName>知识性问题</groupName>
      <ability>L2_Time</ability>
      <abilityName>日期时间</abilityName>
      <candidateList>
        <item>2026年9月29日</item>
      </candidateList>
      <explain>根据日常书写习惯，月份一般会省略前导零。</explain>
      <paraID>4137A718</paraID>
      <start>3</start>
      <end>14</end>
      <status>unmodified</status>
      <modifiedWord/>
      <trackRevisions>false</trackRevisions>
    </reviewItem>
    <reviewItem>
      <errorID>1a5dbe67-d0cd-4f0a-a5cc-dd7c0278ba28</errorID>
      <errorWord>.</errorWord>
      <group>L1_Format</group>
      <groupName>格式问题</groupName>
      <ability>L2_HalfPunc_CN</ability>
      <abilityName>全半角问题</abilityName>
      <candidateList>
        <item>。</item>
      </candidateList>
      <explain>文本全半角错误。</explain>
      <paraID>6D0D0DFC</paraID>
      <start>26</start>
      <end>27</end>
      <status>unmodified</status>
      <modifiedWord/>
      <trackRevisions>false</trackRevisions>
    </reviewItem>
    <reviewItem>
      <errorID>8de01d90-84bd-444f-b46a-221f9991bd82</errorID>
      <errorWord>.</errorWord>
      <group>L1_Format</group>
      <groupName>格式问题</groupName>
      <ability>L2_HalfPunc_CN</ability>
      <abilityName>全半角问题</abilityName>
      <candidateList>
        <item>。</item>
      </candidateList>
      <explain>文本全半角错误。</explain>
      <paraID>3E347790</paraID>
      <start>22</start>
      <end>23</end>
      <status>unmodified</status>
      <modifiedWord/>
      <trackRevisions>false</trackRevisions>
    </reviewItem>
    <reviewItem>
      <errorID>15822a12-bcee-4636-b3f2-2d21a0d92d7e</errorID>
      <errorWord>2026年09月07日</errorWord>
      <group>L1_Knowledge</group>
      <groupName>知识性问题</groupName>
      <ability>L2_Time</ability>
      <abilityName>日期时间</abilityName>
      <candidateList>
        <item>2026年9月7日</item>
      </candidateList>
      <explain>根据日常书写习惯，月份和日期一般会省略前导零。</explain>
      <paraID>3E3CEE15</paraID>
      <start>0</start>
      <end>11</end>
      <status>unmodified</status>
      <modifiedWord/>
      <trackRevisions>false</trackRevisions>
    </reviewItem>
    <reviewItem>
      <errorID>dbe68e24-facb-4444-9307-a420276e52be</errorID>
      <errorWord>2026年09月29日</errorWord>
      <group>L1_Knowledge</group>
      <groupName>知识性问题</groupName>
      <ability>L2_Time</ability>
      <abilityName>日期时间</abilityName>
      <candidateList>
        <item>2026年9月29日</item>
      </candidateList>
      <explain>根据日常书写习惯，月份一般会省略前导零。</explain>
      <paraID>3679B4A2</paraID>
      <start>5</start>
      <end>16</end>
      <status>unmodified</status>
      <modifiedWord/>
      <trackRevisions>false</trackRevisions>
    </reviewItem>
    <reviewItem>
      <errorID>c10a1424-3d10-40e0-a00f-30ce68e1126e</errorID>
      <errorWord>2026年09月29日</errorWord>
      <group>L1_Knowledge</group>
      <groupName>知识性问题</groupName>
      <ability>L2_Time</ability>
      <abilityName>日期时间</abilityName>
      <candidateList>
        <item>2026年9月29日</item>
      </candidateList>
      <explain>根据日常书写习惯，月份一般会省略前导零。</explain>
      <paraID>41F17EC6</paraID>
      <start>0</start>
      <end>11</end>
      <status>unmodified</status>
      <modifiedWord/>
      <trackRevisions>false</trackRevisions>
    </reviewItem>
    <reviewItem>
      <errorID>2fc593d3-cb8e-4282-9bcf-8c853f500532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1683E747</paraID>
      <start>92</start>
      <end>93</end>
      <status>unmodified</status>
      <modifiedWord/>
      <trackRevisions>false</trackRevisions>
    </reviewItem>
    <reviewItem>
      <errorID>ea558504-5a47-47f6-8bc8-efa5aa0d83ca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187722F8</paraID>
      <start>153</start>
      <end>154</end>
      <status>unmodified</status>
      <modifiedWord/>
      <trackRevisions>false</trackRevisions>
    </reviewItem>
    <reviewItem>
      <errorID>7b34a992-5ff1-41b4-a4db-1c39ee64492e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2D2DD320</paraID>
      <start>22</start>
      <end>23</end>
      <status>unmodified</status>
      <modifiedWord/>
      <trackRevisions>false</trackRevisions>
    </reviewItem>
    <reviewItem>
      <errorID>84ef31fc-3e46-4503-bcb1-58a5b98ab315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33CE769D</paraID>
      <start>102</start>
      <end>103</end>
      <status>unmodified</status>
      <modifiedWord/>
      <trackRevisions>false</trackRevisions>
    </reviewItem>
    <reviewItem>
      <errorID>b59bd863-34d8-48be-bf20-bb5be85c2f7c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33CE769D</paraID>
      <start>106</start>
      <end>107</end>
      <status>unmodified</status>
      <modifiedWord/>
      <trackRevisions>false</trackRevisions>
    </reviewItem>
    <reviewItem>
      <errorID>4d625c4f-b568-4667-9c54-eaaa929bf304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33CE769D</paraID>
      <start>113</start>
      <end>114</end>
      <status>unmodified</status>
      <modifiedWord/>
      <trackRevisions>false</trackRevisions>
    </reviewItem>
    <reviewItem>
      <errorID>612155da-7200-40c1-b4ff-d8e8be188099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33CE769D</paraID>
      <start>117</start>
      <end>118</end>
      <status>unmodified</status>
      <modifiedWord/>
      <trackRevisions>false</trackRevisions>
    </reviewItem>
    <reviewItem>
      <errorID>85ab959d-420a-429d-87b7-afeb949994e8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5228E40B</paraID>
      <start>0</start>
      <end>2</end>
      <status>unmodified</status>
      <modifiedWord/>
      <trackRevisions>false</trackRevisions>
    </reviewItem>
    <reviewItem>
      <errorID>bfbe58d6-a417-450c-82b8-f6da3bdad000</errorID>
      <errorWord>、且</errorWord>
      <group>L1_Word</group>
      <groupName>字词问题</groupName>
      <ability>L2_Typo</ability>
      <abilityName>字词错误</abilityName>
      <candidateList>
        <item>且</item>
      </candidateList>
      <explain/>
      <paraID>5228E40B</paraID>
      <start>22</start>
      <end>24</end>
      <status>unmodified</status>
      <modifiedWord/>
      <trackRevisions>false</trackRevisions>
    </reviewItem>
    <reviewItem>
      <errorID>ecc2899c-c345-4657-b9a1-ce1617c2bf97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11EE4905</paraID>
      <start>0</start>
      <end>2</end>
      <status>unmodified</status>
      <modifiedWord/>
      <trackRevisions>false</trackRevisions>
    </reviewItem>
    <reviewItem>
      <errorID>955e69fe-c6ef-4b9a-9e81-ee5cc25e7196</errorID>
      <errorWord>、且</errorWord>
      <group>L1_Word</group>
      <groupName>字词问题</groupName>
      <ability>L2_Typo</ability>
      <abilityName>字词错误</abilityName>
      <candidateList>
        <item>且</item>
      </candidateList>
      <explain/>
      <paraID>11EE4905</paraID>
      <start>15</start>
      <end>17</end>
      <status>unmodified</status>
      <modifiedWord/>
      <trackRevisions>false</trackRevisions>
    </reviewItem>
    <reviewItem>
      <errorID>71fe3e42-7a64-47a5-92a0-afa2aa0f9bd3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5DA2F744</paraID>
      <start>0</start>
      <end>2</end>
      <status>unmodified</status>
      <modifiedWord/>
      <trackRevisions>false</trackRevisions>
    </reviewItem>
    <reviewItem>
      <errorID>6d2f84dc-986f-452a-9252-802be8878b31</errorID>
      <errorWord>、且</errorWord>
      <group>L1_Word</group>
      <groupName>字词问题</groupName>
      <ability>L2_Typo</ability>
      <abilityName>字词错误</abilityName>
      <candidateList>
        <item>且</item>
      </candidateList>
      <explain/>
      <paraID>5DA2F744</paraID>
      <start>20</start>
      <end>22</end>
      <status>unmodified</status>
      <modifiedWord/>
      <trackRevisions>false</trackRevisions>
    </reviewItem>
    <reviewItem>
      <errorID>12970cee-acd9-4214-8c57-b2cc88314728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4D20E1D2</paraID>
      <start>0</start>
      <end>2</end>
      <status>unmodified</status>
      <modifiedWord/>
      <trackRevisions>false</trackRevisions>
    </reviewItem>
    <reviewItem>
      <errorID>e3aff1cb-1509-4d92-b9cd-f42d909ef742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26182F52</paraID>
      <start>1</start>
      <end>2</end>
      <status>unmodified</status>
      <modifiedWord/>
      <trackRevisions>false</trackRevisions>
    </reviewItem>
    <reviewItem>
      <errorID>fbeffd8d-e306-4d55-85fc-1146163dee41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3A7E444D</paraID>
      <start>1</start>
      <end>2</end>
      <status>unmodified</status>
      <modifiedWord/>
      <trackRevisions>false</trackRevisions>
    </reviewItem>
    <reviewItem>
      <errorID>7f3f260a-722e-46ab-bc7a-f8a85ea7735f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60BBB99F</paraID>
      <start>28</start>
      <end>29</end>
      <status>unmodified</status>
      <modifiedWord/>
      <trackRevisions>false</trackRevisions>
    </reviewItem>
    <reviewItem>
      <errorID>415c938e-18a2-4453-a697-6e69ccb2c35f</errorID>
      <errorWord>于对</errorWord>
      <group>L1_Word</group>
      <groupName>字词问题</groupName>
      <ability>L2_Typo</ability>
      <abilityName>字词错误</abilityName>
      <candidateList>
        <item>于</item>
      </candidateList>
      <explain/>
      <paraID>20608856</paraID>
      <start>3</start>
      <end>5</end>
      <status>unmodified</status>
      <modifiedWord/>
      <trackRevisions>false</trackRevisions>
    </reviewItem>
    <reviewItem>
      <errorID>119493d2-ef74-4f5c-bcb0-835572347f2e</errorID>
      <errorWord>、以及</errorWord>
      <group>L1_Punc</group>
      <groupName>标点问题</groupName>
      <ability>L2_Punc_CN</ability>
      <abilityName>标点符号问题</abilityName>
      <candidateList>
        <item>，以及</item>
      </candidateList>
      <explain>连接词前后不宜使用顿号，建议使用逗号。</explain>
      <paraID>75EBF3A5</paraID>
      <start>185</start>
      <end>188</end>
      <status>unmodified</status>
      <modifiedWord/>
      <trackRevisions>false</trackRevisions>
    </reviewItem>
    <reviewItem>
      <errorID>100e7f62-92c9-4e13-9f2e-d57091d51fea</errorID>
      <errorWord>)</errorWord>
      <group>L1_Format</group>
      <groupName>格式问题</groupName>
      <ability>L2_HalfPunc_CN</ability>
      <abilityName>全半角问题</abilityName>
      <candidateList>
        <item>）</item>
      </candidateList>
      <explain>文本全半角错误。</explain>
      <paraID>7459705B</paraID>
      <start>35</start>
      <end>36</end>
      <status>unmodified</status>
      <modifiedWord/>
      <trackRevisions>false</trackRevisions>
    </reviewItem>
    <reviewItem>
      <errorID>3e0c6f8d-13ca-4a3a-85de-d8df85ff6e8a</errorID>
      <errorWord>(</errorWord>
      <group>L1_Format</group>
      <groupName>格式问题</groupName>
      <ability>L2_HalfPunc_CN</ability>
      <abilityName>全半角问题</abilityName>
      <candidateList>
        <item>（</item>
      </candidateList>
      <explain>文本全半角错误。</explain>
      <paraID>7459705B</paraID>
      <start>45</start>
      <end>46</end>
      <status>unmodified</status>
      <modifiedWord/>
      <trackRevisions>false</trackRevisions>
    </reviewItem>
    <reviewItem>
      <errorID>523897c0-f843-4501-a25b-8e72df3813d0</errorID>
      <errorWord>)</errorWord>
      <group>L1_Format</group>
      <groupName>格式问题</groupName>
      <ability>L2_HalfPunc_CN</ability>
      <abilityName>全半角问题</abilityName>
      <candidateList>
        <item>）</item>
      </candidateList>
      <explain>文本全半角错误。</explain>
      <paraID>7459705B</paraID>
      <start>50</start>
      <end>51</end>
      <status>unmodified</status>
      <modifiedWord/>
      <trackRevisions>false</trackRevisions>
    </reviewItem>
    <reviewItem>
      <errorID>dd1f8de4-085b-48cc-8c9a-1cd25a7b2f5a</errorID>
      <errorWord>(</errorWord>
      <group>L1_Format</group>
      <groupName>格式问题</groupName>
      <ability>L2_HalfPunc_CN</ability>
      <abilityName>全半角问题</abilityName>
      <candidateList>
        <item>（</item>
      </candidateList>
      <explain>文本全半角错误。</explain>
      <paraID>7459705B</paraID>
      <start>58</start>
      <end>59</end>
      <status>unmodified</status>
      <modifiedWord/>
      <trackRevisions>false</trackRevisions>
    </reviewItem>
    <reviewItem>
      <errorID>2b47f551-d89e-49c9-9984-d308eccaaf96</errorID>
      <errorWord>1～85%</errorWord>
      <group>L1_Knowledge</group>
      <groupName>知识性问题</groupName>
      <ability>L2_Knowledge</ability>
      <abilityName>其他知识</abilityName>
      <candidateList>
        <item>1%～85%</item>
      </candidateList>
      <explain>1. “1～85%”中的单位“%”仅出现在后一个数字上，容易引起歧义；根据《现代汉语标点符号数字用法规范手册》，数字表示范围两边需要使用统一的格式。2. 根据标点国标 4.13 中的规则，数字、时间或地域连接符应使用（视觉上更长的）“—”或“～”。</explain>
      <paraID> 1466E34</paraID>
      <start>10</start>
      <end>15</end>
      <status>unmodified</status>
      <modifiedWord/>
      <trackRevisions>false</trackRevisions>
    </reviewItem>
    <reviewItem>
      <errorID>79c69921-7903-49a8-b0ac-dbc4025c086c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5ADEFC38</paraID>
      <start>6</start>
      <end>7</end>
      <status>unmodified</status>
      <modifiedWord/>
      <trackRevisions>false</trackRevisions>
    </reviewItem>
    <reviewItem>
      <errorID>87ee22ed-d1ca-4996-bffb-a94842dda6bc</errorID>
      <errorWord>-</errorWord>
      <group>L1_Format</group>
      <groupName>格式问题</groupName>
      <ability>L2_HalfPunc_CN</ability>
      <abilityName>全半角问题</abilityName>
      <candidateList>
        <item>－</item>
      </candidateList>
      <explain>文本全半角错误。</explain>
      <paraID>1B963345</paraID>
      <start>7</start>
      <end>8</end>
      <status>unmodified</status>
      <modifiedWord/>
      <trackRevisions>false</trackRevisions>
    </reviewItem>
    <reviewItem>
      <errorID>784ff065-bdf0-409e-bb2f-562198d23ebc</errorID>
      <errorWord>-</errorWord>
      <group>L1_Format</group>
      <groupName>格式问题</groupName>
      <ability>L2_HalfPunc_CN</ability>
      <abilityName>全半角问题</abilityName>
      <candidateList>
        <item>－</item>
      </candidateList>
      <explain>文本全半角错误。</explain>
      <paraID>1B963345</paraID>
      <start>13</start>
      <end>14</end>
      <status>unmodified</status>
      <modifiedWord/>
      <trackRevisions>false</trackRevisions>
    </reviewItem>
    <reviewItem>
      <errorID>e38c1fea-eee0-422d-8b4f-244f2d6ac039</errorID>
      <errorWord>-</errorWord>
      <group>L1_Format</group>
      <groupName>格式问题</groupName>
      <ability>L2_HalfPunc_CN</ability>
      <abilityName>全半角问题</abilityName>
      <candidateList>
        <item>－</item>
      </candidateList>
      <explain>文本全半角错误。</explain>
      <paraID>1B963345</paraID>
      <start>19</start>
      <end>20</end>
      <status>unmodified</status>
      <modifiedWord/>
      <trackRevisions>false</trackRevisions>
    </reviewItem>
    <reviewItem>
      <errorID>5a97a3d1-e013-4257-9e6c-2d8ef3c7eda1</errorID>
      <errorWord>-</errorWord>
      <group>L1_Format</group>
      <groupName>格式问题</groupName>
      <ability>L2_HalfPunc_CN</ability>
      <abilityName>全半角问题</abilityName>
      <candidateList>
        <item>－</item>
      </candidateList>
      <explain>文本全半角错误。</explain>
      <paraID> A227D4A</paraID>
      <start>7</start>
      <end>8</end>
      <status>unmodified</status>
      <modifiedWord/>
      <trackRevisions>false</trackRevisions>
    </reviewItem>
    <reviewItem>
      <errorID>f985cfdd-bcb0-4566-8f30-a5c263c99f75</errorID>
      <errorWord>-</errorWord>
      <group>L1_Format</group>
      <groupName>格式问题</groupName>
      <ability>L2_HalfPunc_CN</ability>
      <abilityName>全半角问题</abilityName>
      <candidateList>
        <item>－</item>
      </candidateList>
      <explain>文本全半角错误。</explain>
      <paraID> A227D4A</paraID>
      <start>14</start>
      <end>15</end>
      <status>unmodified</status>
      <modifiedWord/>
      <trackRevisions>false</trackRevisions>
    </reviewItem>
    <reviewItem>
      <errorID>22f30805-0eb3-4b43-a173-60eac24ed254</errorID>
      <errorWord>-</errorWord>
      <group>L1_Format</group>
      <groupName>格式问题</groupName>
      <ability>L2_HalfPunc_CN</ability>
      <abilityName>全半角问题</abilityName>
      <candidateList>
        <item>－</item>
      </candidateList>
      <explain>文本全半角错误。</explain>
      <paraID> A227D4A</paraID>
      <start>21</start>
      <end>22</end>
      <status>unmodified</status>
      <modifiedWord/>
      <trackRevisions>false</trackRevisions>
    </reviewItem>
    <reviewItem>
      <errorID>478bdd3d-aec9-44e7-a598-41be1097ee95</errorID>
      <errorWord>力</errorWord>
      <group>L1_Word</group>
      <groupName>字词问题</groupName>
      <ability>L2_Typo</ability>
      <abilityName>字词错误</abilityName>
      <candidateList>
        <item>力和</item>
      </candidateList>
      <explain/>
      <paraID>622FB977</paraID>
      <start>40</start>
      <end>41</end>
      <status>unmodified</status>
      <modifiedWord/>
      <trackRevisions>false</trackRevisions>
    </reviewItem>
    <reviewItem>
      <errorID>7403540a-2fed-4edd-8ade-d55a0173881f</errorID>
      <errorWord>WIFI</errorWord>
      <group>L1_Knowledge</group>
      <groupName>知识性问题</groupName>
      <ability>L2_Knowledge</ability>
      <abilityName>其他知识</abilityName>
      <candidateList>
        <item>Wi-Fi</item>
      </candidateList>
      <explain/>
      <paraID>790F4697</paraID>
      <start>2</start>
      <end>6</end>
      <status>unmodified</status>
      <modifiedWord/>
      <trackRevisions>false</trackRevisions>
    </reviewItem>
    <reviewItem>
      <errorID>3d5e677f-0c2b-4207-a884-d481ad879d3e</errorID>
      <errorWord>于对</errorWord>
      <group>L1_Word</group>
      <groupName>字词问题</groupName>
      <ability>L2_Typo</ability>
      <abilityName>字词错误</abilityName>
      <candidateList>
        <item>于</item>
      </candidateList>
      <explain/>
      <paraID>6FBE7CB1</paraID>
      <start>2</start>
      <end>4</end>
      <status>unmodified</status>
      <modifiedWord/>
      <trackRevisions>false</trackRevisions>
    </reviewItem>
    <reviewItem>
      <errorID>803b80eb-e6e5-4b4a-853d-6a213f81aaae</errorID>
      <errorWord>(</errorWord>
      <group>L1_Format</group>
      <groupName>格式问题</groupName>
      <ability>L2_HalfPunc_CN</ability>
      <abilityName>全半角问题</abilityName>
      <candidateList>
        <item>（</item>
      </candidateList>
      <explain>文本全半角错误。</explain>
      <paraID>7CE61495</paraID>
      <start>88</start>
      <end>89</end>
      <status>unmodified</status>
      <modifiedWord/>
      <trackRevisions>false</trackRevisions>
    </reviewItem>
    <reviewItem>
      <errorID>336f4696-7d6c-4a7b-b904-0013886809a1</errorID>
      <errorWord>)</errorWord>
      <group>L1_Format</group>
      <groupName>格式问题</groupName>
      <ability>L2_HalfPunc_CN</ability>
      <abilityName>全半角问题</abilityName>
      <candidateList>
        <item>）</item>
      </candidateList>
      <explain>文本全半角错误。</explain>
      <paraID>7CE61495</paraID>
      <start>92</start>
      <end>93</end>
      <status>unmodified</status>
      <modifiedWord/>
      <trackRevisions>false</trackRevisions>
    </reviewItem>
    <reviewItem>
      <errorID>6919a3b2-f8a4-4c6e-b6ac-174afd8dea8f</errorID>
      <errorWord>1～85%</errorWord>
      <group>L1_Knowledge</group>
      <groupName>知识性问题</groupName>
      <ability>L2_Knowledge</ability>
      <abilityName>其他知识</abilityName>
      <candidateList>
        <item>1%～85%</item>
      </candidateList>
      <explain>1. “1～85%”中的单位“%”仅出现在后一个数字上，容易引起歧义；根据《现代汉语标点符号数字用法规范手册》，数字表示范围两边需要使用统一的格式。2. 根据标点国标 4.13 中的规则，数字、时间或地域连接符应使用（视觉上更长的）“—”或“～”。</explain>
      <paraID>58A855F9</paraID>
      <start>10</start>
      <end>15</end>
      <status>unmodified</status>
      <modifiedWord/>
      <trackRevisions>false</trackRevisions>
    </reviewItem>
    <reviewItem>
      <errorID>daf41bcd-ae89-49f5-baed-72212031233c</errorID>
      <errorWord>-</errorWord>
      <group>L1_Format</group>
      <groupName>格式问题</groupName>
      <ability>L2_HalfPunc_CN</ability>
      <abilityName>全半角问题</abilityName>
      <candidateList>
        <item>－</item>
      </candidateList>
      <explain>文本全半角错误。</explain>
      <paraID>4E29A1BF</paraID>
      <start>7</start>
      <end>8</end>
      <status>unmodified</status>
      <modifiedWord/>
      <trackRevisions>false</trackRevisions>
    </reviewItem>
    <reviewItem>
      <errorID>c9d1acd0-f846-4b99-bb95-20ed0f3fef0d</errorID>
      <errorWord>-</errorWord>
      <group>L1_Format</group>
      <groupName>格式问题</groupName>
      <ability>L2_HalfPunc_CN</ability>
      <abilityName>全半角问题</abilityName>
      <candidateList>
        <item>－</item>
      </candidateList>
      <explain>文本全半角错误。</explain>
      <paraID>4E29A1BF</paraID>
      <start>13</start>
      <end>14</end>
      <status>unmodified</status>
      <modifiedWord/>
      <trackRevisions>false</trackRevisions>
    </reviewItem>
    <reviewItem>
      <errorID>53a5a9f6-cfad-45d6-9a4a-bde7b4c42803</errorID>
      <errorWord>-</errorWord>
      <group>L1_Format</group>
      <groupName>格式问题</groupName>
      <ability>L2_HalfPunc_CN</ability>
      <abilityName>全半角问题</abilityName>
      <candidateList>
        <item>－</item>
      </candidateList>
      <explain>文本全半角错误。</explain>
      <paraID>4E29A1BF</paraID>
      <start>19</start>
      <end>20</end>
      <status>unmodified</status>
      <modifiedWord/>
      <trackRevisions>false</trackRevisions>
    </reviewItem>
    <reviewItem>
      <errorID>5967a3a7-ac59-4510-bf0b-70a9edadd4a8</errorID>
      <errorWord>-</errorWord>
      <group>L1_Format</group>
      <groupName>格式问题</groupName>
      <ability>L2_HalfPunc_CN</ability>
      <abilityName>全半角问题</abilityName>
      <candidateList>
        <item>－</item>
      </candidateList>
      <explain>文本全半角错误。</explain>
      <paraID>6E2FEDCB</paraID>
      <start>7</start>
      <end>8</end>
      <status>unmodified</status>
      <modifiedWord/>
      <trackRevisions>false</trackRevisions>
    </reviewItem>
    <reviewItem>
      <errorID>4ad78d25-9335-430e-9d55-7d0927ce0196</errorID>
      <errorWord>-</errorWord>
      <group>L1_Format</group>
      <groupName>格式问题</groupName>
      <ability>L2_HalfPunc_CN</ability>
      <abilityName>全半角问题</abilityName>
      <candidateList>
        <item>－</item>
      </candidateList>
      <explain>文本全半角错误。</explain>
      <paraID>6E2FEDCB</paraID>
      <start>14</start>
      <end>15</end>
      <status>unmodified</status>
      <modifiedWord/>
      <trackRevisions>false</trackRevisions>
    </reviewItem>
    <reviewItem>
      <errorID>88da9275-dee1-4860-a15e-c135b56a08a3</errorID>
      <errorWord>-</errorWord>
      <group>L1_Format</group>
      <groupName>格式问题</groupName>
      <ability>L2_HalfPunc_CN</ability>
      <abilityName>全半角问题</abilityName>
      <candidateList>
        <item>－</item>
      </candidateList>
      <explain>文本全半角错误。</explain>
      <paraID>6E2FEDCB</paraID>
      <start>21</start>
      <end>22</end>
      <status>unmodified</status>
      <modifiedWord/>
      <trackRevisions>false</trackRevisions>
    </reviewItem>
    <reviewItem>
      <errorID>8884ae2c-9c18-45cf-9323-115afb1d0602</errorID>
      <errorWord>rpm</errorWord>
      <group>L1_Knowledge</group>
      <groupName>知识性问题</groupName>
      <ability>L2_Knowledge</ability>
      <abilityName>其他知识</abilityName>
      <candidateList/>
      <explain>非法定单位</explain>
      <paraID>580F0C2E</paraID>
      <start>21</start>
      <end>24</end>
      <status>unmodified</status>
      <modifiedWord/>
      <trackRevisions>false</trackRevisions>
    </reviewItem>
    <reviewItem>
      <errorID>c6db3197-4fb9-4b23-952d-e73c684a0d36</errorID>
      <errorWord>易用</errorWord>
      <group>L1_Word</group>
      <groupName>字词问题</groupName>
      <ability>L2_Typo</ability>
      <abilityName>字词错误</abilityName>
      <candidateList>
        <item>易于</item>
      </candidateList>
      <explain>存在字形相近字词的误用。</explain>
      <paraID>758B1F66</paraID>
      <start>38</start>
      <end>40</end>
      <status>unmodified</status>
      <modifiedWord/>
      <trackRevisions>false</trackRevisions>
    </reviewItem>
    <reviewItem>
      <errorID>b133c33a-f114-43df-bc78-9efb1c4730b7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4FFBDB81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9ab0c1-cef9-4163-b0f3-b33d6795c27d}">
  <ds:schemaRefs/>
</ds:datastoreItem>
</file>

<file path=docProps/app.xml><?xml version="1.0" encoding="utf-8"?>
<Properties xmlns="http://schemas.openxmlformats.org/officeDocument/2006/extended-properties" xmlns:vt="http://schemas.openxmlformats.org/officeDocument/2006/docPropsVTypes">
  <Template>Normal.dotm</Template>
  <Pages>73</Pages>
  <Words>135</Words>
  <Characters>146</Characters>
  <Lines>0</Lines>
  <Paragraphs>0</Paragraphs>
  <TotalTime>133</TotalTime>
  <ScaleCrop>false</ScaleCrop>
  <LinksUpToDate>false</LinksUpToDate>
  <CharactersWithSpaces>178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2024-01-16T04:20:00Z</dcterms:created>
  <dc:creator>mm</dc:creator>
  <cp:lastModifiedBy>mm</cp:lastModifiedBy>
  <cp:lastPrinted>2026-09-29T00:40:00Z</cp:lastPrinted>
  <dcterms:modified xsi:type="dcterms:W3CDTF">2026-09-30T02:32:58Z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42394D423DF44172A9BAC56E249DE465_13</vt:lpwstr>
  </property>
  <property fmtid="{D5CDD505-2E9C-101B-9397-08002B2CF9AE}" pid="4" name="KSOTemplateDocerSaveRecord">
    <vt:lpwstr>eyJoZGlkIjoiMGZmNzVhMTkyYTkzNjU1ZjkzZjU3ODhiZWFkM2Q1NTYiLCJ1c2VySWQiOiIyMzQxNDE4MjYifQ==</vt:lpwstr>
  </property>
</Properties>
</file>