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97A6E">
      <w:pPr>
        <w:pStyle w:val="6"/>
        <w:jc w:val="center"/>
        <w:rPr>
          <w:rFonts w:hint="eastAsia" w:ascii="仿宋_GB2312" w:hAnsi="仿宋_GB2312" w:eastAsia="仿宋_GB2312" w:cs="仿宋_GB2312"/>
          <w:b/>
          <w:bCs/>
          <w:sz w:val="28"/>
          <w:szCs w:val="28"/>
          <w:lang w:eastAsia="zh-CN"/>
        </w:rPr>
      </w:pPr>
      <w:r>
        <w:rPr>
          <w:rFonts w:ascii="仿宋_GB2312" w:hAnsi="仿宋_GB2312" w:eastAsia="仿宋_GB2312" w:cs="仿宋_GB2312"/>
          <w:b/>
          <w:bCs/>
          <w:sz w:val="28"/>
          <w:szCs w:val="28"/>
        </w:rPr>
        <w:t>采购包1：</w:t>
      </w:r>
      <w:r>
        <w:rPr>
          <w:rFonts w:hint="eastAsia" w:ascii="仿宋_GB2312" w:hAnsi="仿宋_GB2312" w:eastAsia="仿宋_GB2312" w:cs="仿宋_GB2312"/>
          <w:b/>
          <w:bCs/>
          <w:sz w:val="28"/>
          <w:szCs w:val="28"/>
          <w:lang w:eastAsia="zh-CN"/>
        </w:rPr>
        <w:t>2026年陕西省五级联赛暨西安市社区运动会“省级示范赛点”赛事及配套活动</w:t>
      </w:r>
    </w:p>
    <w:p w14:paraId="2770CEEA">
      <w:pPr>
        <w:pStyle w:val="6"/>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default"/>
        </w:rPr>
      </w:pPr>
      <w:r>
        <w:rPr>
          <w:rFonts w:hint="eastAsia" w:ascii="仿宋_GB2312" w:hAnsi="仿宋_GB2312" w:eastAsia="仿宋_GB2312" w:cs="仿宋_GB2312"/>
          <w:b/>
          <w:sz w:val="21"/>
          <w:lang w:val="en-US" w:eastAsia="zh-CN"/>
        </w:rPr>
        <w:t>一、</w:t>
      </w:r>
      <w:r>
        <w:rPr>
          <w:rFonts w:ascii="仿宋_GB2312" w:hAnsi="仿宋_GB2312" w:eastAsia="仿宋_GB2312" w:cs="仿宋_GB2312"/>
          <w:b/>
          <w:sz w:val="21"/>
        </w:rPr>
        <w:t>服务内容</w:t>
      </w:r>
    </w:p>
    <w:p w14:paraId="44E546D9">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1.供应商负责承担本次比赛的比赛场地、竞赛保障、赛事策划、商务开发、竞赛组织和器材保障、颁奖仪式、媒体宣传推广、场地</w:t>
      </w:r>
      <w:bookmarkStart w:id="0" w:name="_GoBack"/>
      <w:bookmarkEnd w:id="0"/>
      <w:r>
        <w:rPr>
          <w:rFonts w:ascii="仿宋_GB2312" w:hAnsi="仿宋_GB2312" w:eastAsia="仿宋_GB2312" w:cs="仿宋_GB2312"/>
          <w:sz w:val="21"/>
        </w:rPr>
        <w:t>搭建（含灯光音响）、氛围布置营造、志愿者招募管理、后勤接待保障、各类资料印制、赛事保险、医疗保障、安全保卫、电力、通信保障、奖励奖牌证书采购等。并向使用部门提交赛事总结等与赛事服务运营有关一切事务，方案策划及运营服务需符合体育赛事相应规范要求。</w:t>
      </w:r>
    </w:p>
    <w:p w14:paraId="7DF9C297">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sz w:val="21"/>
        </w:rPr>
        <w:t>2.比赛总结：高质量、高水平、高效率的协助完成委托的其他工作事项，确保各项工作顺利推进，协助采购人完成赛事相关资料汇总，每项赛事提交赛事总结报告，并及时提交比赛总结报告及相关</w:t>
      </w:r>
      <w:r>
        <w:rPr>
          <w:rFonts w:ascii="仿宋_GB2312" w:hAnsi="仿宋_GB2312" w:eastAsia="仿宋_GB2312" w:cs="仿宋_GB2312"/>
          <w:color w:val="auto"/>
          <w:sz w:val="21"/>
          <w:highlight w:val="none"/>
        </w:rPr>
        <w:t>档案资料，内容齐全。</w:t>
      </w:r>
    </w:p>
    <w:p w14:paraId="0FEB72CE">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color w:val="auto"/>
          <w:sz w:val="21"/>
          <w:highlight w:val="none"/>
        </w:rPr>
        <w:t>3.在活动的执行过程中，合作双方应遵循采购人确认原则，即所有的设计策划方案、详细报价的预算及结算等，均由供应商提出建议和说明，但最终以双方确认的内容或方式执行。</w:t>
      </w:r>
    </w:p>
    <w:p w14:paraId="4CC71B72">
      <w:pPr>
        <w:pStyle w:val="6"/>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default" w:ascii="仿宋_GB2312" w:hAnsi="仿宋_GB2312" w:eastAsia="仿宋_GB2312" w:cs="仿宋_GB2312"/>
          <w:b/>
          <w:color w:val="auto"/>
          <w:sz w:val="21"/>
          <w:highlight w:val="none"/>
          <w:lang w:val="en-US" w:eastAsia="zh-CN"/>
        </w:rPr>
      </w:pPr>
      <w:r>
        <w:rPr>
          <w:rFonts w:hint="eastAsia" w:ascii="仿宋_GB2312" w:hAnsi="仿宋_GB2312" w:eastAsia="仿宋_GB2312" w:cs="仿宋_GB2312"/>
          <w:b/>
          <w:color w:val="auto"/>
          <w:sz w:val="21"/>
          <w:highlight w:val="none"/>
          <w:lang w:val="en-US" w:eastAsia="zh-CN"/>
        </w:rPr>
        <w:t>二、参赛队伍</w:t>
      </w:r>
    </w:p>
    <w:p w14:paraId="7A5B583B">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color w:val="auto"/>
          <w:sz w:val="21"/>
          <w:highlight w:val="none"/>
        </w:rPr>
        <w:t>各区县选拔赛优秀队伍、个人。</w:t>
      </w:r>
    </w:p>
    <w:p w14:paraId="61FC4AE3">
      <w:pPr>
        <w:pStyle w:val="6"/>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default" w:ascii="仿宋_GB2312" w:hAnsi="仿宋_GB2312" w:eastAsia="仿宋_GB2312" w:cs="仿宋_GB2312"/>
          <w:b/>
          <w:color w:val="auto"/>
          <w:sz w:val="21"/>
          <w:highlight w:val="none"/>
          <w:lang w:val="en-US" w:eastAsia="zh-CN"/>
        </w:rPr>
      </w:pPr>
      <w:r>
        <w:rPr>
          <w:rFonts w:hint="eastAsia" w:ascii="仿宋_GB2312" w:hAnsi="仿宋_GB2312" w:eastAsia="仿宋_GB2312" w:cs="仿宋_GB2312"/>
          <w:b/>
          <w:color w:val="auto"/>
          <w:sz w:val="21"/>
          <w:highlight w:val="none"/>
          <w:lang w:val="en-US" w:eastAsia="zh-CN"/>
        </w:rPr>
        <w:t>三、项目及介绍</w:t>
      </w:r>
    </w:p>
    <w:p w14:paraId="773B108C">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ascii="仿宋_GB2312" w:hAnsi="仿宋_GB2312" w:eastAsia="仿宋_GB2312" w:cs="仿宋_GB2312"/>
          <w:color w:val="auto"/>
          <w:sz w:val="21"/>
          <w:highlight w:val="none"/>
        </w:rPr>
      </w:pPr>
      <w:r>
        <w:rPr>
          <w:rFonts w:ascii="仿宋_GB2312" w:hAnsi="仿宋_GB2312" w:eastAsia="仿宋_GB2312" w:cs="仿宋_GB2312"/>
          <w:color w:val="auto"/>
          <w:sz w:val="21"/>
          <w:highlight w:val="none"/>
        </w:rPr>
        <w:t>竞赛项目：2026年陕西省五级联赛暨西安市社区运动会市级决赛（羽毛球、足球、广播体操、三人制篮球）及配套活动</w:t>
      </w:r>
    </w:p>
    <w:p w14:paraId="3D931735">
      <w:pPr>
        <w:pStyle w:val="6"/>
        <w:keepNext w:val="0"/>
        <w:keepLines w:val="0"/>
        <w:pageBreakBefore w:val="0"/>
        <w:kinsoku/>
        <w:wordWrap/>
        <w:overflowPunct/>
        <w:topLinePunct w:val="0"/>
        <w:autoSpaceDE/>
        <w:autoSpaceDN/>
        <w:bidi w:val="0"/>
        <w:adjustRightInd/>
        <w:snapToGrid/>
        <w:spacing w:line="400" w:lineRule="exact"/>
        <w:ind w:firstLine="400" w:firstLineChars="200"/>
        <w:textAlignment w:val="auto"/>
        <w:rPr>
          <w:rFonts w:hint="default" w:ascii="仿宋_GB2312" w:eastAsia="仿宋_GB2312"/>
          <w:color w:val="auto"/>
          <w:highlight w:val="none"/>
        </w:rPr>
      </w:pPr>
      <w:r>
        <w:rPr>
          <w:rFonts w:ascii="仿宋_GB2312" w:eastAsia="仿宋_GB2312"/>
          <w:color w:val="auto"/>
          <w:highlight w:val="none"/>
        </w:rPr>
        <w:t>赛事规模（各项目约300人）</w:t>
      </w:r>
    </w:p>
    <w:p w14:paraId="5FFBE450">
      <w:pPr>
        <w:pStyle w:val="6"/>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default" w:ascii="仿宋_GB2312" w:hAnsi="仿宋_GB2312" w:eastAsia="仿宋_GB2312" w:cs="仿宋_GB2312"/>
          <w:b/>
          <w:color w:val="auto"/>
          <w:sz w:val="21"/>
          <w:highlight w:val="none"/>
          <w:lang w:val="en-US" w:eastAsia="zh-CN"/>
        </w:rPr>
      </w:pPr>
      <w:r>
        <w:rPr>
          <w:rFonts w:hint="eastAsia" w:ascii="仿宋_GB2312" w:hAnsi="仿宋_GB2312" w:eastAsia="仿宋_GB2312" w:cs="仿宋_GB2312"/>
          <w:b/>
          <w:color w:val="auto"/>
          <w:sz w:val="21"/>
          <w:highlight w:val="none"/>
          <w:lang w:val="en-US" w:eastAsia="zh-CN"/>
        </w:rPr>
        <w:t>四、保险服务</w:t>
      </w:r>
    </w:p>
    <w:p w14:paraId="1ED1AFBA">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color w:val="auto"/>
          <w:sz w:val="21"/>
          <w:highlight w:val="none"/>
        </w:rPr>
        <w:t>1.保险对象是指参与本赛事活动的所有人员，投保必须以单位名义，不能以个人名义投保。</w:t>
      </w:r>
    </w:p>
    <w:p w14:paraId="5A02A0FB">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color w:val="auto"/>
          <w:sz w:val="21"/>
          <w:highlight w:val="none"/>
        </w:rPr>
        <w:t>2.对举办比赛体育场相关联的风险和责任进行投保，此类保险应向受伤人员或者受损物品和财产进行合适数量赔偿。</w:t>
      </w:r>
    </w:p>
    <w:p w14:paraId="63FD8F12">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color w:val="auto"/>
          <w:sz w:val="21"/>
          <w:highlight w:val="none"/>
        </w:rPr>
        <w:t>3.为所有参赛球员购买覆盖赛事周期的人身意外伤害险和死亡险。</w:t>
      </w:r>
    </w:p>
    <w:p w14:paraId="4D6E3800">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color w:val="auto"/>
          <w:sz w:val="21"/>
          <w:highlight w:val="none"/>
        </w:rPr>
        <w:t>4.承保训练及比赛期间的意外伤害及意外医疗保险。</w:t>
      </w:r>
    </w:p>
    <w:p w14:paraId="3D29E89E">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color w:val="auto"/>
          <w:sz w:val="21"/>
          <w:highlight w:val="none"/>
        </w:rPr>
        <w:t>5.每位被保险人限投一份，多投无效。</w:t>
      </w:r>
    </w:p>
    <w:p w14:paraId="74F4417F">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color w:val="auto"/>
          <w:highlight w:val="none"/>
        </w:rPr>
      </w:pPr>
      <w:r>
        <w:rPr>
          <w:rFonts w:ascii="仿宋_GB2312" w:hAnsi="仿宋_GB2312" w:eastAsia="仿宋_GB2312" w:cs="仿宋_GB2312"/>
          <w:color w:val="auto"/>
          <w:sz w:val="21"/>
          <w:highlight w:val="none"/>
        </w:rPr>
        <w:t>6.被保险人应采取合理的预防措施，尽力避免或减少责任事故的发生。</w:t>
      </w:r>
    </w:p>
    <w:p w14:paraId="4DF36D36">
      <w:pPr>
        <w:pStyle w:val="6"/>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hint="default"/>
          <w:color w:val="auto"/>
          <w:sz w:val="21"/>
          <w:szCs w:val="21"/>
          <w:highlight w:val="none"/>
        </w:rPr>
      </w:pPr>
      <w:r>
        <w:rPr>
          <w:rFonts w:ascii="仿宋_GB2312" w:hAnsi="仿宋_GB2312" w:eastAsia="仿宋_GB2312" w:cs="仿宋_GB2312"/>
          <w:color w:val="auto"/>
          <w:sz w:val="21"/>
          <w:highlight w:val="none"/>
        </w:rPr>
        <w:t>7.参赛队伍同时也要为球队官员和运动员购买保险，应自行负责其运动队在赛区所有比赛中包括运动员和官员在内的保险问题（包括意外门急诊，住院和外科手术或由比赛引发的</w:t>
      </w:r>
      <w:r>
        <w:rPr>
          <w:rFonts w:ascii="仿宋_GB2312" w:hAnsi="仿宋_GB2312" w:eastAsia="仿宋_GB2312" w:cs="仿宋_GB2312"/>
          <w:color w:val="auto"/>
          <w:sz w:val="21"/>
          <w:szCs w:val="21"/>
          <w:highlight w:val="none"/>
        </w:rPr>
        <w:t>其他相关问题，如失能，失业等），且参赛队伍必须使各级政府、体育部门免遭此类起诉。</w:t>
      </w:r>
    </w:p>
    <w:p w14:paraId="465072AE">
      <w:pPr>
        <w:pStyle w:val="6"/>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default" w:ascii="仿宋_GB2312" w:hAnsi="仿宋_GB2312" w:eastAsia="仿宋_GB2312" w:cs="仿宋_GB2312"/>
          <w:b/>
          <w:color w:val="auto"/>
          <w:sz w:val="21"/>
          <w:highlight w:val="none"/>
          <w:lang w:val="en-US" w:eastAsia="zh-CN"/>
        </w:rPr>
      </w:pPr>
      <w:r>
        <w:rPr>
          <w:rFonts w:hint="eastAsia" w:ascii="仿宋_GB2312" w:hAnsi="仿宋_GB2312" w:eastAsia="仿宋_GB2312" w:cs="仿宋_GB2312"/>
          <w:b/>
          <w:color w:val="auto"/>
          <w:sz w:val="21"/>
          <w:highlight w:val="none"/>
          <w:lang w:val="en-US" w:eastAsia="zh-CN"/>
        </w:rPr>
        <w:t>五、医务</w:t>
      </w:r>
    </w:p>
    <w:p w14:paraId="62E97B71">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color w:val="auto"/>
          <w:sz w:val="21"/>
          <w:highlight w:val="none"/>
        </w:rPr>
        <w:t>1.比赛场地和训练场地均应提供医疗服务，</w:t>
      </w:r>
      <w:r>
        <w:rPr>
          <w:rFonts w:ascii="仿宋_GB2312" w:hAnsi="仿宋_GB2312" w:eastAsia="仿宋_GB2312" w:cs="仿宋_GB2312"/>
          <w:sz w:val="21"/>
        </w:rPr>
        <w:t>并配备救护车和比赛常备药品。救护车应配AED及使用AED 设备的专业医务人员，可供比赛及训练使用。比赛时，救护车应于赛前60分钟抵达赛场，至赛后30分钟离开；训练时，救护车应于训练前30分钟抵达训练场，至训练结束后30分钟离开。</w:t>
      </w:r>
    </w:p>
    <w:p w14:paraId="50EF9579">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2.赛区应设指定医院，并开通就医相关绿色通道。</w:t>
      </w:r>
    </w:p>
    <w:p w14:paraId="0ED03383">
      <w:pPr>
        <w:pStyle w:val="6"/>
        <w:keepNext w:val="0"/>
        <w:keepLines w:val="0"/>
        <w:pageBreakBefore w:val="0"/>
        <w:kinsoku/>
        <w:wordWrap/>
        <w:overflowPunct/>
        <w:topLinePunct w:val="0"/>
        <w:autoSpaceDE/>
        <w:autoSpaceDN/>
        <w:bidi w:val="0"/>
        <w:adjustRightInd/>
        <w:snapToGrid/>
        <w:spacing w:line="400" w:lineRule="exact"/>
        <w:ind w:firstLine="422" w:firstLineChars="200"/>
        <w:jc w:val="both"/>
        <w:textAlignment w:val="auto"/>
        <w:rPr>
          <w:rFonts w:hint="default"/>
        </w:rPr>
      </w:pPr>
      <w:r>
        <w:rPr>
          <w:rFonts w:hint="eastAsia" w:ascii="仿宋_GB2312" w:hAnsi="仿宋_GB2312" w:eastAsia="仿宋_GB2312" w:cs="仿宋_GB2312"/>
          <w:b/>
          <w:sz w:val="21"/>
          <w:lang w:val="en-US" w:eastAsia="zh-CN"/>
        </w:rPr>
        <w:t>六、</w:t>
      </w:r>
      <w:r>
        <w:rPr>
          <w:rFonts w:ascii="仿宋_GB2312" w:hAnsi="仿宋_GB2312" w:eastAsia="仿宋_GB2312" w:cs="仿宋_GB2312"/>
          <w:b/>
          <w:sz w:val="21"/>
        </w:rPr>
        <w:t>宣传</w:t>
      </w:r>
    </w:p>
    <w:p w14:paraId="46AB0734">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1.承办方应成立宣传工作小组，按照要求，确定一名新闻负责人，负责赛事的相关宣传工作。赛事举行期间可根据赛事的情况向当地媒体提供相应的赛事信息和报道素材。赛事期间和全部结束后撰写赛事相关新闻稿(配比赛及活动照片)。发布市级以上宣传稿件4篇以上，各类媒介共计10篇以上。</w:t>
      </w:r>
    </w:p>
    <w:p w14:paraId="571B5A11">
      <w:pPr>
        <w:pStyle w:val="6"/>
        <w:keepNext w:val="0"/>
        <w:keepLines w:val="0"/>
        <w:pageBreakBefore w:val="0"/>
        <w:kinsoku/>
        <w:wordWrap/>
        <w:overflowPunct/>
        <w:topLinePunct w:val="0"/>
        <w:autoSpaceDE/>
        <w:autoSpaceDN/>
        <w:bidi w:val="0"/>
        <w:adjustRightInd/>
        <w:snapToGrid/>
        <w:spacing w:line="400" w:lineRule="exact"/>
        <w:ind w:firstLine="420" w:firstLineChars="200"/>
        <w:jc w:val="both"/>
        <w:textAlignment w:val="auto"/>
        <w:rPr>
          <w:rFonts w:hint="default" w:ascii="仿宋_GB2312" w:hAnsi="仿宋_GB2312" w:eastAsia="仿宋_GB2312" w:cs="仿宋_GB2312"/>
          <w:sz w:val="21"/>
        </w:rPr>
      </w:pPr>
      <w:r>
        <w:rPr>
          <w:rFonts w:ascii="仿宋_GB2312" w:hAnsi="仿宋_GB2312" w:eastAsia="仿宋_GB2312" w:cs="仿宋_GB2312"/>
          <w:sz w:val="21"/>
        </w:rPr>
        <w:t>2.承办方应组织1-2名专业摄影人员对比赛相关活动及每场赛事进行全程录像及图片拍摄，制作宣传视频不少于3条（30秒钟），拍摄的录像和数码图片应按活动名称和比赛对阵名称进行文件分类。</w:t>
      </w:r>
    </w:p>
    <w:p w14:paraId="1F33ABA2">
      <w:pPr>
        <w:pStyle w:val="6"/>
        <w:keepNext w:val="0"/>
        <w:keepLines w:val="0"/>
        <w:pageBreakBefore w:val="0"/>
        <w:kinsoku/>
        <w:wordWrap/>
        <w:overflowPunct/>
        <w:topLinePunct w:val="0"/>
        <w:autoSpaceDE/>
        <w:autoSpaceDN/>
        <w:bidi w:val="0"/>
        <w:adjustRightInd/>
        <w:snapToGrid/>
        <w:spacing w:line="400" w:lineRule="exact"/>
        <w:ind w:firstLine="422" w:firstLineChars="200"/>
        <w:jc w:val="both"/>
        <w:textAlignment w:val="auto"/>
        <w:rPr>
          <w:rFonts w:hint="default"/>
        </w:rPr>
      </w:pPr>
      <w:r>
        <w:rPr>
          <w:rFonts w:hint="eastAsia" w:ascii="仿宋_GB2312" w:hAnsi="仿宋_GB2312" w:eastAsia="仿宋_GB2312" w:cs="仿宋_GB2312"/>
          <w:b/>
          <w:sz w:val="21"/>
          <w:lang w:val="en-US" w:eastAsia="zh-CN"/>
        </w:rPr>
        <w:t>七、</w:t>
      </w:r>
      <w:r>
        <w:rPr>
          <w:rFonts w:ascii="仿宋_GB2312" w:hAnsi="仿宋_GB2312" w:eastAsia="仿宋_GB2312" w:cs="仿宋_GB2312"/>
          <w:b/>
          <w:sz w:val="21"/>
        </w:rPr>
        <w:t>秩序册</w:t>
      </w:r>
    </w:p>
    <w:p w14:paraId="49F0BD92">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1.比赛秩序册由供应商制作,秩序册制作数量可根据参赛队数量确定。秩序册内页内容应包括：</w:t>
      </w:r>
    </w:p>
    <w:p w14:paraId="64D19BBE">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①秩序册目录</w:t>
      </w:r>
    </w:p>
    <w:p w14:paraId="5E1C48FE">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②项目组委会人员及办事机构成员名单、竞赛官员名单</w:t>
      </w:r>
    </w:p>
    <w:p w14:paraId="75CC157B">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③项目纪律委员会和仲裁委员会成员名单</w:t>
      </w:r>
    </w:p>
    <w:p w14:paraId="66225616">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④竞赛规程总则</w:t>
      </w:r>
    </w:p>
    <w:p w14:paraId="3AA0E2C9">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⑤竞赛规程</w:t>
      </w:r>
    </w:p>
    <w:p w14:paraId="62AE47E8">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⑥赛事补充通知</w:t>
      </w:r>
    </w:p>
    <w:p w14:paraId="3E095753">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⑦比赛期间各项活动日程</w:t>
      </w:r>
    </w:p>
    <w:p w14:paraId="5B6209A9">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⑧竞赛日程</w:t>
      </w:r>
    </w:p>
    <w:p w14:paraId="309DD876">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⑨参赛运动员名单</w:t>
      </w:r>
    </w:p>
    <w:p w14:paraId="73B2E8CD">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⑩其他补充说明</w:t>
      </w:r>
    </w:p>
    <w:p w14:paraId="14A505A1">
      <w:pPr>
        <w:pStyle w:val="6"/>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default" w:ascii="仿宋_GB2312" w:hAnsi="仿宋_GB2312" w:eastAsia="仿宋_GB2312" w:cs="仿宋_GB2312"/>
          <w:b/>
          <w:color w:val="000000"/>
          <w:sz w:val="21"/>
        </w:rPr>
      </w:pPr>
      <w:r>
        <w:rPr>
          <w:rFonts w:hint="eastAsia" w:ascii="仿宋_GB2312" w:hAnsi="仿宋_GB2312" w:eastAsia="仿宋_GB2312" w:cs="仿宋_GB2312"/>
          <w:b/>
          <w:color w:val="000000"/>
          <w:sz w:val="21"/>
          <w:lang w:val="en-US" w:eastAsia="zh-CN"/>
        </w:rPr>
        <w:t>八、</w:t>
      </w:r>
      <w:r>
        <w:rPr>
          <w:rFonts w:ascii="仿宋_GB2312" w:hAnsi="仿宋_GB2312" w:eastAsia="仿宋_GB2312" w:cs="仿宋_GB2312"/>
          <w:b/>
          <w:color w:val="000000"/>
          <w:sz w:val="21"/>
        </w:rPr>
        <w:t>总结及报告</w:t>
      </w:r>
    </w:p>
    <w:p w14:paraId="3D2EB037">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ascii="仿宋_GB2312" w:hAnsi="仿宋_GB2312" w:eastAsia="仿宋_GB2312" w:cs="仿宋_GB2312"/>
          <w:color w:val="000000"/>
          <w:sz w:val="21"/>
        </w:rPr>
      </w:pPr>
      <w:r>
        <w:rPr>
          <w:rFonts w:ascii="仿宋_GB2312" w:hAnsi="仿宋_GB2312" w:eastAsia="仿宋_GB2312" w:cs="仿宋_GB2312"/>
          <w:color w:val="000000"/>
          <w:sz w:val="21"/>
        </w:rPr>
        <w:t>与主办方共同对赛事活动进行总结复盘积累经验，汇总所有资料、图片、视频等，整理成册并制作图册，以便归档查阅。</w:t>
      </w:r>
    </w:p>
    <w:p w14:paraId="2EAAE4FB">
      <w:pPr>
        <w:pStyle w:val="6"/>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default"/>
        </w:rPr>
      </w:pPr>
      <w:r>
        <w:rPr>
          <w:rFonts w:hint="eastAsia" w:ascii="仿宋_GB2312" w:hAnsi="仿宋_GB2312" w:eastAsia="仿宋_GB2312" w:cs="仿宋_GB2312"/>
          <w:b/>
          <w:color w:val="000000"/>
          <w:sz w:val="21"/>
          <w:lang w:val="en-US" w:eastAsia="zh-CN"/>
        </w:rPr>
        <w:t>九、</w:t>
      </w:r>
      <w:r>
        <w:rPr>
          <w:rFonts w:ascii="仿宋_GB2312" w:hAnsi="仿宋_GB2312" w:eastAsia="仿宋_GB2312" w:cs="仿宋_GB2312"/>
          <w:b/>
          <w:color w:val="000000"/>
          <w:sz w:val="21"/>
        </w:rPr>
        <w:t>有关要求</w:t>
      </w:r>
    </w:p>
    <w:p w14:paraId="322DFC53">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1.做好竞赛组织各项工作；做好比赛监督、裁判监督、裁判员的选派工作。</w:t>
      </w:r>
    </w:p>
    <w:p w14:paraId="6FB467E0">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2.对于在比赛中出现领队、教练员、队员有违规违纪行为，根据国家体育总局赛事相关要求和规定进行处罚。</w:t>
      </w:r>
    </w:p>
    <w:p w14:paraId="5C58D71E">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ascii="仿宋_GB2312" w:hAnsi="仿宋_GB2312" w:eastAsia="仿宋_GB2312" w:cs="仿宋_GB2312"/>
          <w:sz w:val="21"/>
        </w:rPr>
      </w:pPr>
      <w:r>
        <w:rPr>
          <w:rFonts w:ascii="仿宋_GB2312" w:hAnsi="仿宋_GB2312" w:eastAsia="仿宋_GB2312" w:cs="仿宋_GB2312"/>
          <w:sz w:val="21"/>
        </w:rPr>
        <w:t>3.加强安全管控。各单位要压实赛事活动安全监管责任，制定针对性强、便于操作、科学合理的安全风险防控和应急救助预案，建立一体化安全责任体系，确保比赛安全有序。提高安全综合保障能力，确保配备医护人员（救护车）、购买参赛保险，提升交通安全、天气预警等综合保障水平。</w:t>
      </w:r>
    </w:p>
    <w:p w14:paraId="0F1531F6">
      <w:pPr>
        <w:pStyle w:val="6"/>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rPr>
      </w:pPr>
      <w:r>
        <w:rPr>
          <w:rFonts w:ascii="仿宋_GB2312" w:hAnsi="仿宋_GB2312" w:eastAsia="仿宋_GB2312" w:cs="仿宋_GB2312"/>
          <w:sz w:val="21"/>
        </w:rPr>
        <w:t>4.所有项目照片、视频、文字资料档案等电子版资料备份至移动硬盘（至少1T），赛后统一提供给采购方。</w:t>
      </w:r>
    </w:p>
    <w:p w14:paraId="12B73C98">
      <w:pPr>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ascii="仿宋_GB2312" w:hAnsi="仿宋_GB2312" w:eastAsia="仿宋_GB2312" w:cs="仿宋_GB2312"/>
          <w:b/>
        </w:rPr>
      </w:pPr>
      <w:r>
        <w:rPr>
          <w:rFonts w:ascii="仿宋_GB2312" w:hAnsi="仿宋_GB2312" w:eastAsia="仿宋_GB2312" w:cs="仿宋_GB2312"/>
          <w:b/>
        </w:rPr>
        <w:t>5.本规程解释权属大会组委会，未尽事宜另行通知。</w:t>
      </w:r>
    </w:p>
    <w:p w14:paraId="6D28F8E2">
      <w:pPr>
        <w:keepNext w:val="0"/>
        <w:keepLines w:val="0"/>
        <w:pageBreakBefore w:val="0"/>
        <w:kinsoku/>
        <w:wordWrap/>
        <w:overflowPunct/>
        <w:topLinePunct w:val="0"/>
        <w:autoSpaceDE/>
        <w:autoSpaceDN/>
        <w:bidi w:val="0"/>
        <w:adjustRightInd/>
        <w:snapToGrid/>
        <w:ind w:firstLine="422" w:firstLineChars="200"/>
        <w:textAlignment w:val="auto"/>
        <w:rPr>
          <w:rFonts w:ascii="仿宋_GB2312" w:hAnsi="仿宋_GB2312" w:eastAsia="仿宋_GB2312" w:cs="仿宋_GB2312"/>
          <w:b/>
        </w:rPr>
      </w:pPr>
    </w:p>
    <w:p w14:paraId="5F4DC3BC">
      <w:pPr>
        <w:keepNext w:val="0"/>
        <w:keepLines w:val="0"/>
        <w:pageBreakBefore w:val="0"/>
        <w:kinsoku/>
        <w:wordWrap/>
        <w:overflowPunct/>
        <w:topLinePunct w:val="0"/>
        <w:autoSpaceDE/>
        <w:autoSpaceDN/>
        <w:bidi w:val="0"/>
        <w:adjustRightInd/>
        <w:snapToGrid/>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06421F"/>
    <w:rsid w:val="000026C6"/>
    <w:rsid w:val="000178C8"/>
    <w:rsid w:val="0002496A"/>
    <w:rsid w:val="00076417"/>
    <w:rsid w:val="000A1011"/>
    <w:rsid w:val="00110F5F"/>
    <w:rsid w:val="0011554F"/>
    <w:rsid w:val="0017165D"/>
    <w:rsid w:val="001777E7"/>
    <w:rsid w:val="001E08D2"/>
    <w:rsid w:val="00232A31"/>
    <w:rsid w:val="0025038C"/>
    <w:rsid w:val="002573D9"/>
    <w:rsid w:val="002869A5"/>
    <w:rsid w:val="00316E03"/>
    <w:rsid w:val="003C4DA2"/>
    <w:rsid w:val="003D6605"/>
    <w:rsid w:val="00413753"/>
    <w:rsid w:val="00417116"/>
    <w:rsid w:val="004976F7"/>
    <w:rsid w:val="004A224A"/>
    <w:rsid w:val="00505018"/>
    <w:rsid w:val="005871A1"/>
    <w:rsid w:val="005B0CF6"/>
    <w:rsid w:val="005C415C"/>
    <w:rsid w:val="005E0479"/>
    <w:rsid w:val="00686928"/>
    <w:rsid w:val="006D2489"/>
    <w:rsid w:val="006E57C8"/>
    <w:rsid w:val="006F58FB"/>
    <w:rsid w:val="00772DD9"/>
    <w:rsid w:val="007D602F"/>
    <w:rsid w:val="00821A6D"/>
    <w:rsid w:val="008A3B54"/>
    <w:rsid w:val="009074FA"/>
    <w:rsid w:val="009516A4"/>
    <w:rsid w:val="00981F90"/>
    <w:rsid w:val="009F6C54"/>
    <w:rsid w:val="00AB4298"/>
    <w:rsid w:val="00AF64BC"/>
    <w:rsid w:val="00BB3C40"/>
    <w:rsid w:val="00BD6D7A"/>
    <w:rsid w:val="00BF6199"/>
    <w:rsid w:val="00C107E0"/>
    <w:rsid w:val="00C64739"/>
    <w:rsid w:val="00C913E1"/>
    <w:rsid w:val="00CA0AB1"/>
    <w:rsid w:val="00D04988"/>
    <w:rsid w:val="00DF34AF"/>
    <w:rsid w:val="00E37661"/>
    <w:rsid w:val="00E44969"/>
    <w:rsid w:val="100A4EB6"/>
    <w:rsid w:val="17847C3F"/>
    <w:rsid w:val="1B2D4875"/>
    <w:rsid w:val="40261FEE"/>
    <w:rsid w:val="462D14AE"/>
    <w:rsid w:val="5906421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null3"/>
    <w:hidden/>
    <w:qFormat/>
    <w:uiPriority w:val="0"/>
    <w:rPr>
      <w:rFonts w:hint="eastAsia" w:asciiTheme="minorHAnsi" w:hAnsiTheme="minorHAnsi" w:eastAsiaTheme="minorEastAsia" w:cstheme="minorBidi"/>
      <w:lang w:val="en-US" w:eastAsia="zh-CN" w:bidi="ar-SA"/>
    </w:rPr>
  </w:style>
  <w:style w:type="character" w:customStyle="1" w:styleId="7">
    <w:name w:val="页眉 Char"/>
    <w:basedOn w:val="5"/>
    <w:link w:val="3"/>
    <w:qFormat/>
    <w:uiPriority w:val="0"/>
    <w:rPr>
      <w:kern w:val="2"/>
      <w:sz w:val="18"/>
      <w:szCs w:val="18"/>
    </w:rPr>
  </w:style>
  <w:style w:type="character" w:customStyle="1" w:styleId="8">
    <w:name w:val="页脚 Char"/>
    <w:basedOn w:val="5"/>
    <w:link w:val="2"/>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1669</Words>
  <Characters>1710</Characters>
  <Lines>15</Lines>
  <Paragraphs>4</Paragraphs>
  <TotalTime>2</TotalTime>
  <ScaleCrop>false</ScaleCrop>
  <LinksUpToDate>false</LinksUpToDate>
  <CharactersWithSpaces>1711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2025-08-22T08:52:00Z</dcterms:created>
  <dc:creator>大十三哥</dc:creator>
  <cp:lastModifiedBy>朱娟</cp:lastModifiedBy>
  <cp:lastPrinted>2026-07-13T02:01:00Z</cp:lastPrinted>
  <dcterms:modified xsi:type="dcterms:W3CDTF">2026-07-31T03:38:11Z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0CA21E6EE15A4B53ACEBC3E8D5D0761C_13</vt:lpwstr>
  </property>
  <property fmtid="{D5CDD505-2E9C-101B-9397-08002B2CF9AE}" pid="4" name="KSOTemplateDocerSaveRecord">
    <vt:lpwstr>eyJoZGlkIjoiNmQ5YTlhOTI1MTIxMWQzZmNmMTc3YTIwMzNkYjU1MDciLCJ1c2VySWQiOiIyMDIwODMyODIifQ==</vt:lpwstr>
  </property>
</Properties>
</file>