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版本号：FYZX-SXHZ-260320260610001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佛坪县老城区北供热管网延伸工程项目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FYZX-SXHZ-2603</w:t>
      </w:r>
      <w:r>
        <w:br/>
      </w:r>
      <w:r>
        <w:br/>
      </w:r>
      <w:r>
        <w:br/>
      </w:r>
    </w:p>
    <w:p>
      <w:pPr>
        <w:pStyle w:val="null3"/>
        <w:jc w:val="center"/>
        <w:outlineLvl w:val="2"/>
      </w:pPr>
      <w:r>
        <w:rPr>
          <w:rFonts w:ascii="仿宋_GB2312" w:hAnsi="仿宋_GB2312" w:cs="仿宋_GB2312" w:eastAsia="仿宋_GB2312"/>
          <w:sz w:val="28"/>
          <w:b/>
        </w:rPr>
        <w:t>佛坪县住房和城乡建设管理局</w:t>
      </w:r>
    </w:p>
    <w:p>
      <w:pPr>
        <w:pStyle w:val="null3"/>
        <w:jc w:val="center"/>
        <w:outlineLvl w:val="2"/>
      </w:pPr>
      <w:r>
        <w:rPr>
          <w:rFonts w:ascii="仿宋_GB2312" w:hAnsi="仿宋_GB2312" w:cs="仿宋_GB2312" w:eastAsia="仿宋_GB2312"/>
          <w:sz w:val="28"/>
          <w:b/>
        </w:rPr>
        <w:t>方宇工程咨询有限公司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方宇工程咨询有限公司</w:t>
      </w:r>
      <w:r>
        <w:rPr>
          <w:rFonts w:ascii="仿宋_GB2312" w:hAnsi="仿宋_GB2312" w:cs="仿宋_GB2312" w:eastAsia="仿宋_GB2312"/>
        </w:rPr>
        <w:t>（以下简称“代理机构”）受</w:t>
      </w:r>
      <w:r>
        <w:rPr>
          <w:rFonts w:ascii="仿宋_GB2312" w:hAnsi="仿宋_GB2312" w:cs="仿宋_GB2312" w:eastAsia="仿宋_GB2312"/>
        </w:rPr>
        <w:t>佛坪县住房和城乡建设管理局</w:t>
      </w:r>
      <w:r>
        <w:rPr>
          <w:rFonts w:ascii="仿宋_GB2312" w:hAnsi="仿宋_GB2312" w:cs="仿宋_GB2312" w:eastAsia="仿宋_GB2312"/>
        </w:rPr>
        <w:t>委托，拟对</w:t>
      </w:r>
      <w:r>
        <w:rPr>
          <w:rFonts w:ascii="仿宋_GB2312" w:hAnsi="仿宋_GB2312" w:cs="仿宋_GB2312" w:eastAsia="仿宋_GB2312"/>
        </w:rPr>
        <w:t>佛坪县老城区北供热管网延伸工程项目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FYZX-SXHZ-2603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佛坪县老城区北供热管网延伸工程项目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1.以老城区供热管道北端县发改局为起点，延伸至县武装部，新建供热管道480米，钢筋混凝土阀门井2座；2.幼儿园至轻工小区管网，新建供热管道370米，钢筋混凝土阀门井1座；3.乡镇楼、统筹办、广电局暖通，敷设保温钢管574米，热量表9个，以及其他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投标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3、供应商资质要求：投标供应商须提供建设行政主管部门颁发的市政公用工程施工总承包二级及以上资质，并提供有效的安全生产许可证。</w:t>
      </w:r>
    </w:p>
    <w:p>
      <w:pPr>
        <w:pStyle w:val="null3"/>
      </w:pPr>
      <w:r>
        <w:rPr>
          <w:rFonts w:ascii="仿宋_GB2312" w:hAnsi="仿宋_GB2312" w:cs="仿宋_GB2312" w:eastAsia="仿宋_GB2312"/>
        </w:rPr>
        <w:t>4、项目负责人资质和专业要求：具备市政公用工程专业二级及以上注册建造师执业资格，并取得安全生产考核合格证书（建安B），且无在建工程。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6、非联合体、不分包响应证明：本项目不接受联合体响应，不允许分包。供应商应提供《非联合体不分包投标声明》，视为独立响应，不分包。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佛坪县住房和城乡建设管理局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熊猫大道33号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佛坪县住房和城乡建设管理局经办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18992629636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方宇工程咨询有限公司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陕西省西安市新城区西安市新城区尚勤路151号8层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0916-2102446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采购包1：1,139,403.00元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开户名称：方宇工程咨询有限公司汉中汉南分公司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银行账号：61050165500009091213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佛坪县住房和城乡建设管理局</w:t>
      </w:r>
      <w:r>
        <w:rPr>
          <w:rFonts w:ascii="仿宋_GB2312" w:hAnsi="仿宋_GB2312" w:cs="仿宋_GB2312" w:eastAsia="仿宋_GB2312"/>
        </w:rPr>
        <w:t>和</w:t>
      </w:r>
      <w:r>
        <w:rPr>
          <w:rFonts w:ascii="仿宋_GB2312" w:hAnsi="仿宋_GB2312" w:cs="仿宋_GB2312" w:eastAsia="仿宋_GB2312"/>
        </w:rPr>
        <w:t>方宇工程咨询有限公司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佛坪县住房和城乡建设管理局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方宇工程咨询有限公司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佛坪县住房和城乡建设管理局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方宇工程咨询有限公司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方宇工程咨询有限公司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方宇工程咨询有限公司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方宇工程咨询有限公司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联系人：何伟</w:t>
      </w:r>
    </w:p>
    <w:p>
      <w:pPr>
        <w:pStyle w:val="null3"/>
      </w:pPr>
      <w:r>
        <w:rPr>
          <w:rFonts w:ascii="仿宋_GB2312" w:hAnsi="仿宋_GB2312" w:cs="仿宋_GB2312" w:eastAsia="仿宋_GB2312"/>
        </w:rPr>
        <w:t>联系电话：0916-2102446</w:t>
      </w:r>
    </w:p>
    <w:p>
      <w:pPr>
        <w:pStyle w:val="null3"/>
      </w:pPr>
      <w:r>
        <w:rPr>
          <w:rFonts w:ascii="仿宋_GB2312" w:hAnsi="仿宋_GB2312" w:cs="仿宋_GB2312" w:eastAsia="仿宋_GB2312"/>
        </w:rPr>
        <w:t>地址：汉台区滨江西路中交滨江国际118号商铺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1,139,403.00</w:t>
      </w:r>
    </w:p>
    <w:p>
      <w:pPr>
        <w:pStyle w:val="null3"/>
      </w:pPr>
      <w:r>
        <w:rPr>
          <w:rFonts w:ascii="仿宋_GB2312" w:hAnsi="仿宋_GB2312" w:cs="仿宋_GB2312" w:eastAsia="仿宋_GB2312"/>
        </w:rPr>
        <w:t>采购包最高限价（元）: 1,139,403.00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供热管网延伸工程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1,139,403.00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标的名称：供热管网延伸工程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主要建设内容为：1.以老城区供热管道北端县发改局为起点，延伸至县武装部，新建供热管道480米，钢筋混凝土阀门井2座；2.幼儿园至轻工小区管网，新建供热管道370米，钢筋混凝土阀门井1座；3.乡镇楼、统筹办、广电局暖通，敷设保温钢管574米，热量表9个，以及其他附属设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招标范围：施工图设计范围内、工程量清单内的全部内容，工程量清单详见附件。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工期要求：</w:t>
            </w:r>
            <w:r>
              <w:rPr>
                <w:rFonts w:ascii="仿宋_GB2312" w:hAnsi="仿宋_GB2312" w:cs="仿宋_GB2312" w:eastAsia="仿宋_GB2312"/>
                <w:sz w:val="21"/>
                <w:color w:val="000000"/>
              </w:rPr>
              <w:t>60</w:t>
            </w:r>
            <w:r>
              <w:rPr>
                <w:rFonts w:ascii="仿宋_GB2312" w:hAnsi="仿宋_GB2312" w:cs="仿宋_GB2312" w:eastAsia="仿宋_GB2312"/>
                <w:sz w:val="21"/>
                <w:color w:val="000000"/>
              </w:rPr>
              <w:t>日历天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报价要求：本项目报价采用固定综合单价承包，以中标价（中标综合单价）作为合同价的结算依据进行结算，投标供应商自行考虑并承担风险。即</w:t>
            </w:r>
            <w:r>
              <w:rPr>
                <w:rFonts w:ascii="仿宋_GB2312" w:hAnsi="仿宋_GB2312" w:cs="仿宋_GB2312" w:eastAsia="仿宋_GB2312"/>
                <w:sz w:val="21"/>
                <w:color w:val="000000"/>
              </w:rPr>
              <w:t>现场施工费、现场安全措施费、保险费、服务费、售后服务、外购、外协、配套件、原材料及生产制造、包装、保险、税费、管理、检验、运杂费</w:t>
            </w:r>
            <w:r>
              <w:rPr>
                <w:rFonts w:ascii="仿宋_GB2312" w:hAnsi="仿宋_GB2312" w:cs="仿宋_GB2312" w:eastAsia="仿宋_GB2312"/>
                <w:sz w:val="21"/>
                <w:color w:val="000000"/>
              </w:rPr>
              <w:t>、装卸费、安装调试、培训、配合、检测验收、图纸资料及保修、施工中产生的一切协调性费用及其他所有费用的总和。工程量清单中存在漏项或</w:t>
            </w:r>
            <w:r>
              <w:rPr>
                <w:rFonts w:ascii="仿宋_GB2312" w:hAnsi="仿宋_GB2312" w:cs="仿宋_GB2312" w:eastAsia="仿宋_GB2312"/>
                <w:sz w:val="21"/>
                <w:color w:val="000000"/>
              </w:rPr>
              <w:t>某子目工程量计算偏差，竣工结算时按清单计算规则据实调整。投标综合单价一次包定。除国家工程计价政策允许调整外，其他因素发生变化不作</w:t>
            </w:r>
            <w:r>
              <w:rPr>
                <w:rFonts w:ascii="仿宋_GB2312" w:hAnsi="仿宋_GB2312" w:cs="仿宋_GB2312" w:eastAsia="仿宋_GB2312"/>
                <w:sz w:val="21"/>
                <w:color w:val="000000"/>
              </w:rPr>
              <w:t>调整。</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质量要求：合格。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经双方协商，工程完工，通过建设单位、设计单位、监理单位、施工单位的四方验收及有关地方行政管理部门审验并取得相应验收合格凭证。</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承包人严格按照国家颁发的施工验收规范及工程设计图纸（工程量清单）要求进行施工。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 具有依法缴纳税收和社会保障金的良好记录，参加本项目采购活动前三年内无重大违法活动记录 ，未列入在信用中国网站“失信被执行人”、“重大税收违法案件当事人名单”中，也未列入中国政府采购网“政府采购严重违法失信行为记录名单”中，须提供《汉中市政府采购供应商资格承诺函》。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投标供应商须提供建设行政主管部门颁发的市政公用工程施工总承包二级及以上资质，并提供有效的安全生产许可证。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具备市政公用工程专业二级及以上注册建造师执业资格，并取得安全生产考核合格证书（建安B），且无在建工程。</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技术标及方案.docx 已标价工程量清单 中小企业声明函 非联合体不分包投标声明.docx 汉中市政府采购供应商资格承诺函.docx 响应文件封面 供应商应提交的相关资格证明材料.docx 项目管理机构组成表 残疾人福利性单位声明函 报价函 标的清单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 项目编号、标段（如有）一致。</w:t>
            </w:r>
          </w:p>
        </w:tc>
        <w:tc>
          <w:tcPr>
            <w:tcW w:type="dxa" w:w="1661"/>
          </w:tcPr>
          <w:p>
            <w:pPr>
              <w:pStyle w:val="null3"/>
            </w:pPr>
            <w:r>
              <w:rPr>
                <w:rFonts w:ascii="仿宋_GB2312" w:hAnsi="仿宋_GB2312" w:cs="仿宋_GB2312" w:eastAsia="仿宋_GB2312"/>
              </w:rPr>
              <w:t>响应文件封面 响应函 法定代表人授权委托书.docx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响应人提供本项目施工方案，包括①施工方法（工艺）②施工组织和施工程序③施工重点难点④技术组织措施。 二、赋分标准： 1、完整性：方案内容完整全面，对上述各项内容均有描述，得4分；缺1项，得3分；缺2项，得2分；缺3项，得1分；不提供不得分。 2、针对性：针对性强，得4分；每有一处缺陷的扣1分。 3、可实施性：可实施性强，得4分；每有一处缺陷的扣1分。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一、评审内容：响应人提供本项目施工进度计划，包括①施工进度目标和施工总进度计划表/图②分部分项 工期一览表③重要工程的验收、检验的次序和时间。 二、赋分标准： 1、完整性：方案内容完整全面，对上述各项内容均有描述，得3分；缺1项，得2分；缺2 项，得1分；不提供不得分。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一、评审内容：响应人提供本项目工期保证措施，包括①施工组织与管理保证措施②施工技术措施。 二、赋分标准： 1、完整性：方案内容完整全面，对上述各项内容均有描述，得2分；缺1项，得1分；不提供不得分。 2、针对性：针对性强，得2分；每有一处缺陷的扣1分。 3、可实施性：可实施性强，得2分；每有一处缺陷的扣1分。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一、评审内容：响应人提供本项目质量保证措施，包括①工程质量目标②施工质量保证措施③施工质量管理与控制方案。 二、赋分标准： 1、完整性：方案内容完整全面，对上述各项内容均有描述，得3分；缺1项，得2分；缺2 项，得1分；不提供不得分。 2、针对性：针对性强，得1.5分；每有一处缺陷的扣0.5分。 3、可实施性：可实施性强，得1.5分；每有一处缺陷的扣0.5分。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一、评审内容：响应人提供本项目安全技术措施，包括①安全管理制度②安全责任归属划分③安全标识：安全警戒标语、施工人员安全警示服和安全帽穿配要求④安全教育培训。二、赋分标准： 1、完整性：方案内容完整全面，对上述各项内容均有描述，得 2 分；缺1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一、评审内容：响应人提供本项目文明施工措施，包括①成品保护措施和制度②施工现场的临时管理措施③文明施工保障措施④文物保护措施。 二、赋分标准： 1、完整性：方案内容完整全面，对上述各项内容均有描述，得 2 分；缺 1 项，得 1.5 分；缺 2 项，得 1分；缺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一、评审内容：响应人提供本项目环境保护措施，包括①环境保护管理体系②环保控制措施：污染物及废弃物的处理措施、噪音控制措施、防尘及扬尘的控制措施。 二、赋分标准： 1、完整性：方案内容完整全面，对上述各项内容均有描述，得 2 分；缺 1 项，得1分；不提供不得分。 2、针对性：针对性强，得 1 分；每有一处缺陷的扣0.5分。 3、可实施性：可实施性强，得 1 分；每有一处缺陷的扣0.5分。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项目部人员组织</w:t>
            </w:r>
          </w:p>
        </w:tc>
        <w:tc>
          <w:tcPr>
            <w:tcW w:type="dxa" w:w="2492"/>
          </w:tcPr>
          <w:p>
            <w:pPr>
              <w:pStyle w:val="null3"/>
            </w:pPr>
            <w:r>
              <w:rPr>
                <w:rFonts w:ascii="仿宋_GB2312" w:hAnsi="仿宋_GB2312" w:cs="仿宋_GB2312" w:eastAsia="仿宋_GB2312"/>
              </w:rPr>
              <w:t>针对本项目提供实施具体人员配置清单（技术负责人、施工员、质检员、安全员、材料员、预算员），包含：具体成员身份证、毕业证、岗位证书。提供以上清单中所有内容得 12分，每少提供1人或提供人员资料不齐全扣2分。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一、评审内容：响应人提供本项目的资源配置计划，包括①拟投入的主要施工机械设备计划②主要材料进场计划③劳动力投入计划。 二、赋分标准： 1、完整性：方案内容完整全面，对上述各项内容均有描述，得 3 分；缺 1 项，得 2 分；缺 2 项，得 1 分；不提供不得分。 2、针对性：针对性强，得 1.5分；每有一处缺陷的扣0.5分。 3、可实施性：可实施性强，得 1.5分；每有一处缺陷的扣0.5分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一、评审内容：响应人提供本项目的保修方案，包括①工程保修期②维护次数和维修费用③维修人员配备和服务措施④响应时间。 二、赋分标准： 1、完整性：方案内容完整全面，对上述各项内容均有描述，得 2 分；缺 1 项，得 1.5 分；缺 2 项，得 1 分；缺 3 项，得 0.5 分；不提供不得分。 2、针对性：针对性强，得 2 分；每有一处缺陷的扣0.5分。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有效供应商最低报价为基准价得30分，其他各供应商的报价得分按下列公式计算： 报价 得分=（基准价/磋商报价）×30。根据“最后报价”计算价格得分。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详见附件：技术标及方案.docx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详见附件：（GF-2017-0201）建设工程施工合同（示范文本）.docx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