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版本号：HZGH-2026-06120260825001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第四届西安国际养老产业博览会（展位搭建）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HZGH-2026-061</w:t>
      </w:r>
      <w:r>
        <w:br/>
      </w:r>
      <w:r>
        <w:br/>
      </w:r>
      <w:r>
        <w:br/>
      </w:r>
    </w:p>
    <w:p>
      <w:pPr>
        <w:pStyle w:val="null3"/>
        <w:jc w:val="center"/>
        <w:outlineLvl w:val="2"/>
      </w:pPr>
      <w:r>
        <w:rPr>
          <w:rFonts w:ascii="仿宋_GB2312" w:hAnsi="仿宋_GB2312" w:cs="仿宋_GB2312" w:eastAsia="仿宋_GB2312"/>
          <w:sz w:val="28"/>
          <w:b/>
        </w:rPr>
        <w:t>西安市民政局（本级）</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西安市民政局（本级）</w:t>
      </w:r>
      <w:r>
        <w:rPr>
          <w:rFonts w:ascii="仿宋_GB2312" w:hAnsi="仿宋_GB2312" w:cs="仿宋_GB2312" w:eastAsia="仿宋_GB2312"/>
        </w:rPr>
        <w:t>委托，拟对</w:t>
      </w:r>
      <w:r>
        <w:rPr>
          <w:rFonts w:ascii="仿宋_GB2312" w:hAnsi="仿宋_GB2312" w:cs="仿宋_GB2312" w:eastAsia="仿宋_GB2312"/>
        </w:rPr>
        <w:t>第四届西安国际养老产业博览会（展位搭建）</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HZGH-2026-061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第四届西安国际养老产业博览会（展位搭建）</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加快推进我市银发经济发展，增进老年人福祉，优化和扩大养老服务供给，释放养老消费潜力，推动养老事业和养老产业高质量发展，第四届西安国际养老产业博览会上搭建西安养老成果展区及西安星级机构展区，重点展示近3年来我市养老和老龄事业发展成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采购包1（第四届西安国际养老产业博览会（展位搭建））：属于专门面向中小企业采购。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 提供供应商合法注册的法⼈或者其他组织的营业执照等证明⽂件、 ⾃然⼈的⾝份证明；</w:t>
      </w:r>
    </w:p>
    <w:p>
      <w:pPr>
        <w:pStyle w:val="null3"/>
      </w:pPr>
      <w:r>
        <w:rPr>
          <w:rFonts w:ascii="仿宋_GB2312" w:hAnsi="仿宋_GB2312" w:cs="仿宋_GB2312" w:eastAsia="仿宋_GB2312"/>
        </w:rPr>
        <w:t>2、财务状况报告：提供具有财务审计资质单位出具的2024年度或2025年度财务报告（成⽴时间⾄磋商时间不⾜⼀年的可提供成⽴后任意时段的资产负债表）或磋商前六个⽉内其基本账戶银⾏出具的资信证明（附开戶许可证或基本账戶证明）或政府采购信⽤担保机构出具的磋商担保函。</w:t>
      </w:r>
    </w:p>
    <w:p>
      <w:pPr>
        <w:pStyle w:val="null3"/>
      </w:pPr>
      <w:r>
        <w:rPr>
          <w:rFonts w:ascii="仿宋_GB2312" w:hAnsi="仿宋_GB2312" w:cs="仿宋_GB2312" w:eastAsia="仿宋_GB2312"/>
        </w:rPr>
        <w:t>3、税收缴纳证明：提供2025年8⽉1⽇⾄今任意⼀个⽉已缴纳的纳税证明或完税证明（包含增值税、企业所得税 、营业税⾄少⼀种） ；（依法免税的投标⼈应提供相关⽂件证明）</w:t>
      </w:r>
    </w:p>
    <w:p>
      <w:pPr>
        <w:pStyle w:val="null3"/>
      </w:pPr>
      <w:r>
        <w:rPr>
          <w:rFonts w:ascii="仿宋_GB2312" w:hAnsi="仿宋_GB2312" w:cs="仿宋_GB2312" w:eastAsia="仿宋_GB2312"/>
        </w:rPr>
        <w:t>4、社会保障资⾦缴纳证明：提供2025年8⽉1⽇⾄今任意⼀个⽉的社保缴费凭据或社保机构开具的社会保险参保缴费情况证明；（依法不需要缴纳社会保障资⾦的投标⼈应提供相关证明）</w:t>
      </w:r>
    </w:p>
    <w:p>
      <w:pPr>
        <w:pStyle w:val="null3"/>
      </w:pPr>
      <w:r>
        <w:rPr>
          <w:rFonts w:ascii="仿宋_GB2312" w:hAnsi="仿宋_GB2312" w:cs="仿宋_GB2312" w:eastAsia="仿宋_GB2312"/>
        </w:rPr>
        <w:t>5、具有履⾏本合同所必需的设备和专业技术能⼒的说明及承诺：提供具有履⾏本合同所必需的设备和专业技术能⼒的说明及承诺；（格式⾃拟，加盖供应商公章）</w:t>
      </w:r>
    </w:p>
    <w:p>
      <w:pPr>
        <w:pStyle w:val="null3"/>
      </w:pPr>
      <w:r>
        <w:rPr>
          <w:rFonts w:ascii="仿宋_GB2312" w:hAnsi="仿宋_GB2312" w:cs="仿宋_GB2312" w:eastAsia="仿宋_GB2312"/>
        </w:rPr>
        <w:t>6、参加政府采购活动前三年内在经营活动中没有重⼤违法记录的书⾯声明：提供参加政府采购活动前三年内在经营活动中没有重⼤违法记录的书⾯声明。（格式⾃拟，加盖供应商公章）</w:t>
      </w:r>
    </w:p>
    <w:p>
      <w:pPr>
        <w:pStyle w:val="null3"/>
      </w:pPr>
      <w:r>
        <w:rPr>
          <w:rFonts w:ascii="仿宋_GB2312" w:hAnsi="仿宋_GB2312" w:cs="仿宋_GB2312" w:eastAsia="仿宋_GB2312"/>
        </w:rPr>
        <w:t>7、法定代表⼈或负责⼈资格证明书：法定代表⼈或负责⼈参与磋商时需提供法定代表⼈或负责⼈资格证明书；（附法定代表⼈或负责⼈⾝份证复印件）</w:t>
      </w:r>
    </w:p>
    <w:p>
      <w:pPr>
        <w:pStyle w:val="null3"/>
      </w:pPr>
      <w:r>
        <w:rPr>
          <w:rFonts w:ascii="仿宋_GB2312" w:hAnsi="仿宋_GB2312" w:cs="仿宋_GB2312" w:eastAsia="仿宋_GB2312"/>
        </w:rPr>
        <w:t>8、法定代表⼈或负责⼈授权委托书：被授权⼈参与磋商时， 需提供法定代表⼈或负责⼈资格证明书、法定代表⼈或负责⼈授权委 托书；（附法定代表⼈或负责⼈及被授权⼈⾝份证复印件）</w:t>
      </w:r>
    </w:p>
    <w:p>
      <w:pPr>
        <w:pStyle w:val="null3"/>
      </w:pPr>
      <w:r>
        <w:rPr>
          <w:rFonts w:ascii="仿宋_GB2312" w:hAnsi="仿宋_GB2312" w:cs="仿宋_GB2312" w:eastAsia="仿宋_GB2312"/>
        </w:rPr>
        <w:t>9、信⽤查询：供应商不得为“信⽤中国”⽹站（www.creditch ina.gov.cn） 中列⼊失信被执⾏⼈ 和重⼤税收 违法案件当事⼈名单的供应商， 不得为中国政 府采购⽹（www.ccgp.g ov.cn）政府采购严 重违法失信⾏为记录名单中被财政部⻔禁⽌参 加政府采购活动 的供应商；（提供书⾯承诺函 ， 格式⾃拟加盖供应商公章）</w:t>
      </w:r>
    </w:p>
    <w:p>
      <w:pPr>
        <w:pStyle w:val="null3"/>
      </w:pPr>
      <w:r>
        <w:rPr>
          <w:rFonts w:ascii="仿宋_GB2312" w:hAnsi="仿宋_GB2312" w:cs="仿宋_GB2312" w:eastAsia="仿宋_GB2312"/>
        </w:rPr>
        <w:t>10、单位负责⼈为同⼀⼈或者存 在直接 控股、管理关系的不 同供应商， 不得参加同⼀ 合同项下的政府采购 活动：单位负责⼈为同⼀⼈或者存在直接控股、管理 关系的不同供应商， 不得参加同⼀合 同项下的 政府采购活动；（提供书⾯承诺函， 格式⾃拟 加盖供应商公章）</w:t>
      </w:r>
    </w:p>
    <w:p>
      <w:pPr>
        <w:pStyle w:val="null3"/>
      </w:pPr>
      <w:r>
        <w:rPr>
          <w:rFonts w:ascii="仿宋_GB2312" w:hAnsi="仿宋_GB2312" w:cs="仿宋_GB2312" w:eastAsia="仿宋_GB2312"/>
        </w:rPr>
        <w:t>11、本项⽬不接受联合体磋商：本项⽬不接受联合体磋商. （提供书⾯承诺函，格式⾃拟加盖供应商公章）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郭护刚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13572002952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西安市雁塔区西部国际⼴场B座28楼2803室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029-87592321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办法&gt;的通知》(计价格〔2002〕1980号)、《国家发展改⾰委关于降低部分建设项⽬收费标准规范收费⾏为等有关问题的通知》(发改价格〔2011〕534号)以及财政部关于印发&lt;政府采购代理机构管理暂⾏办法&gt;的通知》（财库〔2018〕2号）规定执⾏。 2、招标代理服务费应采⽤转账形式交纳。 3、收款账⼾如下：收款单位：华招⼴和项⽬管理有限公司,开⼾银⾏：中国建设银⾏股份有限公司西安⾦泰假⽇花城⽀⾏,银⾏账号：6105 0186 5800 0000 0059。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西安市民政局（本级）</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联系电话：029-87592321</w:t>
      </w:r>
    </w:p>
    <w:p>
      <w:pPr>
        <w:pStyle w:val="null3"/>
      </w:pPr>
      <w:r>
        <w:rPr>
          <w:rFonts w:ascii="仿宋_GB2312" w:hAnsi="仿宋_GB2312" w:cs="仿宋_GB2312" w:eastAsia="仿宋_GB2312"/>
        </w:rPr>
        <w:t>地址：西安市雁塔区西部国际⼴场B座28楼2803室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快推进我市银发经济发展，增进老年人福祉，优化和扩大养老服务供给，释放养老消费潜力，推动养老事业和养老产业高质量发展，第四届西安国际养老产业博览会上搭建西安养老成果展区及西安星级机构展区，重点展示近3年来我市养老和老龄事业发展成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西安国际养老产业博览会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标的名称：西安国际养老产业博览会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w:t>
            </w:r>
            <w:r>
              <w:rPr>
                <w:rFonts w:ascii="仿宋_GB2312" w:hAnsi="仿宋_GB2312" w:cs="仿宋_GB2312" w:eastAsia="仿宋_GB2312"/>
              </w:rPr>
              <w:t>项目概况</w:t>
            </w:r>
          </w:p>
          <w:p>
            <w:pPr>
              <w:pStyle w:val="null3"/>
              <w:ind w:firstLine="480"/>
              <w:jc w:val="both"/>
            </w:pPr>
            <w:r>
              <w:rPr>
                <w:rFonts w:ascii="仿宋_GB2312" w:hAnsi="仿宋_GB2312" w:cs="仿宋_GB2312" w:eastAsia="仿宋_GB2312"/>
              </w:rPr>
              <w:t>为加快推进我市银发经济发展，增进老年人福祉，优化和扩大养老服务供给，释放养老消费潜力，推动养老事业和养老产业高质量发展，第四届西安国际养老产业博览会上搭建西安养老成果展区及西安星级机构展区，重点展示近3年来我市养老和老龄事业发展成果。</w:t>
            </w:r>
          </w:p>
          <w:p>
            <w:pPr>
              <w:pStyle w:val="null3"/>
              <w:jc w:val="both"/>
            </w:pPr>
            <w:r>
              <w:rPr>
                <w:rFonts w:ascii="仿宋_GB2312" w:hAnsi="仿宋_GB2312" w:cs="仿宋_GB2312" w:eastAsia="仿宋_GB2312"/>
              </w:rPr>
              <w:t>二、服务内容</w:t>
            </w:r>
          </w:p>
          <w:p>
            <w:pPr>
              <w:pStyle w:val="null3"/>
              <w:ind w:firstLine="480"/>
              <w:jc w:val="both"/>
            </w:pPr>
            <w:r>
              <w:rPr>
                <w:rFonts w:ascii="仿宋_GB2312" w:hAnsi="仿宋_GB2312" w:cs="仿宋_GB2312" w:eastAsia="仿宋_GB2312"/>
              </w:rPr>
              <w:t>在第四届西安老博会上搭建</w:t>
            </w:r>
            <w:r>
              <w:rPr>
                <w:rFonts w:ascii="仿宋_GB2312" w:hAnsi="仿宋_GB2312" w:cs="仿宋_GB2312" w:eastAsia="仿宋_GB2312"/>
              </w:rPr>
              <w:t>西安养老成果展区及西安星级机构展区</w:t>
            </w:r>
            <w:r>
              <w:rPr>
                <w:rFonts w:ascii="仿宋_GB2312" w:hAnsi="仿宋_GB2312" w:cs="仿宋_GB2312" w:eastAsia="仿宋_GB2312"/>
              </w:rPr>
              <w:t>。</w:t>
            </w:r>
          </w:p>
          <w:p>
            <w:pPr>
              <w:pStyle w:val="null3"/>
              <w:jc w:val="both"/>
            </w:pPr>
            <w:r>
              <w:rPr>
                <w:rFonts w:ascii="仿宋_GB2312" w:hAnsi="仿宋_GB2312" w:cs="仿宋_GB2312" w:eastAsia="仿宋_GB2312"/>
              </w:rPr>
              <w:t>三、</w:t>
            </w:r>
            <w:r>
              <w:rPr>
                <w:rFonts w:ascii="仿宋_GB2312" w:hAnsi="仿宋_GB2312" w:cs="仿宋_GB2312" w:eastAsia="仿宋_GB2312"/>
              </w:rPr>
              <w:t>服务要求</w:t>
            </w:r>
          </w:p>
          <w:p>
            <w:pPr>
              <w:pStyle w:val="null3"/>
              <w:ind w:firstLine="480"/>
              <w:jc w:val="both"/>
            </w:pPr>
            <w:r>
              <w:rPr>
                <w:rFonts w:ascii="仿宋_GB2312" w:hAnsi="仿宋_GB2312" w:cs="仿宋_GB2312" w:eastAsia="仿宋_GB2312"/>
              </w:rPr>
              <w:t>（一）进度要求</w:t>
            </w:r>
          </w:p>
          <w:p>
            <w:pPr>
              <w:pStyle w:val="null3"/>
              <w:ind w:firstLine="480"/>
              <w:jc w:val="both"/>
            </w:pPr>
            <w:r>
              <w:rPr>
                <w:rFonts w:ascii="仿宋_GB2312" w:hAnsi="仿宋_GB2312" w:cs="仿宋_GB2312" w:eastAsia="仿宋_GB2312"/>
              </w:rPr>
              <w:t>应在9月17日前完成西安养老成果展区及西安星级机构展区全部搭建工作。</w:t>
            </w:r>
          </w:p>
          <w:p>
            <w:pPr>
              <w:pStyle w:val="null3"/>
              <w:ind w:firstLine="480"/>
              <w:jc w:val="both"/>
            </w:pPr>
            <w:r>
              <w:rPr>
                <w:rFonts w:ascii="仿宋_GB2312" w:hAnsi="仿宋_GB2312" w:cs="仿宋_GB2312" w:eastAsia="仿宋_GB2312"/>
              </w:rPr>
              <w:t>（二）成果交付要求</w:t>
            </w:r>
          </w:p>
          <w:p>
            <w:pPr>
              <w:pStyle w:val="null3"/>
              <w:ind w:firstLine="480"/>
              <w:jc w:val="both"/>
            </w:pPr>
            <w:r>
              <w:rPr>
                <w:rFonts w:ascii="仿宋_GB2312" w:hAnsi="仿宋_GB2312" w:cs="仿宋_GB2312" w:eastAsia="仿宋_GB2312"/>
              </w:rPr>
              <w:t>活动结束后服务供应商向市民政局出具专业的总结报告，市民政局按照工作要求和设计图稿逐一对照检查，做到不漏项、不降低标准，确保项目执行真实性、完整性。</w:t>
            </w:r>
          </w:p>
          <w:p>
            <w:pPr>
              <w:pStyle w:val="null3"/>
              <w:ind w:firstLine="480"/>
              <w:jc w:val="both"/>
            </w:pPr>
            <w:r>
              <w:rPr>
                <w:rFonts w:ascii="仿宋_GB2312" w:hAnsi="仿宋_GB2312" w:cs="仿宋_GB2312" w:eastAsia="仿宋_GB2312"/>
              </w:rPr>
              <w:t>（三）质量验收标准或规范</w:t>
            </w:r>
          </w:p>
          <w:p>
            <w:pPr>
              <w:pStyle w:val="null3"/>
              <w:ind w:firstLine="480"/>
              <w:jc w:val="both"/>
            </w:pPr>
            <w:r>
              <w:rPr>
                <w:rFonts w:ascii="仿宋_GB2312" w:hAnsi="仿宋_GB2312" w:cs="仿宋_GB2312" w:eastAsia="仿宋_GB2312"/>
              </w:rPr>
              <w:t>按照合同要求，在第四届西安老博会开幕前完成西安养老成果展区及西安星级机构展区全部搭建工作。</w:t>
            </w:r>
          </w:p>
          <w:p>
            <w:pPr>
              <w:pStyle w:val="null3"/>
              <w:ind w:firstLine="480"/>
              <w:jc w:val="both"/>
            </w:pPr>
            <w:r>
              <w:rPr>
                <w:rFonts w:ascii="仿宋_GB2312" w:hAnsi="仿宋_GB2312" w:cs="仿宋_GB2312" w:eastAsia="仿宋_GB2312"/>
              </w:rPr>
              <w:t>（四）违约责任</w:t>
            </w:r>
          </w:p>
          <w:p>
            <w:pPr>
              <w:pStyle w:val="null3"/>
              <w:ind w:firstLine="480"/>
              <w:jc w:val="both"/>
            </w:pPr>
            <w:r>
              <w:rPr>
                <w:rFonts w:ascii="仿宋_GB2312" w:hAnsi="仿宋_GB2312" w:cs="仿宋_GB2312" w:eastAsia="仿宋_GB2312"/>
              </w:rPr>
              <w:t>服务供应商未按协议要求提供服务，且经市民政局书面要求整改仍无法满足服务需求，或给市民政局造成损失的，市民政局有权直接解除合同并追究服务供应商的违约责任，并且服务供应商承担由此造成的一切损失，包括直接损失和间接损失。</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自合同签订之日起至2026年9月20日。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预付款，合同自签订，达到付款条件起30个工作日内，支付合同总金额的70.0%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进度款，项目服务完毕后，达到付款条件起30个工作日内，支付合同总金额的30.0%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①本项⽬磋商⼀次，磋商后供应商根据磋商内容在规定的时间内通过交易系统递交磋商响应函，逾期未递交的视为⾃动放 弃竞争。②本项⽬采⽤两轮报价，响应⽂件中的报价为⾸次报价，磋商后的报价为最终报价。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 提供供应商合法注册的法⼈或者其他组织的营业执照等证明⽂件、 ⾃然⼈的⾝份证明；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成⽴时间⾄磋商时间不⾜⼀年的可提供成⽴后任意时段的资产负债表）或磋商前六个⽉内其基本账戶银⾏出具的资信证明（附开戶许可证或基本账戶证明）或政府采购信⽤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提供2025年8⽉1⽇⾄今任意⼀个⽉已缴纳的纳税证明或完税证明（包含增值税、企业所得税 、营业税⾄少⼀种） ；（依法免税的投标⼈应提供相关⽂件证明）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提供2025年8⽉1⽇⾄今任意⼀个⽉的社保缴费凭据或社保机构开具的社会保险参保缴费情况证明；（依法不需要缴纳社会保障资⾦的投标⼈应提供相关证明）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具有履⾏本合同所必需的设备和专业技术能⼒的说明及承诺</w:t>
            </w:r>
          </w:p>
        </w:tc>
        <w:tc>
          <w:tcPr>
            <w:tcW w:type="dxa" w:w="3322"/>
          </w:tcPr>
          <w:p>
            <w:pPr>
              <w:pStyle w:val="null3"/>
            </w:pPr>
            <w:r>
              <w:rPr>
                <w:rFonts w:ascii="仿宋_GB2312" w:hAnsi="仿宋_GB2312" w:cs="仿宋_GB2312" w:eastAsia="仿宋_GB2312"/>
              </w:rPr>
              <w:t>提供具有履⾏本合同所必需的设备和专业技术能⼒的说明及承诺；（格式⾃拟，加盖供应商公章）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参加政府采购活动前三年内在经营活动中没有重⼤违法记录的书⾯声明</w:t>
            </w:r>
          </w:p>
        </w:tc>
        <w:tc>
          <w:tcPr>
            <w:tcW w:type="dxa" w:w="3322"/>
          </w:tcPr>
          <w:p>
            <w:pPr>
              <w:pStyle w:val="null3"/>
            </w:pPr>
            <w:r>
              <w:rPr>
                <w:rFonts w:ascii="仿宋_GB2312" w:hAnsi="仿宋_GB2312" w:cs="仿宋_GB2312" w:eastAsia="仿宋_GB2312"/>
              </w:rPr>
              <w:t>提供参加政府采购活动前三年内在经营活动中没有重⼤违法记录的书⾯声明。（格式⾃拟，加盖供应商公章）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法定代表⼈或负责⼈资格证明书</w:t>
            </w:r>
          </w:p>
        </w:tc>
        <w:tc>
          <w:tcPr>
            <w:tcW w:type="dxa" w:w="3322"/>
          </w:tcPr>
          <w:p>
            <w:pPr>
              <w:pStyle w:val="null3"/>
            </w:pPr>
            <w:r>
              <w:rPr>
                <w:rFonts w:ascii="仿宋_GB2312" w:hAnsi="仿宋_GB2312" w:cs="仿宋_GB2312" w:eastAsia="仿宋_GB2312"/>
              </w:rPr>
              <w:t>法定代表⼈或负责⼈参与磋商时需提供法定代表⼈或负责⼈资格证明书；（附法定代表⼈或负责⼈⾝份证复印件）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法定代表⼈或负责⼈授权委托书</w:t>
            </w:r>
          </w:p>
        </w:tc>
        <w:tc>
          <w:tcPr>
            <w:tcW w:type="dxa" w:w="3322"/>
          </w:tcPr>
          <w:p>
            <w:pPr>
              <w:pStyle w:val="null3"/>
            </w:pPr>
            <w:r>
              <w:rPr>
                <w:rFonts w:ascii="仿宋_GB2312" w:hAnsi="仿宋_GB2312" w:cs="仿宋_GB2312" w:eastAsia="仿宋_GB2312"/>
              </w:rPr>
              <w:t>被授权⼈参与磋商时， 需提供法定代表⼈或负责⼈资格证明书、法定代表⼈或负责⼈授权委 托书；（附法定代表⼈或负责⼈及被授权⼈⾝份证复印件）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信⽤查询</w:t>
            </w:r>
          </w:p>
        </w:tc>
        <w:tc>
          <w:tcPr>
            <w:tcW w:type="dxa" w:w="3322"/>
          </w:tcPr>
          <w:p>
            <w:pPr>
              <w:pStyle w:val="null3"/>
            </w:pPr>
            <w:r>
              <w:rPr>
                <w:rFonts w:ascii="仿宋_GB2312" w:hAnsi="仿宋_GB2312" w:cs="仿宋_GB2312" w:eastAsia="仿宋_GB2312"/>
              </w:rPr>
              <w:t>供应商不得为“信⽤中国”⽹站（www.creditch ina.gov.cn） 中列⼊失信被执⾏⼈ 和重⼤税收 违法案件当事⼈名单的供应商， 不得为中国政 府采购⽹（www.ccgp.g ov.cn）政府采购严 重违法失信⾏为记录名单中被财政部⻔禁⽌参 加政府采购活动 的供应商；（提供书⾯承诺函 ， 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单位负责⼈为同⼀⼈或者存 在直接 控股、管理关系的不 同供应商， 不得参加同⼀ 合同项下的政府采购 活动</w:t>
            </w:r>
          </w:p>
        </w:tc>
        <w:tc>
          <w:tcPr>
            <w:tcW w:type="dxa" w:w="3322"/>
          </w:tcPr>
          <w:p>
            <w:pPr>
              <w:pStyle w:val="null3"/>
            </w:pPr>
            <w:r>
              <w:rPr>
                <w:rFonts w:ascii="仿宋_GB2312" w:hAnsi="仿宋_GB2312" w:cs="仿宋_GB2312" w:eastAsia="仿宋_GB2312"/>
              </w:rPr>
              <w:t>单位负责⼈为同⼀⼈或者存在直接控股、管理 关系的不同供应商， 不得参加同⼀合 同项下的 政府采购活动；（提供书⾯承诺函， 格式⾃拟 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本项⽬不接受联合体磋商</w:t>
            </w:r>
          </w:p>
        </w:tc>
        <w:tc>
          <w:tcPr>
            <w:tcW w:type="dxa" w:w="3322"/>
          </w:tcPr>
          <w:p>
            <w:pPr>
              <w:pStyle w:val="null3"/>
            </w:pPr>
            <w:r>
              <w:rPr>
                <w:rFonts w:ascii="仿宋_GB2312" w:hAnsi="仿宋_GB2312" w:cs="仿宋_GB2312" w:eastAsia="仿宋_GB2312"/>
              </w:rPr>
              <w:t>本项⽬不接受联合体磋商. （提供书⾯承诺函，格式⾃拟加盖供应商公章）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磋商响应⽂件的计量单位、报价货币及签字盖章</w:t>
            </w:r>
          </w:p>
        </w:tc>
        <w:tc>
          <w:tcPr>
            <w:tcW w:type="dxa" w:w="3322"/>
          </w:tcPr>
          <w:p>
            <w:pPr>
              <w:pStyle w:val="null3"/>
            </w:pPr>
            <w:r>
              <w:rPr>
                <w:rFonts w:ascii="仿宋_GB2312" w:hAnsi="仿宋_GB2312" w:cs="仿宋_GB2312" w:eastAsia="仿宋_GB2312"/>
              </w:rPr>
              <w:t>磋商响应⽂件的计量单位、报价货币及签字盖章符合磋商⽂件要求</w:t>
            </w:r>
          </w:p>
        </w:tc>
        <w:tc>
          <w:tcPr>
            <w:tcW w:type="dxa" w:w="1661"/>
          </w:tcPr>
          <w:p>
            <w:pPr>
              <w:pStyle w:val="null3"/>
            </w:pPr>
            <w:r>
              <w:rPr>
                <w:rFonts w:ascii="仿宋_GB2312" w:hAnsi="仿宋_GB2312" w:cs="仿宋_GB2312" w:eastAsia="仿宋_GB2312"/>
              </w:rPr>
              <w:t>响应文件封面 分项报价表.docx 承诺书.docx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磋商响应⽂件的有效期</w:t>
            </w:r>
          </w:p>
        </w:tc>
        <w:tc>
          <w:tcPr>
            <w:tcW w:type="dxa" w:w="3322"/>
          </w:tcPr>
          <w:p>
            <w:pPr>
              <w:pStyle w:val="null3"/>
            </w:pPr>
            <w:r>
              <w:rPr>
                <w:rFonts w:ascii="仿宋_GB2312" w:hAnsi="仿宋_GB2312" w:cs="仿宋_GB2312" w:eastAsia="仿宋_GB2312"/>
              </w:rPr>
              <w:t>磋商响应⽂件的有效期满⾜磋商⽂件规定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满⾜磋商⽂件规定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法律、法规和磋商⽂件中规定的其他实质性要 求</w:t>
            </w:r>
          </w:p>
        </w:tc>
        <w:tc>
          <w:tcPr>
            <w:tcW w:type="dxa" w:w="1661"/>
          </w:tcPr>
          <w:p>
            <w:pPr>
              <w:pStyle w:val="null3"/>
            </w:pPr>
            <w:r>
              <w:rPr>
                <w:rFonts w:ascii="仿宋_GB2312" w:hAnsi="仿宋_GB2312" w:cs="仿宋_GB2312" w:eastAsia="仿宋_GB2312"/>
              </w:rPr>
              <w:t>商务应答表 服务内容及服务要求应答表 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供应商提供针对本项目采购需求的理解，内容包括①项目背景与定位；②工作重难点分析；③阐述自身服务优势。 上述3项内容，每提供1项内容计2分，每项内容存在1处瑕疵扣0.5分；满分6分。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缺陷定义的内容“同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搭建方案</w:t>
            </w:r>
          </w:p>
        </w:tc>
        <w:tc>
          <w:tcPr>
            <w:tcW w:type="dxa" w:w="2492"/>
          </w:tcPr>
          <w:p>
            <w:pPr>
              <w:pStyle w:val="null3"/>
            </w:pPr>
            <w:r>
              <w:rPr>
                <w:rFonts w:ascii="仿宋_GB2312" w:hAnsi="仿宋_GB2312" w:cs="仿宋_GB2312" w:eastAsia="仿宋_GB2312"/>
              </w:rPr>
              <w:t>供应商针对本项目提供展台搭建方案。包括但不限于①展台设计方案及施工图绘制②搭建展台所需的设备清单③场馆内水电接入及报馆手续办理④展台拆除及垃圾清运及撤展方案⑤各阶段临时增加的配套服务。 上述5项内容，每提供1项内容计2分，每项内容存在1处瑕疵扣0.5分；满分10分。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策划方案</w:t>
            </w:r>
          </w:p>
        </w:tc>
        <w:tc>
          <w:tcPr>
            <w:tcW w:type="dxa" w:w="2492"/>
          </w:tcPr>
          <w:p>
            <w:pPr>
              <w:pStyle w:val="null3"/>
            </w:pPr>
            <w:r>
              <w:rPr>
                <w:rFonts w:ascii="仿宋_GB2312" w:hAnsi="仿宋_GB2312" w:cs="仿宋_GB2312" w:eastAsia="仿宋_GB2312"/>
              </w:rPr>
              <w:t>供应商针对本项目提供策划方案。包括但不限于①活动整体策划与设计方案②展位布置方案③会务服务与现场管理方案④交流活动组织方案。上述4项内容，每提供1项内容计2分，每项内容存在1处瑕疵扣0.5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后勤保障方案</w:t>
            </w:r>
          </w:p>
        </w:tc>
        <w:tc>
          <w:tcPr>
            <w:tcW w:type="dxa" w:w="2492"/>
          </w:tcPr>
          <w:p>
            <w:pPr>
              <w:pStyle w:val="null3"/>
            </w:pPr>
            <w:r>
              <w:rPr>
                <w:rFonts w:ascii="仿宋_GB2312" w:hAnsi="仿宋_GB2312" w:cs="仿宋_GB2312" w:eastAsia="仿宋_GB2312"/>
              </w:rPr>
              <w:t>供应商针对本项目提供保障方案。包括但不限于①各流程阶段人员、交通等费用计算措施②展品的收集、运输保障措施③后勤保障协调措施④项目质量保障方案等。 上述4项内容，每提供1项内容计1分，每项内容存在1处瑕疵扣0.5分；满分4分。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供应商针对本项目提供进度计划。包括但不限于①各关键节点进度安排②进度计划保障措施。 上述2项内容，每提供1项内容计1.5分，每项内容存在1处瑕疵扣0.5分；满分3分。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供应商针对本项目提供应急方案，至少包含：①在项目服务过程中可能出现的各类突发事项提出有针对性的应对措施②应急响应时间及措施③后续跟踪服务机制。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①供应商拟派项目负责人具有项目管理经验和统筹协调能力，提供相关证明材料（包括但不限于履历证明、相关资质、工作年限、学历证书等）。内容提供完整计4分，未提供不计分。 备注：提供工作履历表予以佐证。 ②提供项目负责人过往同类项目的业绩证明材料，提供合同扫描件，必须清晰体现签约主体和日期、项目名称及内容等核心要素，否则不计为有效业绩。每提供1份有效业绩计2分，最多得6分。 备注：合同内容须体现项目负责人名字，无法体现的须再提供本合同甲方加盖公章的证明材料，证明该项目负责人参与本项目实施。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拟派项目组人员.docx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供应商针对本项目成立专门项目组（除项目负责人外）。至少提供：①人员清单（包括但不限于人员姓名、数量、工作经验等信息）②岗位职责分工明确。 上述2项内容，每提供1项内容计2.5分，每项内容存在1处瑕疵扣0.5分；满分5分。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拟派项目组人员.docx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提供供应商2023年1月1日至今类似项目合同扫描件，扫描件必须清晰体现签约主体和日期、项目名称及内容、合同金额等核心要素。每提供1个有效业绩得3分，最高得15分。 备注：1、响应文件中提供合同扫描件加盖供应商公章。 2、与项目负责人业绩可重复计分。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承诺1：在项目履约期间，突发且与活动有关的工作内容，但未提前明确的，供应商应无条件积极配合采购人开展相关活动。 承诺2：供应商承诺：项目实施过程中发生任何安全、卫生等事故或问题；以及因违反规定产生的不良后果及经济损失。均由供应商负全责并承担一切损失及后果。采购人概不负责。 承诺3：供应商提交的方案、资料、成果及项目实施成果等不得侵犯他人肖像权、所有权、工业产权、著作权（版权）等知识产权，因使用未被授权使用的内容引起的纠纷及经济责任均由供应商自行承担，采购人不承担因此产生的任何责任。 承诺4：供应商承诺：本项目实施过程中产生的设计成果、文案作品、影像资料等知识产权，归采购人所有。供应商不得将上述成果用于本项目以外的任何用途。 承诺5：供应商承诺在项目实施过程中，未经采购人同意，不得随意更换项目组成员；确需更换的，更换人员的资历、经验及专业能力不得低于原定人员。 承诺6：供应商承诺：在本项目服务过程中与项目有关的任何资料和文件，保密义务自供应商首次接触项目信息之日起生效，并在合同终止后持续有效，直至相关信息依法进入公有领域或采购方书面解除保密义务为止。上述承诺，每提供1个承诺计2分，共12分，未承诺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合理化建议或增值服务</w:t>
            </w:r>
          </w:p>
        </w:tc>
        <w:tc>
          <w:tcPr>
            <w:tcW w:type="dxa" w:w="2492"/>
          </w:tcPr>
          <w:p>
            <w:pPr>
              <w:pStyle w:val="null3"/>
            </w:pPr>
            <w:r>
              <w:rPr>
                <w:rFonts w:ascii="仿宋_GB2312" w:hAnsi="仿宋_GB2312" w:cs="仿宋_GB2312" w:eastAsia="仿宋_GB2312"/>
              </w:rPr>
              <w:t>供应商提供针对有利于本项目实施的合理化建议或增值服务承诺，每提供1个经磋商小组一致认定的增值服务承诺计2分，最多得4分。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供应商认为有必要说明的事宜.docx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详见附件：拟派项目组人员.docx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