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9A966">
      <w:pPr>
        <w:pStyle w:val="13"/>
        <w:rPr>
          <w:rFonts w:hint="eastAsia" w:ascii="宋体" w:hAnsi="宋体" w:cs="楷体"/>
          <w:b/>
          <w:sz w:val="44"/>
          <w:szCs w:val="44"/>
        </w:rPr>
      </w:pPr>
    </w:p>
    <w:p w14:paraId="713A1C93">
      <w:pPr>
        <w:jc w:val="center"/>
        <w:outlineLvl w:val="9"/>
        <w:rPr>
          <w:rFonts w:hint="eastAsia" w:ascii="宋体" w:hAnsi="宋体" w:eastAsia="宋体" w:cs="宋体"/>
          <w:b/>
          <w:snapToGrid w:val="0"/>
          <w:sz w:val="48"/>
          <w:szCs w:val="48"/>
          <w:highlight w:val="none"/>
          <w:u w:val="single"/>
        </w:rPr>
      </w:pPr>
      <w:r>
        <w:rPr>
          <w:rFonts w:hint="eastAsia" w:hAnsi="宋体" w:cs="楷体"/>
          <w:b/>
          <w:sz w:val="56"/>
          <w:szCs w:val="56"/>
          <w:u w:val="single"/>
        </w:rPr>
        <w:t xml:space="preserve">  </w:t>
      </w:r>
      <w:r>
        <w:rPr>
          <w:rFonts w:hint="eastAsia" w:ascii="宋体" w:hAnsi="宋体" w:eastAsia="宋体" w:cs="宋体"/>
          <w:b/>
          <w:snapToGrid w:val="0"/>
          <w:sz w:val="48"/>
          <w:szCs w:val="48"/>
          <w:highlight w:val="none"/>
          <w:u w:val="single"/>
        </w:rPr>
        <w:t>(项目名称)</w:t>
      </w:r>
    </w:p>
    <w:p w14:paraId="60AEA619">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72083D6C">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5D086401">
      <w:pPr>
        <w:jc w:val="center"/>
        <w:rPr>
          <w:rFonts w:hint="eastAsia" w:ascii="宋体" w:hAnsi="宋体" w:eastAsia="宋体" w:cs="宋体"/>
          <w:sz w:val="30"/>
          <w:szCs w:val="30"/>
          <w:highlight w:val="none"/>
        </w:rPr>
      </w:pPr>
    </w:p>
    <w:p w14:paraId="2538EB60">
      <w:pPr>
        <w:jc w:val="center"/>
        <w:rPr>
          <w:rFonts w:hint="eastAsia" w:ascii="宋体" w:hAnsi="宋体" w:eastAsia="宋体" w:cs="宋体"/>
          <w:sz w:val="30"/>
          <w:szCs w:val="30"/>
          <w:highlight w:val="none"/>
        </w:rPr>
      </w:pPr>
    </w:p>
    <w:p w14:paraId="31A46B62">
      <w:pPr>
        <w:jc w:val="center"/>
        <w:rPr>
          <w:rFonts w:hint="eastAsia" w:ascii="宋体" w:hAnsi="宋体" w:eastAsia="宋体" w:cs="宋体"/>
          <w:sz w:val="30"/>
          <w:szCs w:val="30"/>
          <w:highlight w:val="none"/>
        </w:rPr>
      </w:pPr>
    </w:p>
    <w:p w14:paraId="02E75375">
      <w:pPr>
        <w:jc w:val="center"/>
        <w:rPr>
          <w:rFonts w:hint="eastAsia" w:ascii="宋体" w:hAnsi="宋体" w:eastAsia="宋体" w:cs="宋体"/>
          <w:sz w:val="30"/>
          <w:szCs w:val="30"/>
          <w:highlight w:val="none"/>
        </w:rPr>
      </w:pPr>
    </w:p>
    <w:p w14:paraId="7B5A7B33">
      <w:pPr>
        <w:jc w:val="center"/>
        <w:rPr>
          <w:rFonts w:hint="eastAsia" w:ascii="宋体" w:hAnsi="宋体" w:eastAsia="宋体" w:cs="宋体"/>
          <w:sz w:val="30"/>
          <w:szCs w:val="30"/>
          <w:highlight w:val="none"/>
        </w:rPr>
      </w:pPr>
    </w:p>
    <w:p w14:paraId="73988584">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542BBC62">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04C247AC">
      <w:pPr>
        <w:jc w:val="center"/>
        <w:rPr>
          <w:rFonts w:hint="eastAsia" w:ascii="宋体" w:hAnsi="宋体" w:eastAsia="宋体" w:cs="宋体"/>
          <w:sz w:val="30"/>
          <w:szCs w:val="30"/>
          <w:highlight w:val="none"/>
        </w:rPr>
      </w:pPr>
    </w:p>
    <w:p w14:paraId="6A9B1D2D">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6852A4AD">
      <w:pPr>
        <w:jc w:val="center"/>
        <w:rPr>
          <w:rFonts w:hint="eastAsia" w:ascii="宋体" w:hAnsi="宋体" w:eastAsia="宋体" w:cs="宋体"/>
          <w:sz w:val="32"/>
          <w:szCs w:val="32"/>
          <w:highlight w:val="none"/>
        </w:rPr>
      </w:pPr>
    </w:p>
    <w:p w14:paraId="5A1D7B63">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0" w:name="_Toc28398"/>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0"/>
    </w:p>
    <w:p w14:paraId="392EEB4B">
      <w:pPr>
        <w:spacing w:line="360" w:lineRule="auto"/>
        <w:rPr>
          <w:rFonts w:hAnsi="宋体" w:cs="宋体"/>
          <w:color w:val="auto"/>
          <w:sz w:val="24"/>
          <w:szCs w:val="24"/>
          <w:highlight w:val="none"/>
          <w:u w:val="single"/>
        </w:rPr>
      </w:pPr>
      <w:r>
        <w:rPr>
          <w:rFonts w:hint="eastAsia" w:hAnsi="宋体" w:cs="宋体"/>
          <w:color w:val="auto"/>
          <w:sz w:val="24"/>
          <w:szCs w:val="24"/>
          <w:highlight w:val="none"/>
        </w:rPr>
        <w:t xml:space="preserve">甲方： </w:t>
      </w:r>
      <w:r>
        <w:rPr>
          <w:rFonts w:hint="eastAsia" w:hAnsi="宋体" w:cs="宋体"/>
          <w:color w:val="auto"/>
          <w:sz w:val="24"/>
          <w:szCs w:val="24"/>
          <w:highlight w:val="none"/>
          <w:u w:val="single"/>
        </w:rPr>
        <w:t xml:space="preserve">            </w:t>
      </w:r>
    </w:p>
    <w:p w14:paraId="7EFCF2DD">
      <w:pPr>
        <w:spacing w:line="360" w:lineRule="auto"/>
        <w:rPr>
          <w:rFonts w:hint="eastAsia" w:hAnsi="宋体" w:cs="宋体"/>
          <w:color w:val="auto"/>
          <w:sz w:val="24"/>
          <w:szCs w:val="24"/>
          <w:highlight w:val="none"/>
          <w:u w:val="single"/>
        </w:rPr>
      </w:pPr>
      <w:r>
        <w:rPr>
          <w:rFonts w:hint="eastAsia" w:hAnsi="宋体" w:cs="宋体"/>
          <w:color w:val="auto"/>
          <w:sz w:val="24"/>
          <w:szCs w:val="24"/>
          <w:highlight w:val="none"/>
        </w:rPr>
        <w:t>乙方：</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004A50C">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根据《中华人民共和国合同法》、《中华人民共和国政府采购法》与项目行业有关的法律法规，以及本项目（</w:t>
      </w:r>
      <w:r>
        <w:rPr>
          <w:rFonts w:hint="eastAsia" w:hAnsi="宋体" w:cs="宋体"/>
          <w:color w:val="auto"/>
          <w:sz w:val="24"/>
          <w:szCs w:val="24"/>
          <w:highlight w:val="none"/>
          <w:lang w:eastAsia="zh-CN"/>
        </w:rPr>
        <w:t>留守儿童大病保险</w:t>
      </w:r>
      <w:r>
        <w:rPr>
          <w:rFonts w:hint="eastAsia" w:hAnsi="宋体" w:cs="宋体"/>
          <w:color w:val="auto"/>
          <w:sz w:val="24"/>
          <w:szCs w:val="24"/>
          <w:highlight w:val="none"/>
        </w:rPr>
        <w:t>）相关采购要求的规定，合同双方就乙方向采购方提供</w:t>
      </w:r>
      <w:r>
        <w:rPr>
          <w:rFonts w:hint="eastAsia" w:hAnsi="宋体" w:cs="宋体"/>
          <w:color w:val="auto"/>
          <w:sz w:val="24"/>
          <w:szCs w:val="24"/>
          <w:highlight w:val="none"/>
          <w:lang w:eastAsia="zh-CN"/>
        </w:rPr>
        <w:t>西安市民政局关于委托留守儿童大病保险</w:t>
      </w:r>
      <w:r>
        <w:rPr>
          <w:rFonts w:hint="eastAsia" w:hAnsi="宋体" w:cs="宋体"/>
          <w:color w:val="auto"/>
          <w:sz w:val="24"/>
          <w:szCs w:val="24"/>
          <w:highlight w:val="none"/>
        </w:rPr>
        <w:t>协商达成一致，确立本合同。</w:t>
      </w:r>
      <w:bookmarkStart w:id="21" w:name="_GoBack"/>
      <w:bookmarkEnd w:id="21"/>
    </w:p>
    <w:p w14:paraId="1CAD5418">
      <w:pPr>
        <w:tabs>
          <w:tab w:val="left" w:pos="480"/>
        </w:tabs>
        <w:spacing w:line="360" w:lineRule="auto"/>
        <w:outlineLvl w:val="1"/>
        <w:rPr>
          <w:rFonts w:hint="eastAsia" w:hAnsi="宋体" w:cs="宋体"/>
          <w:b/>
          <w:color w:val="auto"/>
          <w:sz w:val="24"/>
          <w:szCs w:val="24"/>
          <w:highlight w:val="none"/>
        </w:rPr>
      </w:pPr>
      <w:bookmarkStart w:id="1" w:name="_Toc30883"/>
      <w:bookmarkStart w:id="2" w:name="_Toc8841"/>
      <w:r>
        <w:rPr>
          <w:rFonts w:hint="eastAsia" w:hAnsi="宋体" w:cs="宋体"/>
          <w:b/>
          <w:color w:val="auto"/>
          <w:sz w:val="24"/>
          <w:szCs w:val="24"/>
          <w:highlight w:val="none"/>
        </w:rPr>
        <w:t>一、</w:t>
      </w:r>
      <w:r>
        <w:rPr>
          <w:rFonts w:hint="eastAsia" w:hAnsi="宋体" w:cs="宋体"/>
          <w:b/>
          <w:color w:val="auto"/>
          <w:sz w:val="24"/>
          <w:szCs w:val="24"/>
          <w:highlight w:val="none"/>
          <w:lang w:eastAsia="zh-CN"/>
        </w:rPr>
        <w:t>服务</w:t>
      </w:r>
      <w:r>
        <w:rPr>
          <w:rFonts w:hint="eastAsia" w:hAnsi="宋体" w:cs="宋体"/>
          <w:b/>
          <w:color w:val="auto"/>
          <w:sz w:val="24"/>
          <w:szCs w:val="24"/>
          <w:highlight w:val="none"/>
        </w:rPr>
        <w:t>内容、数量及单价</w:t>
      </w:r>
      <w:r>
        <w:rPr>
          <w:rFonts w:hint="eastAsia" w:hAnsi="宋体" w:cs="宋体"/>
          <w:color w:val="auto"/>
          <w:sz w:val="24"/>
          <w:szCs w:val="24"/>
          <w:highlight w:val="none"/>
        </w:rPr>
        <w:t>（以竞争性磋商响应文件正本和澄清表〈函〉为准）</w:t>
      </w:r>
      <w:bookmarkEnd w:id="1"/>
      <w:bookmarkEnd w:id="2"/>
    </w:p>
    <w:p w14:paraId="5356E2E6">
      <w:pPr>
        <w:tabs>
          <w:tab w:val="left" w:pos="480"/>
        </w:tabs>
        <w:spacing w:line="360" w:lineRule="auto"/>
        <w:ind w:firstLine="480" w:firstLineChars="200"/>
        <w:rPr>
          <w:rFonts w:hint="eastAsia" w:hAnsi="宋体" w:cs="宋体"/>
          <w:color w:val="auto"/>
          <w:sz w:val="24"/>
          <w:szCs w:val="24"/>
          <w:highlight w:val="none"/>
          <w:lang w:eastAsia="zh-CN"/>
        </w:rPr>
      </w:pPr>
      <w:bookmarkStart w:id="3" w:name="_Toc3926"/>
      <w:bookmarkStart w:id="4" w:name="_Toc4137"/>
      <w:r>
        <w:rPr>
          <w:rFonts w:hint="eastAsia" w:hAnsi="宋体" w:cs="宋体"/>
          <w:color w:val="auto"/>
          <w:sz w:val="24"/>
          <w:szCs w:val="24"/>
          <w:highlight w:val="none"/>
          <w:lang w:eastAsia="zh-CN"/>
        </w:rPr>
        <w:t>详见采购需求</w:t>
      </w:r>
    </w:p>
    <w:p w14:paraId="49331026">
      <w:pPr>
        <w:tabs>
          <w:tab w:val="left" w:pos="480"/>
        </w:tabs>
        <w:spacing w:line="360" w:lineRule="auto"/>
        <w:outlineLvl w:val="1"/>
        <w:rPr>
          <w:rFonts w:hint="eastAsia" w:hAnsi="宋体" w:cs="宋体"/>
          <w:b/>
          <w:color w:val="auto"/>
          <w:sz w:val="24"/>
          <w:szCs w:val="24"/>
          <w:highlight w:val="none"/>
        </w:rPr>
      </w:pPr>
      <w:r>
        <w:rPr>
          <w:rFonts w:hint="eastAsia" w:hAnsi="宋体" w:cs="宋体"/>
          <w:b/>
          <w:color w:val="auto"/>
          <w:sz w:val="24"/>
          <w:szCs w:val="24"/>
          <w:highlight w:val="none"/>
        </w:rPr>
        <w:t>二、合同价款</w:t>
      </w:r>
      <w:bookmarkEnd w:id="3"/>
      <w:bookmarkEnd w:id="4"/>
    </w:p>
    <w:p w14:paraId="1EFEB590">
      <w:pPr>
        <w:tabs>
          <w:tab w:val="left" w:pos="480"/>
        </w:tabs>
        <w:spacing w:line="360" w:lineRule="auto"/>
        <w:ind w:firstLine="480" w:firstLineChars="200"/>
        <w:rPr>
          <w:rFonts w:hint="default" w:hAnsi="宋体" w:cs="宋体"/>
          <w:color w:val="auto"/>
          <w:sz w:val="24"/>
          <w:szCs w:val="24"/>
          <w:highlight w:val="none"/>
          <w:u w:val="single"/>
          <w:lang w:val="en-US" w:eastAsia="zh-CN"/>
        </w:rPr>
      </w:pPr>
      <w:r>
        <w:rPr>
          <w:rFonts w:hint="eastAsia" w:hAnsi="宋体" w:cs="宋体"/>
          <w:color w:val="auto"/>
          <w:sz w:val="24"/>
          <w:szCs w:val="24"/>
          <w:highlight w:val="none"/>
        </w:rPr>
        <w:t>（一）</w:t>
      </w:r>
      <w:r>
        <w:rPr>
          <w:rFonts w:hint="eastAsia" w:hAnsi="宋体" w:cs="宋体"/>
          <w:color w:val="auto"/>
          <w:sz w:val="24"/>
          <w:szCs w:val="24"/>
          <w:highlight w:val="none"/>
          <w:lang w:val="en-US" w:eastAsia="zh-CN"/>
        </w:rPr>
        <w:t>本合同为总价合同，各项活动服务的合同总价为其磋商最终报价</w:t>
      </w:r>
      <w:r>
        <w:rPr>
          <w:rFonts w:hint="eastAsia" w:hAnsi="宋体" w:cs="宋体"/>
          <w:color w:val="auto"/>
          <w:sz w:val="24"/>
          <w:szCs w:val="24"/>
          <w:highlight w:val="none"/>
        </w:rPr>
        <w:t>。</w:t>
      </w:r>
    </w:p>
    <w:p w14:paraId="322D8733">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（二）合同价包括：</w:t>
      </w:r>
      <w:r>
        <w:rPr>
          <w:rFonts w:hint="eastAsia" w:hAnsi="宋体" w:eastAsia="宋体" w:cs="宋体"/>
          <w:sz w:val="24"/>
          <w:szCs w:val="24"/>
          <w:highlight w:val="none"/>
        </w:rPr>
        <w:t>包括但不限于</w:t>
      </w:r>
      <w:r>
        <w:rPr>
          <w:rFonts w:hint="eastAsia" w:hAnsi="宋体" w:eastAsia="宋体" w:cs="宋体"/>
          <w:sz w:val="24"/>
          <w:szCs w:val="24"/>
          <w:highlight w:val="none"/>
          <w:lang w:eastAsia="zh-CN"/>
        </w:rPr>
        <w:t>调查费</w:t>
      </w:r>
      <w:r>
        <w:rPr>
          <w:rFonts w:hint="eastAsia" w:hAnsi="宋体" w:eastAsia="宋体" w:cs="宋体"/>
          <w:sz w:val="24"/>
          <w:szCs w:val="24"/>
          <w:highlight w:val="none"/>
        </w:rPr>
        <w:t>、</w:t>
      </w:r>
      <w:r>
        <w:rPr>
          <w:rFonts w:hint="eastAsia" w:hAnsi="宋体" w:eastAsia="宋体" w:cs="宋体"/>
          <w:sz w:val="24"/>
          <w:szCs w:val="24"/>
          <w:highlight w:val="none"/>
          <w:lang w:eastAsia="zh-CN"/>
        </w:rPr>
        <w:t>人员差旅费</w:t>
      </w:r>
      <w:r>
        <w:rPr>
          <w:rFonts w:hint="eastAsia" w:hAnsi="宋体" w:eastAsia="宋体" w:cs="宋体"/>
          <w:sz w:val="24"/>
          <w:szCs w:val="24"/>
          <w:highlight w:val="none"/>
        </w:rPr>
        <w:t>、办公费、</w:t>
      </w:r>
      <w:r>
        <w:rPr>
          <w:rFonts w:hint="eastAsia" w:hAnsi="宋体" w:eastAsia="宋体" w:cs="宋体"/>
          <w:sz w:val="24"/>
          <w:szCs w:val="24"/>
          <w:highlight w:val="none"/>
          <w:lang w:eastAsia="zh-CN"/>
        </w:rPr>
        <w:t>专家论证评估费</w:t>
      </w:r>
      <w:r>
        <w:rPr>
          <w:rFonts w:hint="eastAsia" w:hAnsi="宋体" w:eastAsia="宋体" w:cs="宋体"/>
          <w:sz w:val="24"/>
          <w:szCs w:val="24"/>
          <w:highlight w:val="none"/>
        </w:rPr>
        <w:t>、税金等其他一切相关费用</w:t>
      </w:r>
      <w:r>
        <w:rPr>
          <w:rFonts w:hint="eastAsia" w:hAnsi="宋体" w:cs="宋体"/>
          <w:color w:val="auto"/>
          <w:sz w:val="24"/>
          <w:szCs w:val="24"/>
          <w:highlight w:val="none"/>
        </w:rPr>
        <w:t>。</w:t>
      </w:r>
    </w:p>
    <w:p w14:paraId="4670FFB1">
      <w:pPr>
        <w:tabs>
          <w:tab w:val="left" w:pos="480"/>
        </w:tabs>
        <w:spacing w:line="360" w:lineRule="auto"/>
        <w:outlineLvl w:val="1"/>
        <w:rPr>
          <w:rFonts w:hint="eastAsia" w:hAnsi="宋体" w:cs="宋体"/>
          <w:b/>
          <w:color w:val="auto"/>
          <w:sz w:val="24"/>
          <w:szCs w:val="24"/>
          <w:highlight w:val="none"/>
        </w:rPr>
      </w:pPr>
      <w:bookmarkStart w:id="5" w:name="_Toc28664"/>
      <w:bookmarkStart w:id="6" w:name="_Toc23247"/>
      <w:r>
        <w:rPr>
          <w:rFonts w:hint="eastAsia" w:hAnsi="宋体" w:cs="宋体"/>
          <w:b/>
          <w:color w:val="auto"/>
          <w:sz w:val="24"/>
          <w:szCs w:val="24"/>
          <w:highlight w:val="none"/>
        </w:rPr>
        <w:t>三、款项结算</w:t>
      </w:r>
      <w:bookmarkEnd w:id="5"/>
      <w:bookmarkEnd w:id="6"/>
    </w:p>
    <w:p w14:paraId="0F368263">
      <w:pPr>
        <w:tabs>
          <w:tab w:val="left" w:pos="480"/>
        </w:tabs>
        <w:spacing w:line="360" w:lineRule="auto"/>
        <w:ind w:firstLine="480" w:firstLineChars="200"/>
        <w:rPr>
          <w:rFonts w:hint="eastAsia" w:hAnsi="宋体" w:cs="宋体"/>
          <w:color w:val="auto"/>
          <w:sz w:val="24"/>
          <w:szCs w:val="24"/>
          <w:highlight w:val="none"/>
          <w:u w:val="single"/>
        </w:rPr>
      </w:pP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eastAsia="zh-CN"/>
        </w:rPr>
        <w:t>。</w:t>
      </w:r>
    </w:p>
    <w:p w14:paraId="08D07509">
      <w:pPr>
        <w:tabs>
          <w:tab w:val="left" w:pos="480"/>
        </w:tabs>
        <w:spacing w:line="360" w:lineRule="auto"/>
        <w:outlineLvl w:val="1"/>
        <w:rPr>
          <w:rFonts w:hint="eastAsia" w:hAnsi="宋体" w:cs="宋体"/>
          <w:color w:val="auto"/>
          <w:sz w:val="24"/>
          <w:szCs w:val="24"/>
          <w:highlight w:val="none"/>
        </w:rPr>
      </w:pPr>
      <w:bookmarkStart w:id="7" w:name="_Toc21714"/>
      <w:bookmarkStart w:id="8" w:name="_Toc24406"/>
      <w:r>
        <w:rPr>
          <w:rFonts w:hint="eastAsia" w:hAnsi="宋体" w:cs="宋体"/>
          <w:b/>
          <w:color w:val="auto"/>
          <w:sz w:val="24"/>
          <w:szCs w:val="24"/>
          <w:highlight w:val="none"/>
          <w:lang w:eastAsia="zh-CN"/>
        </w:rPr>
        <w:t>四</w:t>
      </w:r>
      <w:r>
        <w:rPr>
          <w:rFonts w:hint="eastAsia" w:hAnsi="宋体" w:cs="宋体"/>
          <w:b/>
          <w:color w:val="auto"/>
          <w:sz w:val="24"/>
          <w:szCs w:val="24"/>
          <w:highlight w:val="none"/>
        </w:rPr>
        <w:t>、</w:t>
      </w:r>
      <w:r>
        <w:rPr>
          <w:rFonts w:hint="eastAsia" w:hAnsi="宋体" w:cs="宋体"/>
          <w:b/>
          <w:color w:val="auto"/>
          <w:sz w:val="24"/>
          <w:szCs w:val="24"/>
          <w:highlight w:val="none"/>
          <w:lang w:eastAsia="zh-CN"/>
        </w:rPr>
        <w:t>服务团队</w:t>
      </w:r>
      <w:r>
        <w:rPr>
          <w:rFonts w:hint="eastAsia" w:hAnsi="宋体" w:cs="宋体"/>
          <w:b/>
          <w:color w:val="auto"/>
          <w:sz w:val="24"/>
          <w:szCs w:val="24"/>
          <w:highlight w:val="none"/>
        </w:rPr>
        <w:t>：</w:t>
      </w:r>
      <w:bookmarkEnd w:id="7"/>
      <w:bookmarkEnd w:id="8"/>
    </w:p>
    <w:p w14:paraId="46C19732">
      <w:pPr>
        <w:tabs>
          <w:tab w:val="left" w:pos="480"/>
        </w:tabs>
        <w:spacing w:line="360" w:lineRule="auto"/>
        <w:ind w:firstLine="480" w:firstLineChars="200"/>
        <w:rPr>
          <w:rFonts w:hint="default" w:hAnsi="宋体" w:eastAsia="宋体" w:cs="宋体"/>
          <w:color w:val="auto"/>
          <w:sz w:val="24"/>
          <w:szCs w:val="24"/>
          <w:highlight w:val="none"/>
          <w:u w:val="single"/>
          <w:lang w:val="en-US" w:eastAsia="zh-CN"/>
        </w:rPr>
      </w:pPr>
      <w:r>
        <w:rPr>
          <w:rFonts w:hint="eastAsia" w:hAnsi="宋体" w:cs="宋体"/>
          <w:color w:val="auto"/>
          <w:sz w:val="24"/>
          <w:szCs w:val="24"/>
          <w:highlight w:val="none"/>
        </w:rPr>
        <w:t>（一）</w:t>
      </w:r>
      <w:r>
        <w:rPr>
          <w:rFonts w:hint="eastAsia" w:hAnsi="宋体" w:cs="宋体"/>
          <w:color w:val="auto"/>
          <w:sz w:val="24"/>
          <w:szCs w:val="24"/>
          <w:highlight w:val="none"/>
          <w:lang w:eastAsia="zh-CN"/>
        </w:rPr>
        <w:t>项目负责人：</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none"/>
          <w:lang w:val="en-US" w:eastAsia="zh-CN"/>
        </w:rPr>
        <w:t xml:space="preserve"> 联系电话：</w:t>
      </w:r>
      <w:r>
        <w:rPr>
          <w:rFonts w:hint="eastAsia" w:hAnsi="宋体" w:cs="宋体"/>
          <w:color w:val="auto"/>
          <w:sz w:val="24"/>
          <w:szCs w:val="24"/>
          <w:highlight w:val="none"/>
          <w:u w:val="single"/>
          <w:lang w:val="en-US" w:eastAsia="zh-CN"/>
        </w:rPr>
        <w:t xml:space="preserve">           。</w:t>
      </w:r>
    </w:p>
    <w:p w14:paraId="32FBF0D8">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lang w:eastAsia="zh-CN"/>
        </w:rPr>
        <w:t>（二）服务</w:t>
      </w:r>
      <w:r>
        <w:rPr>
          <w:rFonts w:hint="eastAsia" w:hAnsi="宋体" w:cs="宋体"/>
          <w:color w:val="auto"/>
          <w:sz w:val="24"/>
          <w:szCs w:val="24"/>
          <w:highlight w:val="none"/>
        </w:rPr>
        <w:t>地点：甲方指定地点。</w:t>
      </w:r>
    </w:p>
    <w:p w14:paraId="5003AB36">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w:t>
      </w:r>
      <w:r>
        <w:rPr>
          <w:rFonts w:hint="eastAsia" w:hAnsi="宋体" w:cs="宋体"/>
          <w:color w:val="auto"/>
          <w:sz w:val="24"/>
          <w:szCs w:val="24"/>
          <w:highlight w:val="none"/>
          <w:lang w:eastAsia="zh-CN"/>
        </w:rPr>
        <w:t>三</w:t>
      </w:r>
      <w:r>
        <w:rPr>
          <w:rFonts w:hint="eastAsia" w:hAnsi="宋体" w:cs="宋体"/>
          <w:color w:val="auto"/>
          <w:sz w:val="24"/>
          <w:szCs w:val="24"/>
          <w:highlight w:val="none"/>
        </w:rPr>
        <w:t>）</w:t>
      </w:r>
      <w:r>
        <w:rPr>
          <w:rFonts w:hint="eastAsia" w:hAnsi="宋体" w:cs="宋体"/>
          <w:color w:val="auto"/>
          <w:sz w:val="24"/>
          <w:szCs w:val="24"/>
          <w:highlight w:val="none"/>
          <w:lang w:eastAsia="zh-CN"/>
        </w:rPr>
        <w:t>服务</w:t>
      </w:r>
      <w:r>
        <w:rPr>
          <w:rFonts w:hint="eastAsia" w:hAnsi="宋体" w:cs="宋体"/>
          <w:color w:val="auto"/>
          <w:sz w:val="24"/>
          <w:szCs w:val="24"/>
          <w:highlight w:val="none"/>
        </w:rPr>
        <w:t>期</w:t>
      </w:r>
      <w:r>
        <w:rPr>
          <w:rFonts w:hint="eastAsia" w:hAnsi="宋体" w:cs="宋体"/>
          <w:color w:val="auto"/>
          <w:sz w:val="24"/>
          <w:szCs w:val="24"/>
          <w:highlight w:val="none"/>
          <w:lang w:eastAsia="zh-CN"/>
        </w:rPr>
        <w:t>：自合同签订之日起</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lang w:val="en-US" w:eastAsia="zh-CN"/>
        </w:rPr>
        <w:t>年</w:t>
      </w:r>
      <w:r>
        <w:rPr>
          <w:rFonts w:hint="eastAsia" w:hAnsi="宋体" w:cs="宋体"/>
          <w:color w:val="auto"/>
          <w:sz w:val="24"/>
          <w:szCs w:val="24"/>
          <w:highlight w:val="none"/>
        </w:rPr>
        <w:t>。</w:t>
      </w:r>
    </w:p>
    <w:p w14:paraId="052E2E28">
      <w:pPr>
        <w:tabs>
          <w:tab w:val="left" w:pos="480"/>
        </w:tabs>
        <w:spacing w:line="360" w:lineRule="auto"/>
        <w:ind w:firstLine="480" w:firstLineChars="200"/>
        <w:rPr>
          <w:rFonts w:hint="eastAsia" w:hAnsi="宋体" w:cs="宋体"/>
          <w:color w:val="auto"/>
          <w:sz w:val="24"/>
          <w:szCs w:val="24"/>
          <w:highlight w:val="none"/>
          <w:lang w:eastAsia="zh-CN"/>
        </w:rPr>
      </w:pPr>
      <w:r>
        <w:rPr>
          <w:rFonts w:hint="eastAsia" w:hAnsi="宋体" w:cs="宋体"/>
          <w:color w:val="auto"/>
          <w:sz w:val="24"/>
          <w:szCs w:val="24"/>
          <w:highlight w:val="none"/>
          <w:lang w:eastAsia="zh-CN"/>
        </w:rPr>
        <w:t>（四）项目组成员要求：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685"/>
        <w:gridCol w:w="2195"/>
        <w:gridCol w:w="1584"/>
        <w:gridCol w:w="1584"/>
        <w:gridCol w:w="1585"/>
      </w:tblGrid>
      <w:tr w14:paraId="172D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0CA2CBFF">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vertAlign w:val="baseline"/>
                <w:lang w:val="en-US" w:eastAsia="zh-CN"/>
              </w:rPr>
              <w:t>序号</w:t>
            </w:r>
          </w:p>
        </w:tc>
        <w:tc>
          <w:tcPr>
            <w:tcW w:w="1685" w:type="dxa"/>
            <w:noWrap w:val="0"/>
            <w:vAlign w:val="top"/>
          </w:tcPr>
          <w:p w14:paraId="6EFC853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姓名</w:t>
            </w:r>
          </w:p>
        </w:tc>
        <w:tc>
          <w:tcPr>
            <w:tcW w:w="2195" w:type="dxa"/>
            <w:noWrap w:val="0"/>
            <w:vAlign w:val="top"/>
          </w:tcPr>
          <w:p w14:paraId="110CA7BB">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身份证号</w:t>
            </w:r>
          </w:p>
        </w:tc>
        <w:tc>
          <w:tcPr>
            <w:tcW w:w="1584" w:type="dxa"/>
            <w:noWrap w:val="0"/>
            <w:vAlign w:val="top"/>
          </w:tcPr>
          <w:p w14:paraId="69A9E6FB">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专业</w:t>
            </w:r>
          </w:p>
        </w:tc>
        <w:tc>
          <w:tcPr>
            <w:tcW w:w="1584" w:type="dxa"/>
            <w:noWrap w:val="0"/>
            <w:vAlign w:val="top"/>
          </w:tcPr>
          <w:p w14:paraId="1A8ACB44">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lang w:val="en-US" w:eastAsia="zh-CN"/>
              </w:rPr>
            </w:pPr>
            <w:r>
              <w:rPr>
                <w:rFonts w:hint="eastAsia" w:hAnsi="宋体" w:cs="宋体"/>
                <w:color w:val="auto"/>
                <w:szCs w:val="21"/>
                <w:highlight w:val="none"/>
                <w:u w:val="none"/>
                <w:lang w:val="en-US" w:eastAsia="zh-CN"/>
              </w:rPr>
              <w:t>职务</w:t>
            </w:r>
          </w:p>
        </w:tc>
        <w:tc>
          <w:tcPr>
            <w:tcW w:w="1585" w:type="dxa"/>
            <w:noWrap w:val="0"/>
            <w:vAlign w:val="top"/>
          </w:tcPr>
          <w:p w14:paraId="0B184A4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lang w:val="en-US" w:eastAsia="zh-CN"/>
              </w:rPr>
            </w:pPr>
            <w:r>
              <w:rPr>
                <w:rFonts w:hint="eastAsia" w:hAnsi="宋体" w:cs="宋体"/>
                <w:color w:val="auto"/>
                <w:szCs w:val="21"/>
                <w:highlight w:val="none"/>
                <w:u w:val="none"/>
                <w:lang w:val="en-US" w:eastAsia="zh-CN"/>
              </w:rPr>
              <w:t>备注</w:t>
            </w:r>
          </w:p>
        </w:tc>
      </w:tr>
      <w:tr w14:paraId="5238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51EB8D0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685" w:type="dxa"/>
            <w:noWrap w:val="0"/>
            <w:vAlign w:val="top"/>
          </w:tcPr>
          <w:p w14:paraId="20E01053">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2195" w:type="dxa"/>
            <w:noWrap w:val="0"/>
            <w:vAlign w:val="top"/>
          </w:tcPr>
          <w:p w14:paraId="00A2CFB4">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07C21DF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0D9FEBFD">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5" w:type="dxa"/>
            <w:noWrap w:val="0"/>
            <w:vAlign w:val="top"/>
          </w:tcPr>
          <w:p w14:paraId="433FDEF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r>
      <w:tr w14:paraId="16C7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0AF044C5">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685" w:type="dxa"/>
            <w:noWrap w:val="0"/>
            <w:vAlign w:val="top"/>
          </w:tcPr>
          <w:p w14:paraId="6F681A9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2195" w:type="dxa"/>
            <w:noWrap w:val="0"/>
            <w:vAlign w:val="top"/>
          </w:tcPr>
          <w:p w14:paraId="7FF1B90F">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6993062D">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336C704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5" w:type="dxa"/>
            <w:noWrap w:val="0"/>
            <w:vAlign w:val="top"/>
          </w:tcPr>
          <w:p w14:paraId="0F59C04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r>
    </w:tbl>
    <w:p w14:paraId="1609EFF5">
      <w:pPr>
        <w:tabs>
          <w:tab w:val="left" w:pos="480"/>
        </w:tabs>
        <w:spacing w:line="360" w:lineRule="auto"/>
        <w:outlineLvl w:val="1"/>
        <w:rPr>
          <w:rFonts w:hint="eastAsia" w:hAnsi="宋体" w:eastAsia="宋体" w:cs="宋体"/>
          <w:b/>
          <w:color w:val="auto"/>
          <w:sz w:val="24"/>
          <w:szCs w:val="24"/>
          <w:highlight w:val="none"/>
          <w:lang w:eastAsia="zh-CN"/>
        </w:rPr>
      </w:pPr>
      <w:bookmarkStart w:id="9" w:name="_Toc27382"/>
      <w:bookmarkStart w:id="10" w:name="_Toc7966"/>
      <w:r>
        <w:rPr>
          <w:rFonts w:hint="eastAsia" w:hAnsi="宋体" w:cs="宋体"/>
          <w:b/>
          <w:color w:val="auto"/>
          <w:sz w:val="24"/>
          <w:szCs w:val="24"/>
          <w:highlight w:val="none"/>
          <w:lang w:eastAsia="zh-CN"/>
        </w:rPr>
        <w:t>五</w:t>
      </w:r>
      <w:r>
        <w:rPr>
          <w:rFonts w:hint="eastAsia" w:hAnsi="宋体" w:cs="宋体"/>
          <w:b/>
          <w:color w:val="auto"/>
          <w:sz w:val="24"/>
          <w:szCs w:val="24"/>
          <w:highlight w:val="none"/>
        </w:rPr>
        <w:t>、质量</w:t>
      </w:r>
      <w:bookmarkEnd w:id="9"/>
      <w:bookmarkEnd w:id="10"/>
      <w:r>
        <w:rPr>
          <w:rFonts w:hint="eastAsia" w:hAnsi="宋体" w:cs="宋体"/>
          <w:b/>
          <w:color w:val="auto"/>
          <w:sz w:val="24"/>
          <w:szCs w:val="24"/>
          <w:highlight w:val="none"/>
          <w:lang w:eastAsia="zh-CN"/>
        </w:rPr>
        <w:t>要求</w:t>
      </w:r>
    </w:p>
    <w:p w14:paraId="61ECC85E">
      <w:pPr>
        <w:tabs>
          <w:tab w:val="left" w:pos="480"/>
        </w:tabs>
        <w:spacing w:line="360" w:lineRule="auto"/>
        <w:ind w:firstLine="470" w:firstLineChars="196"/>
        <w:rPr>
          <w:rFonts w:hint="eastAsia" w:hAnsi="宋体" w:cs="宋体"/>
          <w:color w:val="auto"/>
          <w:sz w:val="24"/>
          <w:szCs w:val="24"/>
          <w:highlight w:val="none"/>
        </w:rPr>
      </w:pPr>
      <w:r>
        <w:rPr>
          <w:rFonts w:hint="eastAsia" w:hAnsi="宋体" w:cs="宋体"/>
          <w:color w:val="auto"/>
          <w:sz w:val="24"/>
          <w:szCs w:val="24"/>
          <w:highlight w:val="none"/>
        </w:rPr>
        <w:t>乙方所</w:t>
      </w:r>
      <w:r>
        <w:rPr>
          <w:rFonts w:hint="eastAsia" w:hAnsi="宋体" w:cs="宋体"/>
          <w:color w:val="auto"/>
          <w:sz w:val="24"/>
          <w:szCs w:val="24"/>
          <w:highlight w:val="none"/>
          <w:lang w:eastAsia="zh-CN"/>
        </w:rPr>
        <w:t>提</w:t>
      </w:r>
      <w:r>
        <w:rPr>
          <w:rFonts w:hint="eastAsia" w:hAnsi="宋体" w:cs="宋体"/>
          <w:color w:val="auto"/>
          <w:sz w:val="24"/>
          <w:szCs w:val="24"/>
          <w:highlight w:val="none"/>
        </w:rPr>
        <w:t>供</w:t>
      </w:r>
      <w:r>
        <w:rPr>
          <w:rFonts w:hint="eastAsia" w:hAnsi="宋体" w:cs="宋体"/>
          <w:color w:val="auto"/>
          <w:sz w:val="24"/>
          <w:szCs w:val="24"/>
          <w:highlight w:val="none"/>
          <w:lang w:eastAsia="zh-CN"/>
        </w:rPr>
        <w:t>所有服务需按照采购人要求执行。同时符合相关法律法规规定</w:t>
      </w:r>
      <w:r>
        <w:rPr>
          <w:rFonts w:hint="eastAsia" w:hAnsi="宋体" w:cs="宋体"/>
          <w:color w:val="auto"/>
          <w:sz w:val="24"/>
          <w:szCs w:val="24"/>
          <w:highlight w:val="none"/>
        </w:rPr>
        <w:t>。</w:t>
      </w:r>
    </w:p>
    <w:p w14:paraId="5E36761F">
      <w:pPr>
        <w:tabs>
          <w:tab w:val="left" w:pos="480"/>
        </w:tabs>
        <w:spacing w:line="360" w:lineRule="auto"/>
        <w:outlineLvl w:val="1"/>
        <w:rPr>
          <w:rFonts w:hint="eastAsia" w:hAnsi="宋体" w:eastAsia="宋体" w:cs="宋体"/>
          <w:b/>
          <w:color w:val="auto"/>
          <w:sz w:val="24"/>
          <w:szCs w:val="24"/>
          <w:highlight w:val="none"/>
          <w:lang w:eastAsia="zh-CN"/>
        </w:rPr>
      </w:pPr>
      <w:bookmarkStart w:id="11" w:name="_Toc21314"/>
      <w:bookmarkStart w:id="12" w:name="_Toc12558"/>
      <w:r>
        <w:rPr>
          <w:rFonts w:hint="eastAsia" w:hAnsi="宋体" w:cs="宋体"/>
          <w:b/>
          <w:color w:val="auto"/>
          <w:sz w:val="24"/>
          <w:szCs w:val="24"/>
          <w:highlight w:val="none"/>
          <w:lang w:eastAsia="zh-CN"/>
        </w:rPr>
        <w:t>六</w:t>
      </w:r>
      <w:r>
        <w:rPr>
          <w:rFonts w:hint="eastAsia" w:hAnsi="宋体" w:cs="宋体"/>
          <w:b/>
          <w:color w:val="auto"/>
          <w:sz w:val="24"/>
          <w:szCs w:val="24"/>
          <w:highlight w:val="none"/>
        </w:rPr>
        <w:t>、</w:t>
      </w:r>
      <w:bookmarkEnd w:id="11"/>
      <w:bookmarkEnd w:id="12"/>
      <w:r>
        <w:rPr>
          <w:rFonts w:hint="eastAsia" w:hAnsi="宋体" w:cs="宋体"/>
          <w:b/>
          <w:color w:val="auto"/>
          <w:sz w:val="24"/>
          <w:szCs w:val="24"/>
          <w:highlight w:val="none"/>
          <w:lang w:eastAsia="zh-CN"/>
        </w:rPr>
        <w:t>技术资料</w:t>
      </w:r>
    </w:p>
    <w:p w14:paraId="69EF91D7">
      <w:pPr>
        <w:tabs>
          <w:tab w:val="left" w:pos="480"/>
        </w:tabs>
        <w:spacing w:line="360" w:lineRule="auto"/>
        <w:ind w:firstLine="470" w:firstLineChars="196"/>
        <w:rPr>
          <w:rFonts w:hint="eastAsia" w:hAnsi="宋体" w:cs="宋体"/>
          <w:color w:val="auto"/>
          <w:sz w:val="24"/>
          <w:szCs w:val="24"/>
          <w:highlight w:val="none"/>
          <w:lang w:eastAsia="zh-CN"/>
        </w:rPr>
      </w:pPr>
      <w:bookmarkStart w:id="13" w:name="_Toc9858"/>
      <w:bookmarkStart w:id="14" w:name="_Toc20026"/>
      <w:r>
        <w:rPr>
          <w:rFonts w:hint="eastAsia" w:hAnsi="宋体" w:cs="宋体"/>
          <w:color w:val="auto"/>
          <w:sz w:val="24"/>
          <w:szCs w:val="24"/>
          <w:highlight w:val="none"/>
          <w:lang w:eastAsia="zh-CN"/>
        </w:rPr>
        <w:t>乙方服务期间所有的资料需要妥善保存，定期进行已完结事项的资料移交。如有缺失损毁，采购人有权追求相关法律及经济责任。</w:t>
      </w:r>
    </w:p>
    <w:p w14:paraId="48B01A0C">
      <w:pPr>
        <w:tabs>
          <w:tab w:val="left" w:pos="480"/>
        </w:tabs>
        <w:spacing w:line="360" w:lineRule="auto"/>
        <w:outlineLvl w:val="1"/>
        <w:rPr>
          <w:rFonts w:hint="eastAsia" w:hAnsi="宋体" w:cs="宋体"/>
          <w:b/>
          <w:color w:val="auto"/>
          <w:sz w:val="24"/>
          <w:szCs w:val="24"/>
          <w:highlight w:val="none"/>
        </w:rPr>
      </w:pPr>
      <w:r>
        <w:rPr>
          <w:rFonts w:hint="eastAsia" w:hAnsi="宋体" w:cs="宋体"/>
          <w:b/>
          <w:color w:val="auto"/>
          <w:sz w:val="24"/>
          <w:szCs w:val="24"/>
          <w:highlight w:val="none"/>
          <w:lang w:eastAsia="zh-CN"/>
        </w:rPr>
        <w:t>七</w:t>
      </w:r>
      <w:r>
        <w:rPr>
          <w:rFonts w:hint="eastAsia" w:hAnsi="宋体" w:cs="宋体"/>
          <w:b/>
          <w:color w:val="auto"/>
          <w:sz w:val="24"/>
          <w:szCs w:val="24"/>
          <w:highlight w:val="none"/>
        </w:rPr>
        <w:t>、违约责任</w:t>
      </w:r>
      <w:bookmarkEnd w:id="13"/>
      <w:bookmarkEnd w:id="14"/>
    </w:p>
    <w:p w14:paraId="1216519B">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1、按《合同法》中的相关条款执行。</w:t>
      </w:r>
    </w:p>
    <w:p w14:paraId="3039EC71">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合同法》有关条款及合同约定终止合同，并要求服务商承担违约责任。同时，政府采购监管部门有权依据《政府采购法》及相关法律法规对服务商的违法行为进行相应的处罚。</w:t>
      </w:r>
    </w:p>
    <w:p w14:paraId="7623994A">
      <w:pPr>
        <w:tabs>
          <w:tab w:val="left" w:pos="480"/>
        </w:tabs>
        <w:spacing w:line="360" w:lineRule="auto"/>
        <w:outlineLvl w:val="1"/>
        <w:rPr>
          <w:rFonts w:hint="eastAsia" w:hAnsi="宋体" w:cs="宋体"/>
          <w:b/>
          <w:color w:val="auto"/>
          <w:sz w:val="24"/>
          <w:szCs w:val="24"/>
          <w:highlight w:val="none"/>
        </w:rPr>
      </w:pPr>
      <w:bookmarkStart w:id="15" w:name="_Toc13662"/>
      <w:bookmarkStart w:id="16" w:name="_Toc15856"/>
      <w:r>
        <w:rPr>
          <w:rFonts w:hint="eastAsia" w:hAnsi="宋体" w:cs="宋体"/>
          <w:b/>
          <w:color w:val="auto"/>
          <w:sz w:val="24"/>
          <w:szCs w:val="24"/>
          <w:highlight w:val="none"/>
          <w:lang w:eastAsia="zh-CN"/>
        </w:rPr>
        <w:t>八</w:t>
      </w:r>
      <w:r>
        <w:rPr>
          <w:rFonts w:hint="eastAsia" w:hAnsi="宋体" w:cs="宋体"/>
          <w:b/>
          <w:color w:val="auto"/>
          <w:sz w:val="24"/>
          <w:szCs w:val="24"/>
          <w:highlight w:val="none"/>
        </w:rPr>
        <w:t>、合同争议解决的方式</w:t>
      </w:r>
      <w:bookmarkEnd w:id="15"/>
      <w:bookmarkEnd w:id="16"/>
    </w:p>
    <w:p w14:paraId="0228A025">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本合同在履行过程中发生的争议，由甲、乙双方当事人协商解决，协商不成的按下列第</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种方式解决：</w:t>
      </w:r>
    </w:p>
    <w:p w14:paraId="21015F9E">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（一）提交</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eastAsia="zh-CN"/>
        </w:rPr>
        <w:t>西安市</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仲裁委员会仲裁；</w:t>
      </w:r>
    </w:p>
    <w:p w14:paraId="51F4B5B0">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（二）依法向 </w:t>
      </w:r>
      <w:r>
        <w:rPr>
          <w:rFonts w:hint="eastAsia" w:hAnsi="宋体" w:cs="宋体"/>
          <w:color w:val="auto"/>
          <w:sz w:val="24"/>
          <w:szCs w:val="24"/>
          <w:highlight w:val="none"/>
          <w:u w:val="single"/>
        </w:rPr>
        <w:t xml:space="preserve"> 甲方  </w:t>
      </w:r>
      <w:r>
        <w:rPr>
          <w:rFonts w:hint="eastAsia" w:hAnsi="宋体" w:cs="宋体"/>
          <w:color w:val="auto"/>
          <w:sz w:val="24"/>
          <w:szCs w:val="24"/>
          <w:highlight w:val="none"/>
        </w:rPr>
        <w:t>所在地人民法院起诉。</w:t>
      </w:r>
    </w:p>
    <w:p w14:paraId="5A3DB19F">
      <w:pPr>
        <w:tabs>
          <w:tab w:val="left" w:pos="480"/>
        </w:tabs>
        <w:spacing w:line="360" w:lineRule="auto"/>
        <w:outlineLvl w:val="1"/>
        <w:rPr>
          <w:rFonts w:hint="eastAsia" w:hAnsi="宋体" w:cs="宋体"/>
          <w:b/>
          <w:color w:val="auto"/>
          <w:sz w:val="24"/>
          <w:szCs w:val="24"/>
          <w:highlight w:val="none"/>
        </w:rPr>
      </w:pPr>
      <w:bookmarkStart w:id="17" w:name="_Toc18389"/>
      <w:bookmarkStart w:id="18" w:name="_Toc7342"/>
      <w:r>
        <w:rPr>
          <w:rFonts w:hint="eastAsia" w:hAnsi="宋体" w:cs="宋体"/>
          <w:b/>
          <w:color w:val="auto"/>
          <w:sz w:val="24"/>
          <w:szCs w:val="24"/>
          <w:highlight w:val="none"/>
          <w:lang w:eastAsia="zh-CN"/>
        </w:rPr>
        <w:t>九</w:t>
      </w:r>
      <w:r>
        <w:rPr>
          <w:rFonts w:hint="eastAsia" w:hAnsi="宋体" w:cs="宋体"/>
          <w:b/>
          <w:color w:val="auto"/>
          <w:sz w:val="24"/>
          <w:szCs w:val="24"/>
          <w:highlight w:val="none"/>
        </w:rPr>
        <w:t>、合同生效</w:t>
      </w:r>
      <w:bookmarkEnd w:id="17"/>
      <w:bookmarkEnd w:id="18"/>
    </w:p>
    <w:p w14:paraId="122692BF">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本合同一式</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份，甲方执</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份，乙方执</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份，本合同甲、乙、确认各方签字盖章后生效，合同执行完毕后，自动失效（合同的服务承诺则长期有效）。</w:t>
      </w:r>
    </w:p>
    <w:p w14:paraId="560AB647">
      <w:pPr>
        <w:tabs>
          <w:tab w:val="left" w:pos="480"/>
        </w:tabs>
        <w:spacing w:line="360" w:lineRule="auto"/>
        <w:outlineLvl w:val="1"/>
        <w:rPr>
          <w:rFonts w:hint="eastAsia" w:hAnsi="宋体" w:cs="宋体"/>
          <w:b/>
          <w:color w:val="auto"/>
          <w:sz w:val="24"/>
          <w:szCs w:val="24"/>
          <w:highlight w:val="none"/>
        </w:rPr>
      </w:pPr>
      <w:bookmarkStart w:id="19" w:name="_Toc18381"/>
      <w:bookmarkStart w:id="20" w:name="_Toc823"/>
      <w:r>
        <w:rPr>
          <w:rFonts w:hint="eastAsia" w:hAnsi="宋体" w:cs="宋体"/>
          <w:b/>
          <w:color w:val="auto"/>
          <w:sz w:val="24"/>
          <w:szCs w:val="24"/>
          <w:highlight w:val="none"/>
        </w:rPr>
        <w:t>十、其他事项</w:t>
      </w:r>
      <w:bookmarkEnd w:id="19"/>
      <w:bookmarkEnd w:id="20"/>
    </w:p>
    <w:p w14:paraId="6F286460">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（一）竞争性磋商文件、竞争性磋商响应文件、澄清表（函）、成交通知书、合同附件均成为合同不可分割的部分。</w:t>
      </w:r>
    </w:p>
    <w:p w14:paraId="5DC908CF">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（二）合同未尽事宜，由甲、乙双方协商，作为合同补充，与原合同具有同等法律效力。</w:t>
      </w:r>
    </w:p>
    <w:p w14:paraId="012FA768">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（三）合同一经签订，不得擅自变更、中止或终止合同。但若与甲方的上级管理机关的政策性行为或其他规定发生冲突，甲方有权与乙方协商调整协议内容或终止协议执行。</w:t>
      </w:r>
    </w:p>
    <w:p w14:paraId="4CC29956">
      <w:pPr>
        <w:spacing w:line="360" w:lineRule="auto"/>
        <w:ind w:firstLine="420"/>
        <w:rPr>
          <w:color w:val="auto"/>
          <w:sz w:val="24"/>
          <w:szCs w:val="24"/>
          <w:highlight w:val="none"/>
        </w:rPr>
      </w:pPr>
      <w:r>
        <w:rPr>
          <w:rFonts w:hint="eastAsia" w:hAnsi="宋体"/>
          <w:color w:val="auto"/>
          <w:sz w:val="24"/>
          <w:szCs w:val="24"/>
          <w:highlight w:val="none"/>
        </w:rPr>
        <w:t>（四）执行本合同过程中发生争议，由当事人双方协商解决。协商不成，可向采购方所在地人民法院提起诉讼。</w:t>
      </w:r>
    </w:p>
    <w:p w14:paraId="4D7A70B4">
      <w:pPr>
        <w:spacing w:line="360" w:lineRule="auto"/>
        <w:ind w:firstLine="420"/>
        <w:rPr>
          <w:color w:val="auto"/>
          <w:sz w:val="24"/>
          <w:szCs w:val="24"/>
          <w:highlight w:val="none"/>
        </w:rPr>
      </w:pPr>
      <w:r>
        <w:rPr>
          <w:rFonts w:hint="eastAsia" w:hAnsi="宋体"/>
          <w:color w:val="auto"/>
          <w:sz w:val="24"/>
          <w:szCs w:val="24"/>
          <w:highlight w:val="none"/>
        </w:rPr>
        <w:t>（</w:t>
      </w:r>
      <w:r>
        <w:rPr>
          <w:rFonts w:hint="eastAsia" w:hAnsi="宋体"/>
          <w:color w:val="auto"/>
          <w:sz w:val="24"/>
          <w:szCs w:val="24"/>
          <w:highlight w:val="none"/>
          <w:lang w:val="en-US" w:eastAsia="zh-CN"/>
        </w:rPr>
        <w:t>五</w:t>
      </w:r>
      <w:r>
        <w:rPr>
          <w:rFonts w:hint="eastAsia" w:hAnsi="宋体"/>
          <w:color w:val="auto"/>
          <w:sz w:val="24"/>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27825905">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w:t>
      </w:r>
      <w:r>
        <w:rPr>
          <w:rFonts w:hint="eastAsia" w:hAnsi="宋体"/>
          <w:color w:val="auto"/>
          <w:sz w:val="24"/>
          <w:szCs w:val="24"/>
          <w:highlight w:val="none"/>
        </w:rPr>
        <w:t>六</w:t>
      </w:r>
      <w:r>
        <w:rPr>
          <w:rFonts w:hint="eastAsia" w:hAnsi="宋体" w:cs="宋体"/>
          <w:color w:val="auto"/>
          <w:sz w:val="24"/>
          <w:szCs w:val="24"/>
          <w:highlight w:val="none"/>
        </w:rPr>
        <w:t>）本合同按照中华人民共和国的现行法律进行解释。</w:t>
      </w:r>
    </w:p>
    <w:p w14:paraId="7232D5FA">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甲  方</w:t>
      </w:r>
      <w:r>
        <w:rPr>
          <w:rFonts w:hint="eastAsia" w:hAnsi="宋体" w:cs="宋体"/>
          <w:color w:val="auto"/>
          <w:sz w:val="24"/>
          <w:szCs w:val="24"/>
          <w:highlight w:val="none"/>
          <w:lang w:eastAsia="zh-CN"/>
        </w:rPr>
        <w:t>：</w:t>
      </w:r>
      <w:r>
        <w:rPr>
          <w:rFonts w:hint="eastAsia" w:hAnsi="宋体" w:cs="宋体"/>
          <w:color w:val="auto"/>
          <w:sz w:val="24"/>
          <w:szCs w:val="24"/>
          <w:highlight w:val="none"/>
        </w:rPr>
        <w:t>（盖章）                          乙  方</w:t>
      </w:r>
      <w:r>
        <w:rPr>
          <w:rFonts w:hint="eastAsia" w:hAnsi="宋体" w:cs="宋体"/>
          <w:color w:val="auto"/>
          <w:sz w:val="24"/>
          <w:szCs w:val="24"/>
          <w:highlight w:val="none"/>
          <w:lang w:eastAsia="zh-CN"/>
        </w:rPr>
        <w:t>：</w:t>
      </w:r>
      <w:r>
        <w:rPr>
          <w:rFonts w:hint="eastAsia" w:hAnsi="宋体" w:cs="宋体"/>
          <w:color w:val="auto"/>
          <w:sz w:val="24"/>
          <w:szCs w:val="24"/>
          <w:highlight w:val="none"/>
        </w:rPr>
        <w:t>（盖章）</w:t>
      </w:r>
    </w:p>
    <w:p w14:paraId="2ADD2005">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单位名称：                                单位名称：</w:t>
      </w:r>
    </w:p>
    <w:p w14:paraId="74C343C3">
      <w:pPr>
        <w:tabs>
          <w:tab w:val="left" w:pos="480"/>
        </w:tabs>
        <w:spacing w:line="360" w:lineRule="auto"/>
        <w:ind w:left="6720" w:leftChars="200" w:hanging="6240" w:hangingChars="2600"/>
        <w:rPr>
          <w:rFonts w:hint="eastAsia" w:hAnsi="宋体" w:cs="宋体"/>
          <w:color w:val="auto"/>
          <w:sz w:val="24"/>
          <w:szCs w:val="24"/>
          <w:highlight w:val="none"/>
        </w:rPr>
      </w:pPr>
      <w:r>
        <w:rPr>
          <w:rFonts w:hint="eastAsia" w:hAnsi="宋体" w:cs="宋体"/>
          <w:color w:val="auto"/>
          <w:sz w:val="24"/>
          <w:szCs w:val="24"/>
          <w:highlight w:val="none"/>
        </w:rPr>
        <w:t>地  址：                                  地  址：</w:t>
      </w:r>
    </w:p>
    <w:p w14:paraId="65CF916C">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法定代表人                                法定代表人</w:t>
      </w:r>
    </w:p>
    <w:p w14:paraId="4A939737">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或委托代理人：                            或委托代理人：</w:t>
      </w:r>
    </w:p>
    <w:p w14:paraId="680FC6F0">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开户银行：</w:t>
      </w:r>
    </w:p>
    <w:p w14:paraId="68CF6EA6">
      <w:pPr>
        <w:tabs>
          <w:tab w:val="left" w:pos="480"/>
        </w:tabs>
        <w:spacing w:line="360" w:lineRule="auto"/>
        <w:ind w:firstLine="5520" w:firstLineChars="2300"/>
        <w:rPr>
          <w:rFonts w:hint="eastAsia" w:hAnsi="宋体" w:cs="宋体"/>
          <w:color w:val="auto"/>
          <w:sz w:val="24"/>
          <w:szCs w:val="24"/>
          <w:highlight w:val="none"/>
        </w:rPr>
      </w:pPr>
      <w:r>
        <w:rPr>
          <w:rFonts w:hint="eastAsia" w:hAnsi="宋体" w:cs="宋体"/>
          <w:color w:val="auto"/>
          <w:sz w:val="24"/>
          <w:szCs w:val="24"/>
          <w:highlight w:val="none"/>
        </w:rPr>
        <w:t xml:space="preserve">账  号：       </w:t>
      </w:r>
    </w:p>
    <w:p w14:paraId="5ECF9A07">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联系电话：                                联系电话：</w:t>
      </w:r>
    </w:p>
    <w:p w14:paraId="4E7B80FC">
      <w:pPr>
        <w:spacing w:line="360" w:lineRule="auto"/>
        <w:ind w:firstLine="480" w:firstLineChars="200"/>
        <w:rPr>
          <w:rFonts w:hint="eastAsia" w:ascii="宋体" w:hAnsi="宋体" w:eastAsia="宋体" w:cs="宋体"/>
          <w:b/>
          <w:sz w:val="28"/>
          <w:szCs w:val="28"/>
        </w:rPr>
      </w:pPr>
      <w:r>
        <w:rPr>
          <w:rFonts w:hint="eastAsia" w:hAnsi="宋体" w:cs="宋体"/>
          <w:color w:val="auto"/>
          <w:sz w:val="24"/>
          <w:szCs w:val="24"/>
          <w:highlight w:val="none"/>
        </w:rPr>
        <w:t xml:space="preserve">签订日期：    年   月    日          </w:t>
      </w:r>
      <w:r>
        <w:rPr>
          <w:rFonts w:hint="eastAsia" w:hAnsi="宋体" w:cs="宋体"/>
          <w:color w:val="auto"/>
          <w:sz w:val="24"/>
          <w:szCs w:val="24"/>
          <w:highlight w:val="none"/>
          <w:lang w:val="en-US" w:eastAsia="zh-CN"/>
        </w:rPr>
        <w:t xml:space="preserve">    </w:t>
      </w:r>
      <w:r>
        <w:rPr>
          <w:rFonts w:hint="eastAsia" w:hAnsi="宋体" w:cs="宋体"/>
          <w:color w:val="auto"/>
          <w:sz w:val="24"/>
          <w:szCs w:val="24"/>
          <w:highlight w:val="none"/>
        </w:rPr>
        <w:t xml:space="preserve"> 签订日期：     年    月   日</w:t>
      </w:r>
    </w:p>
    <w:p w14:paraId="4C20DF32">
      <w:pPr>
        <w:pStyle w:val="11"/>
        <w:ind w:left="0" w:leftChars="0" w:firstLine="0" w:firstLineChars="0"/>
        <w:rPr>
          <w:rFonts w:hint="eastAsia"/>
        </w:rPr>
      </w:pPr>
    </w:p>
    <w:p w14:paraId="2EB35C3A">
      <w:pPr>
        <w:ind w:firstLine="960" w:firstLineChars="400"/>
        <w:rPr>
          <w:rFonts w:hint="eastAsia" w:hAnsi="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7F3"/>
    <w:rsid w:val="00125317"/>
    <w:rsid w:val="003B6ABB"/>
    <w:rsid w:val="004674F1"/>
    <w:rsid w:val="00641A07"/>
    <w:rsid w:val="006D0CD7"/>
    <w:rsid w:val="008410D7"/>
    <w:rsid w:val="008C47F3"/>
    <w:rsid w:val="009B2A59"/>
    <w:rsid w:val="009E5CDF"/>
    <w:rsid w:val="00B866C7"/>
    <w:rsid w:val="00BC66A3"/>
    <w:rsid w:val="1A6F0196"/>
    <w:rsid w:val="41C12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宋体" w:hAnsi="Times New Roman" w:eastAsia="宋体" w:cs="Times New Roman"/>
      <w:kern w:val="0"/>
      <w:sz w:val="24"/>
      <w:szCs w:val="20"/>
      <w:lang w:val="en-US" w:eastAsia="zh-CN" w:bidi="ar-SA"/>
      <w14:ligatures w14:val="none"/>
    </w:rPr>
  </w:style>
  <w:style w:type="paragraph" w:styleId="2">
    <w:name w:val="heading 1"/>
    <w:basedOn w:val="1"/>
    <w:next w:val="1"/>
    <w:link w:val="20"/>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kern w:val="2"/>
      <w:sz w:val="48"/>
      <w:szCs w:val="48"/>
      <w14:ligatures w14:val="standardContextual"/>
    </w:rPr>
  </w:style>
  <w:style w:type="paragraph" w:styleId="3">
    <w:name w:val="heading 2"/>
    <w:basedOn w:val="1"/>
    <w:next w:val="1"/>
    <w:link w:val="21"/>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kern w:val="2"/>
      <w:sz w:val="40"/>
      <w:szCs w:val="40"/>
      <w14:ligatures w14:val="standardContextual"/>
    </w:rPr>
  </w:style>
  <w:style w:type="paragraph" w:styleId="4">
    <w:name w:val="heading 3"/>
    <w:basedOn w:val="1"/>
    <w:next w:val="1"/>
    <w:link w:val="22"/>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kern w:val="2"/>
      <w:sz w:val="32"/>
      <w:szCs w:val="32"/>
      <w14:ligatures w14:val="standardContextual"/>
    </w:rPr>
  </w:style>
  <w:style w:type="paragraph" w:styleId="5">
    <w:name w:val="heading 4"/>
    <w:basedOn w:val="1"/>
    <w:next w:val="1"/>
    <w:link w:val="23"/>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2F5597" w:themeColor="accent1" w:themeShade="BF"/>
      <w:kern w:val="2"/>
      <w:sz w:val="28"/>
      <w:szCs w:val="28"/>
      <w14:ligatures w14:val="standardContextual"/>
    </w:rPr>
  </w:style>
  <w:style w:type="paragraph" w:styleId="6">
    <w:name w:val="heading 5"/>
    <w:basedOn w:val="1"/>
    <w:next w:val="1"/>
    <w:link w:val="24"/>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2F5597" w:themeColor="accent1" w:themeShade="BF"/>
      <w:kern w:val="2"/>
      <w:szCs w:val="24"/>
      <w14:ligatures w14:val="standardContextual"/>
    </w:rPr>
  </w:style>
  <w:style w:type="paragraph" w:styleId="7">
    <w:name w:val="heading 6"/>
    <w:basedOn w:val="1"/>
    <w:next w:val="1"/>
    <w:link w:val="25"/>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2F5597" w:themeColor="accent1" w:themeShade="BF"/>
      <w:kern w:val="2"/>
      <w:sz w:val="22"/>
      <w:szCs w:val="24"/>
      <w14:ligatures w14:val="standardContextual"/>
    </w:rPr>
  </w:style>
  <w:style w:type="paragraph" w:styleId="8">
    <w:name w:val="heading 7"/>
    <w:basedOn w:val="1"/>
    <w:next w:val="1"/>
    <w:link w:val="26"/>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kern w:val="2"/>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7"/>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kern w:val="2"/>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8"/>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kern w:val="2"/>
      <w:sz w:val="22"/>
      <w:szCs w:val="24"/>
      <w14:textFill>
        <w14:solidFill>
          <w14:schemeClr w14:val="tx1">
            <w14:lumMod w14:val="65000"/>
            <w14:lumOff w14:val="35000"/>
          </w14:schemeClr>
        </w14:solidFill>
      </w14:textFill>
      <w14:ligatures w14:val="standardContextua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39"/>
    <w:qFormat/>
    <w:uiPriority w:val="0"/>
    <w:pPr>
      <w:spacing w:line="300" w:lineRule="auto"/>
      <w:ind w:firstLine="420" w:firstLineChars="200"/>
    </w:pPr>
    <w:rPr>
      <w:rFonts w:ascii="Times New Roman"/>
      <w:kern w:val="2"/>
      <w:sz w:val="21"/>
      <w:szCs w:val="24"/>
    </w:rPr>
  </w:style>
  <w:style w:type="paragraph" w:styleId="12">
    <w:name w:val="Body Text"/>
    <w:basedOn w:val="1"/>
    <w:link w:val="38"/>
    <w:unhideWhenUsed/>
    <w:qFormat/>
    <w:uiPriority w:val="0"/>
    <w:pPr>
      <w:spacing w:after="120"/>
    </w:pPr>
  </w:style>
  <w:style w:type="paragraph" w:styleId="13">
    <w:name w:val="footer"/>
    <w:basedOn w:val="1"/>
    <w:link w:val="40"/>
    <w:qFormat/>
    <w:uiPriority w:val="99"/>
    <w:pPr>
      <w:tabs>
        <w:tab w:val="center" w:pos="4153"/>
        <w:tab w:val="right" w:pos="8306"/>
      </w:tabs>
      <w:snapToGrid w:val="0"/>
      <w:jc w:val="left"/>
    </w:pPr>
    <w:rPr>
      <w:rFonts w:ascii="Times New Roman"/>
      <w:kern w:val="2"/>
      <w:sz w:val="18"/>
      <w:szCs w:val="18"/>
    </w:rPr>
  </w:style>
  <w:style w:type="paragraph" w:styleId="14">
    <w:name w:val="header"/>
    <w:basedOn w:val="1"/>
    <w:link w:val="41"/>
    <w:unhideWhenUsed/>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line="278" w:lineRule="auto"/>
      <w:jc w:val="center"/>
    </w:pPr>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标题 1 字符"/>
    <w:basedOn w:val="19"/>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9"/>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9"/>
    <w:link w:val="5"/>
    <w:semiHidden/>
    <w:qFormat/>
    <w:uiPriority w:val="9"/>
    <w:rPr>
      <w:rFonts w:cstheme="majorBidi"/>
      <w:color w:val="2F5597" w:themeColor="accent1" w:themeShade="BF"/>
      <w:sz w:val="28"/>
      <w:szCs w:val="28"/>
    </w:rPr>
  </w:style>
  <w:style w:type="character" w:customStyle="1" w:styleId="24">
    <w:name w:val="标题 5 字符"/>
    <w:basedOn w:val="19"/>
    <w:link w:val="6"/>
    <w:semiHidden/>
    <w:qFormat/>
    <w:uiPriority w:val="9"/>
    <w:rPr>
      <w:rFonts w:cstheme="majorBidi"/>
      <w:color w:val="2F5597" w:themeColor="accent1" w:themeShade="BF"/>
      <w:sz w:val="24"/>
    </w:rPr>
  </w:style>
  <w:style w:type="character" w:customStyle="1" w:styleId="25">
    <w:name w:val="标题 6 字符"/>
    <w:basedOn w:val="19"/>
    <w:link w:val="7"/>
    <w:semiHidden/>
    <w:qFormat/>
    <w:uiPriority w:val="9"/>
    <w:rPr>
      <w:rFonts w:cstheme="majorBidi"/>
      <w:b/>
      <w:bCs/>
      <w:color w:val="2F5597"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line="278" w:lineRule="auto"/>
      <w:jc w:val="center"/>
    </w:pPr>
    <w:rPr>
      <w:rFonts w:asciiTheme="minorHAnsi" w:hAnsiTheme="minorHAnsi" w:eastAsiaTheme="minorEastAsia" w:cstheme="minorBidi"/>
      <w:i/>
      <w:iCs/>
      <w:color w:val="404040" w:themeColor="text1" w:themeTint="BF"/>
      <w:kern w:val="2"/>
      <w:sz w:val="22"/>
      <w:szCs w:val="24"/>
      <w14:textFill>
        <w14:solidFill>
          <w14:schemeClr w14:val="tx1">
            <w14:lumMod w14:val="75000"/>
            <w14:lumOff w14:val="25000"/>
          </w14:schemeClr>
        </w14:solidFill>
      </w14:textFill>
      <w14:ligatures w14:val="standardContextua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spacing w:after="160" w:line="278" w:lineRule="auto"/>
      <w:ind w:left="720"/>
      <w:contextualSpacing/>
      <w:jc w:val="left"/>
    </w:pPr>
    <w:rPr>
      <w:rFonts w:asciiTheme="minorHAnsi" w:hAnsiTheme="minorHAnsi" w:eastAsiaTheme="minorEastAsia" w:cstheme="minorBidi"/>
      <w:kern w:val="2"/>
      <w:sz w:val="22"/>
      <w:szCs w:val="24"/>
      <w14:ligatures w14:val="standardContextual"/>
    </w:rPr>
  </w:style>
  <w:style w:type="character" w:customStyle="1" w:styleId="34">
    <w:name w:val="Intense Emphasis"/>
    <w:basedOn w:val="19"/>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kern w:val="2"/>
      <w:sz w:val="22"/>
      <w:szCs w:val="24"/>
      <w14:ligatures w14:val="standardContextual"/>
    </w:rPr>
  </w:style>
  <w:style w:type="character" w:customStyle="1" w:styleId="36">
    <w:name w:val="明显引用 字符"/>
    <w:basedOn w:val="19"/>
    <w:link w:val="35"/>
    <w:qFormat/>
    <w:uiPriority w:val="30"/>
    <w:rPr>
      <w:i/>
      <w:iCs/>
      <w:color w:val="2F5597" w:themeColor="accent1" w:themeShade="BF"/>
    </w:rPr>
  </w:style>
  <w:style w:type="character" w:customStyle="1" w:styleId="37">
    <w:name w:val="Intense Reference"/>
    <w:basedOn w:val="19"/>
    <w:qFormat/>
    <w:uiPriority w:val="32"/>
    <w:rPr>
      <w:b/>
      <w:bCs/>
      <w:smallCaps/>
      <w:color w:val="2F5597" w:themeColor="accent1" w:themeShade="BF"/>
      <w:spacing w:val="5"/>
    </w:rPr>
  </w:style>
  <w:style w:type="character" w:customStyle="1" w:styleId="38">
    <w:name w:val="正文文本 字符"/>
    <w:basedOn w:val="19"/>
    <w:link w:val="12"/>
    <w:qFormat/>
    <w:uiPriority w:val="0"/>
    <w:rPr>
      <w:rFonts w:ascii="宋体" w:hAnsi="Times New Roman" w:eastAsia="宋体" w:cs="Times New Roman"/>
      <w:kern w:val="0"/>
      <w:sz w:val="24"/>
      <w:szCs w:val="20"/>
      <w14:ligatures w14:val="none"/>
    </w:rPr>
  </w:style>
  <w:style w:type="character" w:customStyle="1" w:styleId="39">
    <w:name w:val="正文缩进 字符"/>
    <w:link w:val="11"/>
    <w:qFormat/>
    <w:uiPriority w:val="0"/>
    <w:rPr>
      <w:rFonts w:ascii="Times New Roman" w:hAnsi="Times New Roman" w:eastAsia="宋体" w:cs="Times New Roman"/>
      <w:sz w:val="21"/>
      <w14:ligatures w14:val="none"/>
    </w:rPr>
  </w:style>
  <w:style w:type="character" w:customStyle="1" w:styleId="40">
    <w:name w:val="页脚 字符"/>
    <w:basedOn w:val="19"/>
    <w:link w:val="13"/>
    <w:qFormat/>
    <w:uiPriority w:val="99"/>
    <w:rPr>
      <w:rFonts w:ascii="Times New Roman" w:hAnsi="Times New Roman" w:eastAsia="宋体" w:cs="Times New Roman"/>
      <w:sz w:val="18"/>
      <w:szCs w:val="18"/>
      <w14:ligatures w14:val="none"/>
    </w:rPr>
  </w:style>
  <w:style w:type="character" w:customStyle="1" w:styleId="41">
    <w:name w:val="页眉 字符"/>
    <w:basedOn w:val="19"/>
    <w:link w:val="14"/>
    <w:qFormat/>
    <w:uiPriority w:val="99"/>
    <w:rPr>
      <w:rFonts w:ascii="宋体" w:hAnsi="Times New Roman" w:eastAsia="宋体" w:cs="Times New Roman"/>
      <w:kern w:val="0"/>
      <w:sz w:val="18"/>
      <w:szCs w:val="18"/>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1320</Words>
  <Characters>1320</Characters>
  <Lines>15</Lines>
  <Paragraphs>4</Paragraphs>
  <TotalTime>0</TotalTime>
  <ScaleCrop>false</ScaleCrop>
  <LinksUpToDate>false</LinksUpToDate>
  <CharactersWithSpaces>1739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2026-04-08T07:07:00Z</dcterms:created>
  <dc:creator>超 徐</dc:creator>
  <cp:lastModifiedBy>十九</cp:lastModifiedBy>
  <dcterms:modified xsi:type="dcterms:W3CDTF">2026-05-28T09:36:12Z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eyJoZGlkIjoiZjUwY2E1MjlkMTZmMDk4MzA4ODFhYTI4NWRjMjkwMWIiLCJ1c2VySWQiOiI0MjAwODYzNjMifQ==</vt:lpwstr>
  </property>
  <property fmtid="{D5CDD505-2E9C-101B-9397-08002B2CF9AE}" pid="3" name="KSOProductBuildVer">
    <vt:lpwstr>2052-12.1.0.26375</vt:lpwstr>
  </property>
  <property fmtid="{D5CDD505-2E9C-101B-9397-08002B2CF9AE}" pid="4" name="ICV">
    <vt:lpwstr>E2D6B9C3E32A4C7682EF95B2D1834ADF_12</vt:lpwstr>
  </property>
</Properties>
</file>