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版本号：ZYHY-2026-ZB1420260703001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道路交通安全设施改造提升项目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ZYHY-2026-ZB14</w:t>
      </w:r>
      <w:r>
        <w:br/>
      </w:r>
      <w:r>
        <w:br/>
      </w:r>
      <w:r>
        <w:br/>
      </w:r>
    </w:p>
    <w:p>
      <w:pPr>
        <w:pStyle w:val="null3"/>
        <w:jc w:val="center"/>
        <w:outlineLvl w:val="2"/>
      </w:pPr>
      <w:r>
        <w:rPr>
          <w:rFonts w:ascii="仿宋_GB2312" w:hAnsi="仿宋_GB2312" w:cs="仿宋_GB2312" w:eastAsia="仿宋_GB2312"/>
          <w:sz w:val="28"/>
          <w:b/>
        </w:rPr>
        <w:t>蒲城县公安局交通管理大队</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蒲城县公安局交通管理大队</w:t>
      </w:r>
      <w:r>
        <w:rPr>
          <w:rFonts w:ascii="仿宋_GB2312" w:hAnsi="仿宋_GB2312" w:cs="仿宋_GB2312" w:eastAsia="仿宋_GB2312"/>
        </w:rPr>
        <w:t>委托，拟对</w:t>
      </w:r>
      <w:r>
        <w:rPr>
          <w:rFonts w:ascii="仿宋_GB2312" w:hAnsi="仿宋_GB2312" w:cs="仿宋_GB2312" w:eastAsia="仿宋_GB2312"/>
        </w:rPr>
        <w:t>道路交通安全设施改造提升项目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道路交通安全设施改造提升项目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安装单柱式交通标志包含：八角让行牌136个，三角牌7个，穿乡过镇牌3个，距离牌子3个，道口桩791个，禁止解除超车牌33个，减速慢行牌16个，道路诱导标牌66个，弹力柱885个，右转车道牌2个。防撞桶100个，PVC方锥桶100个，转弯凹凸镜6个。道路灯包含：高杆照明灯10个，太阳能黄闪红慢灯73个，太阳能黄闪灯52个，移动式太阳能红绿灯2个，更换箭头灯2个，太阳能爆闪灯67个，法码人行一体灯1套，道路交通标线等内容。（具体详见工程量清单和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采购包1（蒲城县公安局交通管理大队道路交通安全设施改造提升项目）：属于专门面向中小企业采购。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3、企业资质：供应商须具备行业主管部门颁发的市政公用工程施工总承包三级及以上资质并具有有效的安全生产许可证或公路工程施工总承包三级及以上资质并具有有效的安全生产许可证；</w:t>
      </w:r>
    </w:p>
    <w:p>
      <w:pPr>
        <w:pStyle w:val="null3"/>
      </w:pPr>
      <w:r>
        <w:rPr>
          <w:rFonts w:ascii="仿宋_GB2312" w:hAnsi="仿宋_GB2312" w:cs="仿宋_GB2312" w:eastAsia="仿宋_GB2312"/>
        </w:rPr>
        <w:t>4、项目经理：供应商拟派项目经理须具备行业主管部门颁发的市政公用工程专业二级及以上或公路工程专业二级及以上建造师资质及有效的安全生产考核合格证书（建安B证），在本单位注册且无在建工程；</w:t>
      </w:r>
    </w:p>
    <w:p>
      <w:pPr>
        <w:pStyle w:val="null3"/>
      </w:pPr>
      <w:r>
        <w:rPr>
          <w:rFonts w:ascii="仿宋_GB2312" w:hAnsi="仿宋_GB2312" w:cs="仿宋_GB2312" w:eastAsia="仿宋_GB2312"/>
        </w:rPr>
        <w:t>5、税收缴纳证明：提供磋商截止日前六个月内至少一个月的纳税证明或完税证明，依法免税的单位应提供相关证明材料；</w:t>
      </w:r>
    </w:p>
    <w:p>
      <w:pPr>
        <w:pStyle w:val="null3"/>
      </w:pPr>
      <w:r>
        <w:rPr>
          <w:rFonts w:ascii="仿宋_GB2312" w:hAnsi="仿宋_GB2312" w:cs="仿宋_GB2312" w:eastAsia="仿宋_GB2312"/>
        </w:rPr>
        <w:t>6、财务状况报告：提供经审计的2024年度或2025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7、社会保障资金缴纳证明：提供磋商截止日前六个月内至少一个月的社会保障资金缴存单据或社保机构开具的社会保险参保缴费情况证明，依法不需要缴纳社会保障资金的单位应提供相关证明材料；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8、信用记录查询：供应商在①“信用中国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p>
      <w:pPr>
        <w:pStyle w:val="null3"/>
      </w:pPr>
      <w:r>
        <w:rPr>
          <w:rFonts w:ascii="仿宋_GB2312" w:hAnsi="仿宋_GB2312" w:cs="仿宋_GB2312" w:eastAsia="仿宋_GB2312"/>
        </w:rPr>
        <w:t>9、说明及承诺书：供应商须提供具有履行合同所必需的设备和专业技术能力的承诺；</w:t>
      </w:r>
    </w:p>
    <w:p>
      <w:pPr>
        <w:pStyle w:val="null3"/>
      </w:pPr>
      <w:r>
        <w:rPr>
          <w:rFonts w:ascii="仿宋_GB2312" w:hAnsi="仿宋_GB2312" w:cs="仿宋_GB2312" w:eastAsia="仿宋_GB2312"/>
        </w:rPr>
        <w:t>10、书面声明：出具参加本次政府采购活动前三年内在经营活动中没有重大违法记录的书面声明；</w:t>
      </w:r>
    </w:p>
    <w:p>
      <w:pPr>
        <w:pStyle w:val="null3"/>
      </w:pPr>
      <w:r>
        <w:rPr>
          <w:rFonts w:ascii="仿宋_GB2312" w:hAnsi="仿宋_GB2312" w:cs="仿宋_GB2312" w:eastAsia="仿宋_GB2312"/>
        </w:rPr>
        <w:t>11、本项目不接受联合体磋商：本项目不接受联合体磋商（提供书面声明材料）；</w:t>
      </w:r>
    </w:p>
    <w:p>
      <w:pPr>
        <w:pStyle w:val="null3"/>
      </w:pPr>
      <w:r>
        <w:rPr>
          <w:rFonts w:ascii="仿宋_GB2312" w:hAnsi="仿宋_GB2312" w:cs="仿宋_GB2312" w:eastAsia="仿宋_GB2312"/>
        </w:rPr>
        <w:t>12、本项目专门面向中小企业：提供中小企业声明函并加盖公章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蒲城县公安局交通管理大队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蒲城县东风街与永安巷交叉口东南50米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康战勇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13891335003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18992991575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采购包1：2,983,202.13元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开户名称：陕西中裕恒越项目管理有限公司</w:t>
            </w:r>
          </w:p>
          <w:p>
            <w:pPr>
              <w:pStyle w:val="null3"/>
            </w:pPr>
            <w:r>
              <w:rPr>
                <w:rFonts w:ascii="仿宋_GB2312" w:hAnsi="仿宋_GB2312" w:cs="仿宋_GB2312" w:eastAsia="仿宋_GB2312"/>
              </w:rPr>
              <w:t>开户银行：中国银行股份有限公司西安雁塔区支行</w:t>
            </w:r>
          </w:p>
          <w:p>
            <w:pPr>
              <w:pStyle w:val="null3"/>
            </w:pPr>
            <w:r>
              <w:rPr>
                <w:rFonts w:ascii="仿宋_GB2312" w:hAnsi="仿宋_GB2312" w:cs="仿宋_GB2312" w:eastAsia="仿宋_GB2312"/>
              </w:rPr>
              <w:t>银行账号：102892787177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蒲城县公安局交通管理大队</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蒲城县公安局交通管理大队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蒲城县公安局交通管理大队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联系电话：18992991575</w:t>
      </w:r>
    </w:p>
    <w:p>
      <w:pPr>
        <w:pStyle w:val="null3"/>
      </w:pPr>
      <w:r>
        <w:rPr>
          <w:rFonts w:ascii="仿宋_GB2312" w:hAnsi="仿宋_GB2312" w:cs="仿宋_GB2312" w:eastAsia="仿宋_GB2312"/>
        </w:rPr>
        <w:t>地址：陕西省西安市新城区长缨西路1号万和城3号楼807室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2,983,202.13</w:t>
      </w:r>
    </w:p>
    <w:p>
      <w:pPr>
        <w:pStyle w:val="null3"/>
      </w:pPr>
      <w:r>
        <w:rPr>
          <w:rFonts w:ascii="仿宋_GB2312" w:hAnsi="仿宋_GB2312" w:cs="仿宋_GB2312" w:eastAsia="仿宋_GB2312"/>
        </w:rPr>
        <w:t>采购包最高限价（元）: 2,983,202.13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蒲城县公安局交通管理大队道路交通安全设施改造提升项目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2,983,202.13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标的名称：蒲城县公安局交通管理大队道路交通安全设施改造提升项目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工期：60天</w:t>
            </w:r>
          </w:p>
          <w:p>
            <w:pPr>
              <w:pStyle w:val="null3"/>
              <w:numPr>
                <w:ilvl w:val="0"/>
                <w:numId w:val="1"/>
              </w:numPr>
            </w:pPr>
            <w:r>
              <w:rPr>
                <w:rFonts w:ascii="仿宋_GB2312" w:hAnsi="仿宋_GB2312" w:cs="仿宋_GB2312" w:eastAsia="仿宋_GB2312"/>
                <w:b/>
              </w:rPr>
              <w:t>投入本项目的预算：</w:t>
            </w:r>
            <w:r>
              <w:rPr>
                <w:rFonts w:ascii="仿宋_GB2312" w:hAnsi="仿宋_GB2312" w:cs="仿宋_GB2312" w:eastAsia="仿宋_GB2312"/>
              </w:rPr>
              <w:t>2983202.13</w:t>
            </w:r>
          </w:p>
          <w:p>
            <w:pPr>
              <w:pStyle w:val="null3"/>
            </w:pPr>
            <w:r>
              <w:rPr>
                <w:rFonts w:ascii="仿宋_GB2312" w:hAnsi="仿宋_GB2312" w:cs="仿宋_GB2312" w:eastAsia="仿宋_GB2312"/>
              </w:rPr>
              <w:t>质量标准：符合国家省市相关规范要求。</w:t>
            </w:r>
          </w:p>
          <w:p>
            <w:pPr>
              <w:pStyle w:val="null3"/>
              <w:numPr>
                <w:ilvl w:val="0"/>
                <w:numId w:val="1"/>
              </w:numPr>
            </w:pPr>
            <w:r>
              <w:rPr>
                <w:rFonts w:ascii="仿宋_GB2312" w:hAnsi="仿宋_GB2312" w:cs="仿宋_GB2312" w:eastAsia="仿宋_GB2312"/>
                <w:b/>
              </w:rPr>
              <w:t>验收标准</w:t>
            </w:r>
          </w:p>
          <w:p>
            <w:pPr>
              <w:pStyle w:val="null3"/>
            </w:pPr>
            <w:r>
              <w:rPr>
                <w:rFonts w:ascii="仿宋_GB2312" w:hAnsi="仿宋_GB2312" w:cs="仿宋_GB2312" w:eastAsia="仿宋_GB2312"/>
              </w:rPr>
              <w:t>符合招标文件及行业质量标准和招标人要求。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符合招标⽂件及⾏业质量标准和招标⼈要求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供应商须具备行业主管部门颁发的市政公用工程施工总承包三级及以上资质并具有有效的安全生产许可证或公路工程施工总承包三级及以上资质并具有有效的安全生产许可证；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供应商拟派项目经理须具备行业主管部门颁发的市政公用工程专业二级及以上或公路工程专业二级及以上建造师资质及有效的安全生产考核合格证书（建安B证），在本单位注册且无在建工程；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本项目专门面向中小企业</w:t>
            </w:r>
          </w:p>
        </w:tc>
        <w:tc>
          <w:tcPr>
            <w:tcW w:type="dxa" w:w="3322"/>
          </w:tcPr>
          <w:p>
            <w:pPr>
              <w:pStyle w:val="null3"/>
            </w:pPr>
            <w:r>
              <w:rPr>
                <w:rFonts w:ascii="仿宋_GB2312" w:hAnsi="仿宋_GB2312" w:cs="仿宋_GB2312" w:eastAsia="仿宋_GB2312"/>
              </w:rPr>
              <w:t>提供中小企业声明函并加盖公章</w:t>
            </w:r>
          </w:p>
        </w:tc>
        <w:tc>
          <w:tcPr>
            <w:tcW w:type="dxa" w:w="1661"/>
          </w:tcPr>
          <w:p>
            <w:pPr>
              <w:pStyle w:val="null3"/>
            </w:pPr>
            <w:r>
              <w:rPr>
                <w:rFonts w:ascii="仿宋_GB2312" w:hAnsi="仿宋_GB2312" w:cs="仿宋_GB2312" w:eastAsia="仿宋_GB2312"/>
              </w:rPr>
              <w:t>残疾人福利性单位声明函 中小企业声明函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一、评审内容:内容至少包括①施工总平面布置；②施工目标：安全目标、工期目标、质量目标；③主要施工机械设备④劳动力等配置计划⑤主材料进场计划； 二、评审标准：1.完整性：方案必须全面，对评审内容中的各项要求有详细描述；2.可实施性：切合本项目实际情况，提出步骤清晰、满足需求的方案。3.针对性：方案能够紧扣项目实际情况，内容科学合理。 三、赋分标准（满分15分）：①每一项评审内容完全满足评审标准得3分；②每一项评审内容，若存在不明确、不合理，不完整、针对性不强等方面，扣1分。③每一项评审内容不提供或完全背离评审标准得0。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一、评审内容:内容至少包括①施工准备；②施工方法及相关技术措施；③重点难点工程分析④解决措施。 二、评审标准：1.完整性：方案必须全面，对评审内容中的各项要求有详细描述；2.可实施性：切合本项目实际情况，提出步骤清晰、满足需求的方案。3.针对性：方案能够紧扣项目实际情况，内容科学合理。 三、赋分标准（满分12分）：①每一项评审内容完全满足评审标准得3分；②每一项评审内容，若存在不明确、不合理，不完整、针对性不强等方面，扣1分。③每一项评审内容不提供或完全背离评审标准得0。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内容至少包括①施工进度计划；②工期保障措施。 二、评审标准 1、完整性：方案须全面，对评审内容中的各项要求有详细描述；2、可实施性：切合本项目实际情况，实施步骤清晰、合理；3、针对性：方案能够紧扣项目实际情况，内容科学合理。 三、赋分标准（满分6分）：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内商至少包括①质量管理体系;②施工质量保障措施 二、评审标准1、完整性：方案须全面，对评审内容中的各项要求有详细描述；2、可实施性：切合本项目实际情况，实施步骤清晰、合理；3、针对性：方案能够紧扣项目实际情况，内容科学合理。 三、赋分标准（满分6分）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内容至少包括①安全生产管理制度③安全施工保障措施②安全应急预案。 二、评审标准1、完整性：方案须全面，对评审内容中的各项要求有详细描述；2、可实施性：切合本项目实际情况，实施步骤清晰、合理；3、针对性：方案能够紧扣项目实际情况，内容科学合理。 三、赋分标准（满分9分）：①每一项评审内容完全满足评审标准得3分；②每一项评审内容，若存在不明确、不合理，不完整、针对性不强等方面，扣1分。③每一项评审内容不提供或完全背离评审标准得0。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内容至少包括① 文明施工管理体系及保障措施及防尘降噪措施②环境保护管理体系③保障措施 二、评审标准1、完整性：方案须全面，对评审内容中的各项要求有详细描述；2、可实施性：切合本项目实际情况，实施步骤清晰、合理；3、针对性：方案能够紧扣项目实际情况，内容科学合理。 三、赋分标准（满分9分）：①每一项评审内容完全满足评审标准得3分；②每一项评审内容，若存在不明确、不合理，不完整、针对性不强等方面，扣1分。③每一项评审内容不提供或完全背离评审标准得0。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项目管理机构配置情况</w:t>
            </w:r>
          </w:p>
        </w:tc>
        <w:tc>
          <w:tcPr>
            <w:tcW w:type="dxa" w:w="2492"/>
          </w:tcPr>
          <w:p>
            <w:pPr>
              <w:pStyle w:val="null3"/>
            </w:pPr>
            <w:r>
              <w:rPr>
                <w:rFonts w:ascii="仿宋_GB2312" w:hAnsi="仿宋_GB2312" w:cs="仿宋_GB2312" w:eastAsia="仿宋_GB2312"/>
              </w:rPr>
              <w:t>一、项目管理机构配备情况评审内容：供应商针对本项目编制科学的项目管理机构，内容包含：①管理机构组织图②组织机构的岗位职责③人员配备情况。 二、评审标准：1、完整性：方案须全面，对评审内容中的各项要求有详细描述；2、可实施性：切合本项目实际情况，实施步骤清晰、合理；3、针对性：方案能够紧扣项目实际情况，内容科学合理。 三、赋分标准（满分9分）：①每一项评审内容完全满足评审标准得3分；②每一项评审内容，若存在不明确、不合理，不完整、针对性不强等方面，扣1分。③每一项评审内容不提供或完全背离评审标准得0。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供应商2023年1月1日至截标时间前类似施工项目业绩，每提供1份计2分，最高得4分，不提供不得分。 注：业绩证明（以合同或中标/成交通知书为准，须在磋商响应文件中附以上证明材料的扫描件加盖单位公章）。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满足磋商文件要求且磋商报价最低的报价为评审基准价。得分：报价得分=(评审基准价／最后报价)×30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